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6.png" ContentType="image/png"/>
  <Override PartName="/word/media/rId60.png" ContentType="image/png"/>
  <Override PartName="/word/media/rId24.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8.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4" w:name="appendix-a"/>
    <w:p>
      <w:pPr>
        <w:pStyle w:val="Heading1"/>
      </w:pPr>
      <w:r>
        <w:t xml:space="preserve">Appendix A</w:t>
      </w:r>
    </w:p>
    <w:bookmarkStart w:id="0" w:name="fig:supp1"/>
    <w:p>
      <w:pPr>
        <w:pStyle w:val="CaptionedFigure"/>
      </w:pPr>
      <w:bookmarkStart w:id="23" w:name="fig:supp1"/>
      <w:r>
        <w:drawing>
          <wp:inline>
            <wp:extent cx="5334000" cy="3271407"/>
            <wp:effectExtent b="0" l="0" r="0" t="0"/>
            <wp:docPr descr="Figure S 1: Map of the sampled sites. Sites retained in the train set are colored in blue, sites retained in the test set are colored in red." title="" id="21" name="Picture"/>
            <a:graphic>
              <a:graphicData uri="http://schemas.openxmlformats.org/drawingml/2006/picture">
                <pic:pic>
                  <pic:nvPicPr>
                    <pic:cNvPr descr="figures/supplementary/fig_supp1.png" id="22" name="Picture"/>
                    <pic:cNvPicPr>
                      <a:picLocks noChangeArrowheads="1" noChangeAspect="1"/>
                    </pic:cNvPicPr>
                  </pic:nvPicPr>
                  <pic:blipFill>
                    <a:blip r:embed="rId20"/>
                    <a:stretch>
                      <a:fillRect/>
                    </a:stretch>
                  </pic:blipFill>
                  <pic:spPr bwMode="auto">
                    <a:xfrm>
                      <a:off x="0" y="0"/>
                      <a:ext cx="5334000" cy="3271407"/>
                    </a:xfrm>
                    <a:prstGeom prst="rect">
                      <a:avLst/>
                    </a:prstGeom>
                    <a:noFill/>
                    <a:ln w="9525">
                      <a:noFill/>
                      <a:headEnd/>
                      <a:tailEnd/>
                    </a:ln>
                  </pic:spPr>
                </pic:pic>
              </a:graphicData>
            </a:graphic>
          </wp:inline>
        </w:drawing>
      </w:r>
      <w:bookmarkEnd w:id="23"/>
    </w:p>
    <w:p>
      <w:pPr>
        <w:pStyle w:val="ImageCaption"/>
      </w:pPr>
      <w:r>
        <w:t xml:space="preserve">Figure S 1: Map of the sampled sites. Sites retained in the train set are colored in blue, sites retained in the test set are colored in red.</w:t>
      </w:r>
    </w:p>
    <w:bookmarkEnd w:id="0"/>
    <w:bookmarkStart w:id="0" w:name="fig:supp2"/>
    <w:p>
      <w:pPr>
        <w:pStyle w:val="CaptionedFigure"/>
      </w:pPr>
      <w:bookmarkStart w:id="27" w:name="fig:supp2"/>
      <w:r>
        <w:drawing>
          <wp:inline>
            <wp:extent cx="5334000" cy="4000023"/>
            <wp:effectExtent b="0" l="0" r="0" t="0"/>
            <wp:docPr descr="Figure S 2: Explanatory and predictive power of the benchmark model for occurrence data. The performances are measured as AUC values." title="" id="25" name="Picture"/>
            <a:graphic>
              <a:graphicData uri="http://schemas.openxmlformats.org/drawingml/2006/picture">
                <pic:pic>
                  <pic:nvPicPr>
                    <pic:cNvPr descr="figures/supplementary/fig_supp2.png" id="26" name="Picture"/>
                    <pic:cNvPicPr>
                      <a:picLocks noChangeArrowheads="1" noChangeAspect="1"/>
                    </pic:cNvPicPr>
                  </pic:nvPicPr>
                  <pic:blipFill>
                    <a:blip r:embed="rId24"/>
                    <a:stretch>
                      <a:fillRect/>
                    </a:stretch>
                  </pic:blipFill>
                  <pic:spPr bwMode="auto">
                    <a:xfrm>
                      <a:off x="0" y="0"/>
                      <a:ext cx="5334000" cy="4000023"/>
                    </a:xfrm>
                    <a:prstGeom prst="rect">
                      <a:avLst/>
                    </a:prstGeom>
                    <a:noFill/>
                    <a:ln w="9525">
                      <a:noFill/>
                      <a:headEnd/>
                      <a:tailEnd/>
                    </a:ln>
                  </pic:spPr>
                </pic:pic>
              </a:graphicData>
            </a:graphic>
          </wp:inline>
        </w:drawing>
      </w:r>
      <w:bookmarkEnd w:id="27"/>
    </w:p>
    <w:p>
      <w:pPr>
        <w:pStyle w:val="ImageCaption"/>
      </w:pPr>
      <w:r>
        <w:t xml:space="preserve">Figure S 2: Explanatory and predictive power of the benchmark model for occurrence data. The performances are measured as AUC values.</w:t>
      </w:r>
    </w:p>
    <w:bookmarkEnd w:id="0"/>
    <w:bookmarkStart w:id="0" w:name="fig:supp3"/>
    <w:p>
      <w:pPr>
        <w:pStyle w:val="CaptionedFigure"/>
      </w:pPr>
      <w:bookmarkStart w:id="31" w:name="fig:supp3"/>
      <w:r>
        <w:drawing>
          <wp:inline>
            <wp:extent cx="5334000" cy="4000023"/>
            <wp:effectExtent b="0" l="0" r="0" t="0"/>
            <wp:docPr descr="Figure S 3: Explanatory power (A.) and predictive power (B.) of the benchmark model for abundance data. Each dot is a species predicted for one observational unit. The y-axis represents the number of individuals observed for each species in each observational unit. The x-axis shows the number of individuals predicted by the model for each observational unit. The dotted line represents the theoretical line of perfect fit of the model to the data." title="" id="29" name="Picture"/>
            <a:graphic>
              <a:graphicData uri="http://schemas.openxmlformats.org/drawingml/2006/picture">
                <pic:pic>
                  <pic:nvPicPr>
                    <pic:cNvPr descr="figures/supplementary/fig_supp3.png" id="30" name="Picture"/>
                    <pic:cNvPicPr>
                      <a:picLocks noChangeArrowheads="1" noChangeAspect="1"/>
                    </pic:cNvPicPr>
                  </pic:nvPicPr>
                  <pic:blipFill>
                    <a:blip r:embed="rId28"/>
                    <a:stretch>
                      <a:fillRect/>
                    </a:stretch>
                  </pic:blipFill>
                  <pic:spPr bwMode="auto">
                    <a:xfrm>
                      <a:off x="0" y="0"/>
                      <a:ext cx="5334000" cy="4000023"/>
                    </a:xfrm>
                    <a:prstGeom prst="rect">
                      <a:avLst/>
                    </a:prstGeom>
                    <a:noFill/>
                    <a:ln w="9525">
                      <a:noFill/>
                      <a:headEnd/>
                      <a:tailEnd/>
                    </a:ln>
                  </pic:spPr>
                </pic:pic>
              </a:graphicData>
            </a:graphic>
          </wp:inline>
        </w:drawing>
      </w:r>
      <w:bookmarkEnd w:id="31"/>
    </w:p>
    <w:p>
      <w:pPr>
        <w:pStyle w:val="ImageCaption"/>
      </w:pPr>
      <w:r>
        <w:t xml:space="preserve">Figure S 3: Explanatory power (A.) and predictive power (B.) of the benchmark model for abundance data. Each dot is a species predicted for one observational unit. The y-axis represents the number of individuals observed for each species in each observational unit. The x-axis shows the number of individuals predicted by the model for each observational unit. The dotted line represents the theoretical line of perfect fit of the model to the data.</w:t>
      </w:r>
    </w:p>
    <w:bookmarkEnd w:id="0"/>
    <w:bookmarkStart w:id="0" w:name="fig:supp4"/>
    <w:p>
      <w:pPr>
        <w:pStyle w:val="CaptionedFigure"/>
      </w:pPr>
      <w:bookmarkStart w:id="35" w:name="fig:supp4"/>
      <w:r>
        <w:drawing>
          <wp:inline>
            <wp:extent cx="5334000" cy="4000023"/>
            <wp:effectExtent b="0" l="0" r="0" t="0"/>
            <wp:docPr descr="Figure S 4: Comparison of the explanatory (left column) and predictive (right column) capacities of different model architectures fitted with occurrence (top line) or abundance (bottom line) data." title="" id="33" name="Picture"/>
            <a:graphic>
              <a:graphicData uri="http://schemas.openxmlformats.org/drawingml/2006/picture">
                <pic:pic>
                  <pic:nvPicPr>
                    <pic:cNvPr descr="figures/supplementary/fig_supp4.png" id="34" name="Picture"/>
                    <pic:cNvPicPr>
                      <a:picLocks noChangeArrowheads="1" noChangeAspect="1"/>
                    </pic:cNvPicPr>
                  </pic:nvPicPr>
                  <pic:blipFill>
                    <a:blip r:embed="rId32"/>
                    <a:stretch>
                      <a:fillRect/>
                    </a:stretch>
                  </pic:blipFill>
                  <pic:spPr bwMode="auto">
                    <a:xfrm>
                      <a:off x="0" y="0"/>
                      <a:ext cx="5334000" cy="4000023"/>
                    </a:xfrm>
                    <a:prstGeom prst="rect">
                      <a:avLst/>
                    </a:prstGeom>
                    <a:noFill/>
                    <a:ln w="9525">
                      <a:noFill/>
                      <a:headEnd/>
                      <a:tailEnd/>
                    </a:ln>
                  </pic:spPr>
                </pic:pic>
              </a:graphicData>
            </a:graphic>
          </wp:inline>
        </w:drawing>
      </w:r>
      <w:bookmarkEnd w:id="35"/>
    </w:p>
    <w:p>
      <w:pPr>
        <w:pStyle w:val="ImageCaption"/>
      </w:pPr>
      <w:r>
        <w:t xml:space="preserve">Figure S 4: Comparison of the explanatory (left column) and predictive (right column) capacities of different model architectures fitted with occurrence (top line) or abundance (bottom line) data.</w:t>
      </w:r>
    </w:p>
    <w:bookmarkEnd w:id="0"/>
    <w:bookmarkStart w:id="0" w:name="fig:supp5"/>
    <w:p>
      <w:pPr>
        <w:pStyle w:val="CaptionedFigure"/>
      </w:pPr>
      <w:bookmarkStart w:id="39" w:name="fig:supp5"/>
      <w:r>
        <w:drawing>
          <wp:inline>
            <wp:extent cx="5334000" cy="4000023"/>
            <wp:effectExtent b="0" l="0" r="0" t="0"/>
            <wp:docPr descr="Figure S 5: Fuzzy PCA of the traits data. The first three axes explained 58.55% of the total variance." title="" id="37" name="Picture"/>
            <a:graphic>
              <a:graphicData uri="http://schemas.openxmlformats.org/drawingml/2006/picture">
                <pic:pic>
                  <pic:nvPicPr>
                    <pic:cNvPr descr="figures/supplementary/fig_supp5.png" id="38" name="Picture"/>
                    <pic:cNvPicPr>
                      <a:picLocks noChangeArrowheads="1" noChangeAspect="1"/>
                    </pic:cNvPicPr>
                  </pic:nvPicPr>
                  <pic:blipFill>
                    <a:blip r:embed="rId36"/>
                    <a:stretch>
                      <a:fillRect/>
                    </a:stretch>
                  </pic:blipFill>
                  <pic:spPr bwMode="auto">
                    <a:xfrm>
                      <a:off x="0" y="0"/>
                      <a:ext cx="5334000" cy="4000023"/>
                    </a:xfrm>
                    <a:prstGeom prst="rect">
                      <a:avLst/>
                    </a:prstGeom>
                    <a:noFill/>
                    <a:ln w="9525">
                      <a:noFill/>
                      <a:headEnd/>
                      <a:tailEnd/>
                    </a:ln>
                  </pic:spPr>
                </pic:pic>
              </a:graphicData>
            </a:graphic>
          </wp:inline>
        </w:drawing>
      </w:r>
      <w:bookmarkEnd w:id="39"/>
    </w:p>
    <w:p>
      <w:pPr>
        <w:pStyle w:val="ImageCaption"/>
      </w:pPr>
      <w:r>
        <w:t xml:space="preserve">Figure S 5: Fuzzy PCA of the traits data. The first three axes explained 58.55% of the total variance.</w:t>
      </w:r>
    </w:p>
    <w:bookmarkEnd w:id="0"/>
    <w:bookmarkStart w:id="0" w:name="fig:supp6"/>
    <w:p>
      <w:pPr>
        <w:pStyle w:val="CaptionedFigure"/>
      </w:pPr>
      <w:bookmarkStart w:id="43" w:name="fig:supp6"/>
      <w:r>
        <w:drawing>
          <wp:inline>
            <wp:extent cx="5334000" cy="4000023"/>
            <wp:effectExtent b="0" l="0" r="0" t="0"/>
            <wp:docPr descr="Figure S 6: Effect of traits on the estimated species responses to environmental variables." title="" id="41" name="Picture"/>
            <a:graphic>
              <a:graphicData uri="http://schemas.openxmlformats.org/drawingml/2006/picture">
                <pic:pic>
                  <pic:nvPicPr>
                    <pic:cNvPr descr="figures/supplementary/fig_supp6.png" id="42" name="Picture"/>
                    <pic:cNvPicPr>
                      <a:picLocks noChangeArrowheads="1" noChangeAspect="1"/>
                    </pic:cNvPicPr>
                  </pic:nvPicPr>
                  <pic:blipFill>
                    <a:blip r:embed="rId40"/>
                    <a:stretch>
                      <a:fillRect/>
                    </a:stretch>
                  </pic:blipFill>
                  <pic:spPr bwMode="auto">
                    <a:xfrm>
                      <a:off x="0" y="0"/>
                      <a:ext cx="5334000" cy="4000023"/>
                    </a:xfrm>
                    <a:prstGeom prst="rect">
                      <a:avLst/>
                    </a:prstGeom>
                    <a:noFill/>
                    <a:ln w="9525">
                      <a:noFill/>
                      <a:headEnd/>
                      <a:tailEnd/>
                    </a:ln>
                  </pic:spPr>
                </pic:pic>
              </a:graphicData>
            </a:graphic>
          </wp:inline>
        </w:drawing>
      </w:r>
      <w:bookmarkEnd w:id="43"/>
    </w:p>
    <w:p>
      <w:pPr>
        <w:pStyle w:val="ImageCaption"/>
      </w:pPr>
      <w:r>
        <w:t xml:space="preserve">Figure S 6: Effect of traits on the estimated species responses to environmental variables.</w:t>
      </w:r>
    </w:p>
    <w:bookmarkEnd w:id="0"/>
    <w:bookmarkStart w:id="0" w:name="fig:supp7"/>
    <w:p>
      <w:pPr>
        <w:pStyle w:val="CaptionedFigure"/>
      </w:pPr>
      <w:bookmarkStart w:id="47" w:name="fig:supp7"/>
      <w:r>
        <w:drawing>
          <wp:inline>
            <wp:extent cx="5334000" cy="4000023"/>
            <wp:effectExtent b="0" l="0" r="0" t="0"/>
            <wp:docPr descr="Figure S 7: Comparison of the partitioning of the variance explained for each species by each model fitted on occurrence or abundance data. Species are ordered by decreasing order of variance explained by the environment for the benchmark model." title="" id="45" name="Picture"/>
            <a:graphic>
              <a:graphicData uri="http://schemas.openxmlformats.org/drawingml/2006/picture">
                <pic:pic>
                  <pic:nvPicPr>
                    <pic:cNvPr descr="figures/supplementary/fig_supp7.png" id="46" name="Picture"/>
                    <pic:cNvPicPr>
                      <a:picLocks noChangeArrowheads="1" noChangeAspect="1"/>
                    </pic:cNvPicPr>
                  </pic:nvPicPr>
                  <pic:blipFill>
                    <a:blip r:embed="rId44"/>
                    <a:stretch>
                      <a:fillRect/>
                    </a:stretch>
                  </pic:blipFill>
                  <pic:spPr bwMode="auto">
                    <a:xfrm>
                      <a:off x="0" y="0"/>
                      <a:ext cx="5334000" cy="4000023"/>
                    </a:xfrm>
                    <a:prstGeom prst="rect">
                      <a:avLst/>
                    </a:prstGeom>
                    <a:noFill/>
                    <a:ln w="9525">
                      <a:noFill/>
                      <a:headEnd/>
                      <a:tailEnd/>
                    </a:ln>
                  </pic:spPr>
                </pic:pic>
              </a:graphicData>
            </a:graphic>
          </wp:inline>
        </w:drawing>
      </w:r>
      <w:bookmarkEnd w:id="47"/>
    </w:p>
    <w:p>
      <w:pPr>
        <w:pStyle w:val="ImageCaption"/>
      </w:pPr>
      <w:r>
        <w:t xml:space="preserve">Figure S 7: Comparison of the partitioning of the variance explained for each species by each model fitted on occurrence or abundance data. Species are ordered by decreasing order of variance explained by the environment for the benchmark model.</w:t>
      </w:r>
    </w:p>
    <w:bookmarkEnd w:id="0"/>
    <w:bookmarkStart w:id="0" w:name="fig:supp8"/>
    <w:p>
      <w:pPr>
        <w:pStyle w:val="CaptionedFigure"/>
      </w:pPr>
      <w:bookmarkStart w:id="51" w:name="fig:supp8"/>
      <w:r>
        <w:drawing>
          <wp:inline>
            <wp:extent cx="5334000" cy="4000023"/>
            <wp:effectExtent b="0" l="0" r="0" t="0"/>
            <wp:docPr descr="Figure S 8: Partitioning of the total beta diversity into nestedness and turnover. The total beta diveristy and its partitioning were computed between the predict commuity and the observed one on the train set (left column) and on the test set (right column) on abundance data." title="" id="49" name="Picture"/>
            <a:graphic>
              <a:graphicData uri="http://schemas.openxmlformats.org/drawingml/2006/picture">
                <pic:pic>
                  <pic:nvPicPr>
                    <pic:cNvPr descr="figures/supplementary/fig_supp8.png" id="50" name="Picture"/>
                    <pic:cNvPicPr>
                      <a:picLocks noChangeArrowheads="1" noChangeAspect="1"/>
                    </pic:cNvPicPr>
                  </pic:nvPicPr>
                  <pic:blipFill>
                    <a:blip r:embed="rId48"/>
                    <a:stretch>
                      <a:fillRect/>
                    </a:stretch>
                  </pic:blipFill>
                  <pic:spPr bwMode="auto">
                    <a:xfrm>
                      <a:off x="0" y="0"/>
                      <a:ext cx="5334000" cy="4000023"/>
                    </a:xfrm>
                    <a:prstGeom prst="rect">
                      <a:avLst/>
                    </a:prstGeom>
                    <a:noFill/>
                    <a:ln w="9525">
                      <a:noFill/>
                      <a:headEnd/>
                      <a:tailEnd/>
                    </a:ln>
                  </pic:spPr>
                </pic:pic>
              </a:graphicData>
            </a:graphic>
          </wp:inline>
        </w:drawing>
      </w:r>
      <w:bookmarkEnd w:id="51"/>
    </w:p>
    <w:p>
      <w:pPr>
        <w:pStyle w:val="ImageCaption"/>
      </w:pPr>
      <w:r>
        <w:t xml:space="preserve">Figure S 8: Partitioning of the total beta diversity into nestedness and turnover. The total beta diveristy and its partitioning were computed between the predict commuity and the observed one on the train set (left column) and on the test set (right column) on abundance data.</w:t>
      </w:r>
    </w:p>
    <w:bookmarkEnd w:id="0"/>
    <w:bookmarkStart w:id="0" w:name="fig:supp9"/>
    <w:p>
      <w:pPr>
        <w:pStyle w:val="CaptionedFigure"/>
      </w:pPr>
      <w:bookmarkStart w:id="55" w:name="fig:supp9"/>
      <w:r>
        <w:drawing>
          <wp:inline>
            <wp:extent cx="5334000" cy="4000023"/>
            <wp:effectExtent b="0" l="0" r="0" t="0"/>
            <wp:docPr descr="Figure S 9: Partitioning of the total beta diversity into nestedness and turnover. The total beta diveristy and its partitioning were computed between the predict commuity and the observed one on the train set (left column) and on the test set (right column) on occurence data." title="" id="53" name="Picture"/>
            <a:graphic>
              <a:graphicData uri="http://schemas.openxmlformats.org/drawingml/2006/picture">
                <pic:pic>
                  <pic:nvPicPr>
                    <pic:cNvPr descr="figures/supplementary/fig_supp9.png" id="54" name="Picture"/>
                    <pic:cNvPicPr>
                      <a:picLocks noChangeArrowheads="1" noChangeAspect="1"/>
                    </pic:cNvPicPr>
                  </pic:nvPicPr>
                  <pic:blipFill>
                    <a:blip r:embed="rId52"/>
                    <a:stretch>
                      <a:fillRect/>
                    </a:stretch>
                  </pic:blipFill>
                  <pic:spPr bwMode="auto">
                    <a:xfrm>
                      <a:off x="0" y="0"/>
                      <a:ext cx="5334000" cy="4000023"/>
                    </a:xfrm>
                    <a:prstGeom prst="rect">
                      <a:avLst/>
                    </a:prstGeom>
                    <a:noFill/>
                    <a:ln w="9525">
                      <a:noFill/>
                      <a:headEnd/>
                      <a:tailEnd/>
                    </a:ln>
                  </pic:spPr>
                </pic:pic>
              </a:graphicData>
            </a:graphic>
          </wp:inline>
        </w:drawing>
      </w:r>
      <w:bookmarkEnd w:id="55"/>
    </w:p>
    <w:p>
      <w:pPr>
        <w:pStyle w:val="ImageCaption"/>
      </w:pPr>
      <w:r>
        <w:t xml:space="preserve">Figure S 9: Partitioning of the total beta diversity into nestedness and turnover. The total beta diveristy and its partitioning were computed between the predict commuity and the observed one on the train set (left column) and on the test set (right column) on occurence data.</w:t>
      </w:r>
    </w:p>
    <w:bookmarkEnd w:id="0"/>
    <w:bookmarkStart w:id="0" w:name="fig:supp10"/>
    <w:p>
      <w:pPr>
        <w:pStyle w:val="CaptionedFigure"/>
      </w:pPr>
      <w:bookmarkStart w:id="59" w:name="fig:supp10"/>
      <w:r>
        <w:drawing>
          <wp:inline>
            <wp:extent cx="5334000" cy="4000023"/>
            <wp:effectExtent b="0" l="0" r="0" t="0"/>
            <wp:docPr descr="Figure S 10: Proportion of response curves according to the nomenclature defined by Rigal et al. (2020) for different model architectures. All models have been fitted with occurence data. Each response is characterised by a shape and an intensity." title="" id="57" name="Picture"/>
            <a:graphic>
              <a:graphicData uri="http://schemas.openxmlformats.org/drawingml/2006/picture">
                <pic:pic>
                  <pic:nvPicPr>
                    <pic:cNvPr descr="figures/supplementary/fig_supp10.png" id="58" name="Picture"/>
                    <pic:cNvPicPr>
                      <a:picLocks noChangeArrowheads="1" noChangeAspect="1"/>
                    </pic:cNvPicPr>
                  </pic:nvPicPr>
                  <pic:blipFill>
                    <a:blip r:embed="rId56"/>
                    <a:stretch>
                      <a:fillRect/>
                    </a:stretch>
                  </pic:blipFill>
                  <pic:spPr bwMode="auto">
                    <a:xfrm>
                      <a:off x="0" y="0"/>
                      <a:ext cx="5334000" cy="4000023"/>
                    </a:xfrm>
                    <a:prstGeom prst="rect">
                      <a:avLst/>
                    </a:prstGeom>
                    <a:noFill/>
                    <a:ln w="9525">
                      <a:noFill/>
                      <a:headEnd/>
                      <a:tailEnd/>
                    </a:ln>
                  </pic:spPr>
                </pic:pic>
              </a:graphicData>
            </a:graphic>
          </wp:inline>
        </w:drawing>
      </w:r>
      <w:bookmarkEnd w:id="59"/>
    </w:p>
    <w:p>
      <w:pPr>
        <w:pStyle w:val="ImageCaption"/>
      </w:pPr>
      <w:r>
        <w:t xml:space="preserve">Figure S 10: Proportion of response curves according to the nomenclature defined by</w:t>
      </w:r>
      <w:r>
        <w:t xml:space="preserve"> </w:t>
      </w:r>
      <w:r>
        <w:t xml:space="preserve">Rigal</w:t>
      </w:r>
      <w:r>
        <w:t xml:space="preserve"> </w:t>
      </w:r>
      <w:r>
        <w:rPr>
          <w:iCs/>
          <w:i/>
        </w:rPr>
        <w:t xml:space="preserve">et al.</w:t>
      </w:r>
      <w:r>
        <w:t xml:space="preserve"> </w:t>
      </w:r>
      <w:r>
        <w:t xml:space="preserve">(2020)</w:t>
      </w:r>
      <w:r>
        <w:t xml:space="preserve"> </w:t>
      </w:r>
      <w:r>
        <w:t xml:space="preserve">for different model architectures. All models have been fitted with occurence data. Each response is characterised by a shape and an intensity.</w:t>
      </w:r>
    </w:p>
    <w:bookmarkEnd w:id="0"/>
    <w:bookmarkStart w:id="0" w:name="fig:supp11"/>
    <w:p>
      <w:pPr>
        <w:pStyle w:val="CaptionedFigure"/>
      </w:pPr>
      <w:bookmarkStart w:id="63" w:name="fig:supp11"/>
      <w:r>
        <w:drawing>
          <wp:inline>
            <wp:extent cx="5334000" cy="4000023"/>
            <wp:effectExtent b="0" l="0" r="0" t="0"/>
            <wp:docPr descr="Figure S 11: Comparison of residual correlations estimated by Whole Community Model and Benchmark model for the three random effect, the two models were fitted with occurence data. The two models were fitted with occurence data. The top line represent the distriubtion of these residual correlation and the points are colored by the density of observation. The bottom line indicates the distribution of the index mesuring the change of sign and magnitude between residual correlations estimated by the Whole community model and the Benchmark model adjusted with occurence data." title="" id="61" name="Picture"/>
            <a:graphic>
              <a:graphicData uri="http://schemas.openxmlformats.org/drawingml/2006/picture">
                <pic:pic>
                  <pic:nvPicPr>
                    <pic:cNvPr descr="figures/supplementary/fig_supp11.png" id="62" name="Picture"/>
                    <pic:cNvPicPr>
                      <a:picLocks noChangeArrowheads="1" noChangeAspect="1"/>
                    </pic:cNvPicPr>
                  </pic:nvPicPr>
                  <pic:blipFill>
                    <a:blip r:embed="rId60"/>
                    <a:stretch>
                      <a:fillRect/>
                    </a:stretch>
                  </pic:blipFill>
                  <pic:spPr bwMode="auto">
                    <a:xfrm>
                      <a:off x="0" y="0"/>
                      <a:ext cx="5334000" cy="4000023"/>
                    </a:xfrm>
                    <a:prstGeom prst="rect">
                      <a:avLst/>
                    </a:prstGeom>
                    <a:noFill/>
                    <a:ln w="9525">
                      <a:noFill/>
                      <a:headEnd/>
                      <a:tailEnd/>
                    </a:ln>
                  </pic:spPr>
                </pic:pic>
              </a:graphicData>
            </a:graphic>
          </wp:inline>
        </w:drawing>
      </w:r>
      <w:bookmarkEnd w:id="63"/>
    </w:p>
    <w:p>
      <w:pPr>
        <w:pStyle w:val="ImageCaption"/>
      </w:pPr>
      <w:r>
        <w:t xml:space="preserve">Figure S 11: Comparison of residual correlations estimated by Whole Community Model and Benchmark model for the three random effect, the two models were fitted with occurence data. The two models were fitted with occurence data. The top line represent the distriubtion of these residual correlation and the points are colored by the density of observation. The bottom line indicates the distribution of the index mesuring the change of sign and magnitude between residual correlations estimated by the Whole community model and the Benchmark model adjusted with occurence data.</w:t>
      </w:r>
    </w:p>
    <w:bookmarkEnd w:id="0"/>
    <w:bookmarkEnd w:id="64"/>
    <w:bookmarkStart w:id="110" w:name="appendix-b"/>
    <w:p>
      <w:pPr>
        <w:pStyle w:val="Heading1"/>
      </w:pPr>
      <w:r>
        <w:t xml:space="preserve">Appendix B</w:t>
      </w:r>
    </w:p>
    <w:bookmarkStart w:id="109" w:name="mcmc-convergence-diagnostic"/>
    <w:p>
      <w:pPr>
        <w:pStyle w:val="Heading2"/>
      </w:pPr>
      <w:r>
        <w:t xml:space="preserve">MCMC convergence diagnostic</w:t>
      </w:r>
    </w:p>
    <w:bookmarkStart w:id="97" w:name="environmental-coefficients"/>
    <w:p>
      <w:pPr>
        <w:pStyle w:val="Heading3"/>
      </w:pPr>
      <w:r>
        <w:t xml:space="preserve">Environmental coefficients</w:t>
      </w:r>
    </w:p>
    <w:bookmarkStart w:id="0" w:name="fig:bench_ab_beta"/>
    <w:p>
      <w:pPr>
        <w:pStyle w:val="CaptionedFigure"/>
      </w:pPr>
      <w:bookmarkStart w:id="68" w:name="fig:bench_ab_beta"/>
      <w:r>
        <w:drawing>
          <wp:inline>
            <wp:extent cx="5334000" cy="4000023"/>
            <wp:effectExtent b="0" l="0" r="0" t="0"/>
            <wp:docPr descr="Figure S 12: Density curve of potential scale reduction factors (PSRF; left panel) and effective sample sizes (ESS; right panel) for Beta parameters (i.e environmental coefficients) estimated for the benchmark model fitted with abundance data. For PSRF, values greater than 1.2 indicates that the Markov chains did not converge for the estimation of this particular parameter. ESS estimates the number of independant sample for each parameter (higher is better)." title="" id="66" name="Picture"/>
            <a:graphic>
              <a:graphicData uri="http://schemas.openxmlformats.org/drawingml/2006/picture">
                <pic:pic>
                  <pic:nvPicPr>
                    <pic:cNvPr descr="figures/supplementary/fig_supp_conv_beta_PolychaetaAB.png" id="67" name="Picture"/>
                    <pic:cNvPicPr>
                      <a:picLocks noChangeArrowheads="1" noChangeAspect="1"/>
                    </pic:cNvPicPr>
                  </pic:nvPicPr>
                  <pic:blipFill>
                    <a:blip r:embed="rId65"/>
                    <a:stretch>
                      <a:fillRect/>
                    </a:stretch>
                  </pic:blipFill>
                  <pic:spPr bwMode="auto">
                    <a:xfrm>
                      <a:off x="0" y="0"/>
                      <a:ext cx="5334000" cy="4000023"/>
                    </a:xfrm>
                    <a:prstGeom prst="rect">
                      <a:avLst/>
                    </a:prstGeom>
                    <a:noFill/>
                    <a:ln w="9525">
                      <a:noFill/>
                      <a:headEnd/>
                      <a:tailEnd/>
                    </a:ln>
                  </pic:spPr>
                </pic:pic>
              </a:graphicData>
            </a:graphic>
          </wp:inline>
        </w:drawing>
      </w:r>
      <w:bookmarkEnd w:id="68"/>
    </w:p>
    <w:p>
      <w:pPr>
        <w:pStyle w:val="ImageCaption"/>
      </w:pPr>
      <w:r>
        <w:t xml:space="preserve">Figure S 12: Density curve of potential scale reduction factors (PSRF; left panel) and effective sample sizes (ESS; right panel) for Beta parameters (i.e environmental coefficients) estimated for the benchmark model fitted with abundance data. For PSRF, values greater than 1.2 indicates that the Markov chains did not converge for the estimation of this particular parameter. ESS estimates the number of independant sample for each parameter (higher is better).</w:t>
      </w:r>
    </w:p>
    <w:bookmarkEnd w:id="0"/>
    <w:bookmarkStart w:id="0" w:name="fig:bench_pa_beta"/>
    <w:p>
      <w:pPr>
        <w:pStyle w:val="CaptionedFigure"/>
      </w:pPr>
      <w:bookmarkStart w:id="72" w:name="fig:bench_pa_beta"/>
      <w:r>
        <w:drawing>
          <wp:inline>
            <wp:extent cx="5334000" cy="4000023"/>
            <wp:effectExtent b="0" l="0" r="0" t="0"/>
            <wp:docPr descr="Figure S 13: Density curve of potential scale reduction factors (PSRF; left panel) and effective sample sizes (ESS; right panel) for Beta parameters (i.e environmental coefficients) estimated for the benchmark model fitted with occurence data. For PSRF, values greater than 1.2 indicates that the Markov chains did not converge for the estimation of this particular parameter. ESS estimates the number of independant sample for each parameter (higher is better)." title="" id="70" name="Picture"/>
            <a:graphic>
              <a:graphicData uri="http://schemas.openxmlformats.org/drawingml/2006/picture">
                <pic:pic>
                  <pic:nvPicPr>
                    <pic:cNvPr descr="figures/supplementary/fig_supp_conv_beta_PolychaetaPA.png" id="71" name="Picture"/>
                    <pic:cNvPicPr>
                      <a:picLocks noChangeArrowheads="1" noChangeAspect="1"/>
                    </pic:cNvPicPr>
                  </pic:nvPicPr>
                  <pic:blipFill>
                    <a:blip r:embed="rId69"/>
                    <a:stretch>
                      <a:fillRect/>
                    </a:stretch>
                  </pic:blipFill>
                  <pic:spPr bwMode="auto">
                    <a:xfrm>
                      <a:off x="0" y="0"/>
                      <a:ext cx="5334000" cy="4000023"/>
                    </a:xfrm>
                    <a:prstGeom prst="rect">
                      <a:avLst/>
                    </a:prstGeom>
                    <a:noFill/>
                    <a:ln w="9525">
                      <a:noFill/>
                      <a:headEnd/>
                      <a:tailEnd/>
                    </a:ln>
                  </pic:spPr>
                </pic:pic>
              </a:graphicData>
            </a:graphic>
          </wp:inline>
        </w:drawing>
      </w:r>
      <w:bookmarkEnd w:id="72"/>
    </w:p>
    <w:p>
      <w:pPr>
        <w:pStyle w:val="ImageCaption"/>
      </w:pPr>
      <w:r>
        <w:t xml:space="preserve">Figure S 13: Density curve of potential scale reduction factors (PSRF; left panel) and effective sample sizes (ESS; right panel) for Beta parameters (i.e environmental coefficients) estimated for the benchmark model fitted with occurence data. For PSRF, values greater than 1.2 indicates that the Markov chains did not converge for the estimation of this particular parameter. ESS estimates the number of independant sample for each parameter (higher is better).</w:t>
      </w:r>
    </w:p>
    <w:bookmarkEnd w:id="0"/>
    <w:bookmarkStart w:id="0" w:name="fig:phylo_ab_beta"/>
    <w:p>
      <w:pPr>
        <w:pStyle w:val="CaptionedFigure"/>
      </w:pPr>
      <w:bookmarkStart w:id="76" w:name="fig:phylo_ab_beta"/>
      <w:r>
        <w:drawing>
          <wp:inline>
            <wp:extent cx="5334000" cy="4000023"/>
            <wp:effectExtent b="0" l="0" r="0" t="0"/>
            <wp:docPr descr="Figure S 14: Density curve of potential scale reduction factors (PSRF; left panel) and effective sample sizes (ESS; right panel) for Beta parameters (i.e environmental coefficients) estimated for the phylogeny model fitted with abundance data. For PSRF, values greater than 1.2 indicates that the Markov chains did not converge for the estimation of this particular parameter. ESS estimates the number of independant sample for each parameter (higher is better)." title="" id="74" name="Picture"/>
            <a:graphic>
              <a:graphicData uri="http://schemas.openxmlformats.org/drawingml/2006/picture">
                <pic:pic>
                  <pic:nvPicPr>
                    <pic:cNvPr descr="figures/supplementary/fig_supp_conv_beta_PolychaetaPhylogenyAB.png" id="75" name="Picture"/>
                    <pic:cNvPicPr>
                      <a:picLocks noChangeArrowheads="1" noChangeAspect="1"/>
                    </pic:cNvPicPr>
                  </pic:nvPicPr>
                  <pic:blipFill>
                    <a:blip r:embed="rId73"/>
                    <a:stretch>
                      <a:fillRect/>
                    </a:stretch>
                  </pic:blipFill>
                  <pic:spPr bwMode="auto">
                    <a:xfrm>
                      <a:off x="0" y="0"/>
                      <a:ext cx="5334000" cy="4000023"/>
                    </a:xfrm>
                    <a:prstGeom prst="rect">
                      <a:avLst/>
                    </a:prstGeom>
                    <a:noFill/>
                    <a:ln w="9525">
                      <a:noFill/>
                      <a:headEnd/>
                      <a:tailEnd/>
                    </a:ln>
                  </pic:spPr>
                </pic:pic>
              </a:graphicData>
            </a:graphic>
          </wp:inline>
        </w:drawing>
      </w:r>
      <w:bookmarkEnd w:id="76"/>
    </w:p>
    <w:p>
      <w:pPr>
        <w:pStyle w:val="ImageCaption"/>
      </w:pPr>
      <w:r>
        <w:t xml:space="preserve">Figure S 14: Density curve of potential scale reduction factors (PSRF; left panel) and effective sample sizes (ESS; right panel) for Beta parameters (i.e environmental coefficients) estimated for the phylogeny model fitted with abundance data. For PSRF, values greater than 1.2 indicates that the Markov chains did not converge for the estimation of this particular parameter. ESS estimates the number of independant sample for each parameter (higher is better).</w:t>
      </w:r>
    </w:p>
    <w:bookmarkEnd w:id="0"/>
    <w:bookmarkStart w:id="0" w:name="fig:phylo_pa_beta"/>
    <w:p>
      <w:pPr>
        <w:pStyle w:val="CaptionedFigure"/>
      </w:pPr>
      <w:bookmarkStart w:id="80" w:name="fig:phylo_pa_beta"/>
      <w:r>
        <w:drawing>
          <wp:inline>
            <wp:extent cx="5334000" cy="4000023"/>
            <wp:effectExtent b="0" l="0" r="0" t="0"/>
            <wp:docPr descr="Figure S 15: Density curve of potential scale reduction factors (PSRF; left panel) and effective sample sizes (ESS; right panel) for Beta parameters (i.e environmental coefficients) estimated for the phylogeny model fitted with occurence data. For PSRF, values greater than 1.2 indicates that the Markov chains did not converge for the estimation of this particular parameter. ESS estimates the number of independant sample for each parameter (higher is better)." title="" id="78" name="Picture"/>
            <a:graphic>
              <a:graphicData uri="http://schemas.openxmlformats.org/drawingml/2006/picture">
                <pic:pic>
                  <pic:nvPicPr>
                    <pic:cNvPr descr="figures/supplementary/fig_supp_conv_beta_PolychaetaPhylogenyPA.png" id="79" name="Picture"/>
                    <pic:cNvPicPr>
                      <a:picLocks noChangeArrowheads="1" noChangeAspect="1"/>
                    </pic:cNvPicPr>
                  </pic:nvPicPr>
                  <pic:blipFill>
                    <a:blip r:embed="rId77"/>
                    <a:stretch>
                      <a:fillRect/>
                    </a:stretch>
                  </pic:blipFill>
                  <pic:spPr bwMode="auto">
                    <a:xfrm>
                      <a:off x="0" y="0"/>
                      <a:ext cx="5334000" cy="4000023"/>
                    </a:xfrm>
                    <a:prstGeom prst="rect">
                      <a:avLst/>
                    </a:prstGeom>
                    <a:noFill/>
                    <a:ln w="9525">
                      <a:noFill/>
                      <a:headEnd/>
                      <a:tailEnd/>
                    </a:ln>
                  </pic:spPr>
                </pic:pic>
              </a:graphicData>
            </a:graphic>
          </wp:inline>
        </w:drawing>
      </w:r>
      <w:bookmarkEnd w:id="80"/>
    </w:p>
    <w:p>
      <w:pPr>
        <w:pStyle w:val="ImageCaption"/>
      </w:pPr>
      <w:r>
        <w:t xml:space="preserve">Figure S 15: Density curve of potential scale reduction factors (PSRF; left panel) and effective sample sizes (ESS; right panel) for Beta parameters (i.e environmental coefficients) estimated for the phylogeny model fitted with occurence data. For PSRF, values greater than 1.2 indicates that the Markov chains did not converge for the estimation of this particular parameter. ESS estimates the number of independant sample for each parameter (higher is better).</w:t>
      </w:r>
    </w:p>
    <w:bookmarkEnd w:id="0"/>
    <w:bookmarkStart w:id="0" w:name="fig:phylo_traits_ab_beta"/>
    <w:p>
      <w:pPr>
        <w:pStyle w:val="CaptionedFigure"/>
      </w:pPr>
      <w:bookmarkStart w:id="84" w:name="fig:phylo_traits_ab_beta"/>
      <w:r>
        <w:drawing>
          <wp:inline>
            <wp:extent cx="5334000" cy="4000023"/>
            <wp:effectExtent b="0" l="0" r="0" t="0"/>
            <wp:docPr descr="Figure S 16: Density curve of potential scale reduction factors (PSRF; left panel) and effective sample sizes (ESS; right panel) for Beta parameters (i.e environmental coefficients) estimated for the traits and phylogeny model model fitted with abundance data. For PSRF, values greater than 1.2 indicates that the Markov chains did not converge for the estimation of this particular parameter. ESS estimates the number of independant sample for each parameter (higher is better)." title="" id="82" name="Picture"/>
            <a:graphic>
              <a:graphicData uri="http://schemas.openxmlformats.org/drawingml/2006/picture">
                <pic:pic>
                  <pic:nvPicPr>
                    <pic:cNvPr descr="figures/supplementary/fig_supp_conv_beta_PolychaetaPhylogenyTraitsAB.png" id="83" name="Picture"/>
                    <pic:cNvPicPr>
                      <a:picLocks noChangeArrowheads="1" noChangeAspect="1"/>
                    </pic:cNvPicPr>
                  </pic:nvPicPr>
                  <pic:blipFill>
                    <a:blip r:embed="rId81"/>
                    <a:stretch>
                      <a:fillRect/>
                    </a:stretch>
                  </pic:blipFill>
                  <pic:spPr bwMode="auto">
                    <a:xfrm>
                      <a:off x="0" y="0"/>
                      <a:ext cx="5334000" cy="4000023"/>
                    </a:xfrm>
                    <a:prstGeom prst="rect">
                      <a:avLst/>
                    </a:prstGeom>
                    <a:noFill/>
                    <a:ln w="9525">
                      <a:noFill/>
                      <a:headEnd/>
                      <a:tailEnd/>
                    </a:ln>
                  </pic:spPr>
                </pic:pic>
              </a:graphicData>
            </a:graphic>
          </wp:inline>
        </w:drawing>
      </w:r>
      <w:bookmarkEnd w:id="84"/>
    </w:p>
    <w:p>
      <w:pPr>
        <w:pStyle w:val="ImageCaption"/>
      </w:pPr>
      <w:r>
        <w:t xml:space="preserve">Figure S 16: Density curve of potential scale reduction factors (PSRF; left panel) and effective sample sizes (ESS; right panel) for Beta parameters (i.e environmental coefficients) estimated for the traits and phylogeny model model fitted with abundance data. For PSRF, values greater than 1.2 indicates that the Markov chains did not converge for the estimation of this particular parameter. ESS estimates the number of independant sample for each parameter (higher is better).</w:t>
      </w:r>
    </w:p>
    <w:bookmarkEnd w:id="0"/>
    <w:bookmarkStart w:id="0" w:name="fig:phylo_traits_pa_beta"/>
    <w:p>
      <w:pPr>
        <w:pStyle w:val="CaptionedFigure"/>
      </w:pPr>
      <w:bookmarkStart w:id="88" w:name="fig:phylo_traits_pa_beta"/>
      <w:r>
        <w:drawing>
          <wp:inline>
            <wp:extent cx="5334000" cy="4000023"/>
            <wp:effectExtent b="0" l="0" r="0" t="0"/>
            <wp:docPr descr="Figure S 17: Density curve of potential scale reduction factors (PSRF; left panel) and effective sample sizes (ESS; right panel) for Beta parameters (i.e environmental coefficients) estimated for the traits and phylogeny model model fitted with occurence data. For PSRF, values greater than 1.2 indicates that the Markov chains did not converge for the estimation of this particular parameter. ESS estimates the number of independant sample for each parameter (higher is better)." title="" id="86" name="Picture"/>
            <a:graphic>
              <a:graphicData uri="http://schemas.openxmlformats.org/drawingml/2006/picture">
                <pic:pic>
                  <pic:nvPicPr>
                    <pic:cNvPr descr="figures/supplementary/fig_supp_conv_beta_PolychaetaPhylogenyTraitsPA.png" id="87" name="Picture"/>
                    <pic:cNvPicPr>
                      <a:picLocks noChangeArrowheads="1" noChangeAspect="1"/>
                    </pic:cNvPicPr>
                  </pic:nvPicPr>
                  <pic:blipFill>
                    <a:blip r:embed="rId85"/>
                    <a:stretch>
                      <a:fillRect/>
                    </a:stretch>
                  </pic:blipFill>
                  <pic:spPr bwMode="auto">
                    <a:xfrm>
                      <a:off x="0" y="0"/>
                      <a:ext cx="5334000" cy="4000023"/>
                    </a:xfrm>
                    <a:prstGeom prst="rect">
                      <a:avLst/>
                    </a:prstGeom>
                    <a:noFill/>
                    <a:ln w="9525">
                      <a:noFill/>
                      <a:headEnd/>
                      <a:tailEnd/>
                    </a:ln>
                  </pic:spPr>
                </pic:pic>
              </a:graphicData>
            </a:graphic>
          </wp:inline>
        </w:drawing>
      </w:r>
      <w:bookmarkEnd w:id="88"/>
    </w:p>
    <w:p>
      <w:pPr>
        <w:pStyle w:val="ImageCaption"/>
      </w:pPr>
      <w:r>
        <w:t xml:space="preserve">Figure S 17: Density curve of potential scale reduction factors (PSRF; left panel) and effective sample sizes (ESS; right panel) for Beta parameters (i.e environmental coefficients) estimated for the traits and phylogeny model model fitted with occurence data. For PSRF, values greater than 1.2 indicates that the Markov chains did not converge for the estimation of this particular parameter. ESS estimates the number of independant sample for each parameter (higher is better).</w:t>
      </w:r>
    </w:p>
    <w:bookmarkEnd w:id="0"/>
    <w:bookmarkStart w:id="0" w:name="fig:whole_comm_ab_beta"/>
    <w:p>
      <w:pPr>
        <w:pStyle w:val="CaptionedFigure"/>
      </w:pPr>
      <w:bookmarkStart w:id="92" w:name="fig:whole_comm_ab_beta"/>
      <w:r>
        <w:drawing>
          <wp:inline>
            <wp:extent cx="5334000" cy="4000023"/>
            <wp:effectExtent b="0" l="0" r="0" t="0"/>
            <wp:docPr descr="Figure S 18: Density curve of potential scale reduction factors (PSRF; left panel) and effective sample sizes (ESS; right panel) for Beta parameters (i.e environmental coefficients) estimated for the whole community model model fitted with abundance data. For PSRF, values greater than 1.2 indicates that the Markov chains did not converge for the estimation of this particular parameter. ESS estimates the number of independant sample for each parameter (higher is better)." title="" id="90" name="Picture"/>
            <a:graphic>
              <a:graphicData uri="http://schemas.openxmlformats.org/drawingml/2006/picture">
                <pic:pic>
                  <pic:nvPicPr>
                    <pic:cNvPr descr="figures/supplementary/fig_supp_conv_beta_WholecommunityAB.png" id="91" name="Picture"/>
                    <pic:cNvPicPr>
                      <a:picLocks noChangeArrowheads="1" noChangeAspect="1"/>
                    </pic:cNvPicPr>
                  </pic:nvPicPr>
                  <pic:blipFill>
                    <a:blip r:embed="rId89"/>
                    <a:stretch>
                      <a:fillRect/>
                    </a:stretch>
                  </pic:blipFill>
                  <pic:spPr bwMode="auto">
                    <a:xfrm>
                      <a:off x="0" y="0"/>
                      <a:ext cx="5334000" cy="4000023"/>
                    </a:xfrm>
                    <a:prstGeom prst="rect">
                      <a:avLst/>
                    </a:prstGeom>
                    <a:noFill/>
                    <a:ln w="9525">
                      <a:noFill/>
                      <a:headEnd/>
                      <a:tailEnd/>
                    </a:ln>
                  </pic:spPr>
                </pic:pic>
              </a:graphicData>
            </a:graphic>
          </wp:inline>
        </w:drawing>
      </w:r>
      <w:bookmarkEnd w:id="92"/>
    </w:p>
    <w:p>
      <w:pPr>
        <w:pStyle w:val="ImageCaption"/>
      </w:pPr>
      <w:r>
        <w:t xml:space="preserve">Figure S 18: Density curve of potential scale reduction factors (PSRF; left panel) and effective sample sizes (ESS; right panel) for Beta parameters (i.e environmental coefficients) estimated for the whole community model model fitted with abundance data. For PSRF, values greater than 1.2 indicates that the Markov chains did not converge for the estimation of this particular parameter. ESS estimates the number of independant sample for each parameter (higher is better).</w:t>
      </w:r>
    </w:p>
    <w:bookmarkEnd w:id="0"/>
    <w:bookmarkStart w:id="0" w:name="fig:whole_comm_pa_beta"/>
    <w:p>
      <w:pPr>
        <w:pStyle w:val="CaptionedFigure"/>
      </w:pPr>
      <w:bookmarkStart w:id="96" w:name="fig:whole_comm_pa_beta"/>
      <w:r>
        <w:drawing>
          <wp:inline>
            <wp:extent cx="5334000" cy="4000023"/>
            <wp:effectExtent b="0" l="0" r="0" t="0"/>
            <wp:docPr descr="Figure S 19: Density curve of potential scale reduction factors (PSRF; left panel) and effective sample sizes (ESS; right panel) for Beta parameters (i.e environmental coefficients) estimated for the whole community model model fitted with occurence data. For PSRF, values greater than 1.2 indicates that the Markov chains did not converge for the estimation of this particular parameter. ESS estimates the number of independant sample for each parameter (higher is better)." title="" id="94" name="Picture"/>
            <a:graphic>
              <a:graphicData uri="http://schemas.openxmlformats.org/drawingml/2006/picture">
                <pic:pic>
                  <pic:nvPicPr>
                    <pic:cNvPr descr="figures/supplementary/fig_supp_conv_beta_WholecommunityPA.png" id="95" name="Picture"/>
                    <pic:cNvPicPr>
                      <a:picLocks noChangeArrowheads="1" noChangeAspect="1"/>
                    </pic:cNvPicPr>
                  </pic:nvPicPr>
                  <pic:blipFill>
                    <a:blip r:embed="rId93"/>
                    <a:stretch>
                      <a:fillRect/>
                    </a:stretch>
                  </pic:blipFill>
                  <pic:spPr bwMode="auto">
                    <a:xfrm>
                      <a:off x="0" y="0"/>
                      <a:ext cx="5334000" cy="4000023"/>
                    </a:xfrm>
                    <a:prstGeom prst="rect">
                      <a:avLst/>
                    </a:prstGeom>
                    <a:noFill/>
                    <a:ln w="9525">
                      <a:noFill/>
                      <a:headEnd/>
                      <a:tailEnd/>
                    </a:ln>
                  </pic:spPr>
                </pic:pic>
              </a:graphicData>
            </a:graphic>
          </wp:inline>
        </w:drawing>
      </w:r>
      <w:bookmarkEnd w:id="96"/>
    </w:p>
    <w:p>
      <w:pPr>
        <w:pStyle w:val="ImageCaption"/>
      </w:pPr>
      <w:r>
        <w:t xml:space="preserve">Figure S 19: Density curve of potential scale reduction factors (PSRF; left panel) and effective sample sizes (ESS; right panel) for Beta parameters (i.e environmental coefficients) estimated for the whole community model model fitted with occurence data. For PSRF, values greater than 1.2 indicates that the Markov chains did not converge for the estimation of this particular parameter. ESS estimates the number of independant sample for each parameter (higher is better).</w:t>
      </w:r>
    </w:p>
    <w:bookmarkEnd w:id="0"/>
    <w:bookmarkEnd w:id="97"/>
    <w:bookmarkStart w:id="106" w:name="traits-coefficients"/>
    <w:p>
      <w:pPr>
        <w:pStyle w:val="Heading3"/>
      </w:pPr>
      <w:r>
        <w:t xml:space="preserve">Traits coefficients</w:t>
      </w:r>
    </w:p>
    <w:bookmarkStart w:id="0" w:name="fig:phylo_traits_ab_gamma"/>
    <w:p>
      <w:pPr>
        <w:pStyle w:val="CaptionedFigure"/>
      </w:pPr>
      <w:bookmarkStart w:id="101" w:name="fig:phylo_traits_ab_gamma"/>
      <w:r>
        <w:drawing>
          <wp:inline>
            <wp:extent cx="5334000" cy="4000023"/>
            <wp:effectExtent b="0" l="0" r="0" t="0"/>
            <wp:docPr descr="Figure S 20: Density curve of potential scale reduction factors (PSRF; left panel) and effective sample sizes (ESS; right panel) for Gamma parameters (i.e trait coefficients) estimated for the whole community model model fitted with abundance data. For PSRF, values greater than 1.2 indicates that the Markov chains did not converge for the estimation of this particular parameter. ESS estimates the number of independant sample for each parameter (higher is better)." title="" id="99" name="Picture"/>
            <a:graphic>
              <a:graphicData uri="http://schemas.openxmlformats.org/drawingml/2006/picture">
                <pic:pic>
                  <pic:nvPicPr>
                    <pic:cNvPr descr="figures/supplementary/fig_supp_conv_gamma_PolychaetaPhylogenyTraitsAB.png" id="100" name="Picture"/>
                    <pic:cNvPicPr>
                      <a:picLocks noChangeArrowheads="1" noChangeAspect="1"/>
                    </pic:cNvPicPr>
                  </pic:nvPicPr>
                  <pic:blipFill>
                    <a:blip r:embed="rId98"/>
                    <a:stretch>
                      <a:fillRect/>
                    </a:stretch>
                  </pic:blipFill>
                  <pic:spPr bwMode="auto">
                    <a:xfrm>
                      <a:off x="0" y="0"/>
                      <a:ext cx="5334000" cy="4000023"/>
                    </a:xfrm>
                    <a:prstGeom prst="rect">
                      <a:avLst/>
                    </a:prstGeom>
                    <a:noFill/>
                    <a:ln w="9525">
                      <a:noFill/>
                      <a:headEnd/>
                      <a:tailEnd/>
                    </a:ln>
                  </pic:spPr>
                </pic:pic>
              </a:graphicData>
            </a:graphic>
          </wp:inline>
        </w:drawing>
      </w:r>
      <w:bookmarkEnd w:id="101"/>
    </w:p>
    <w:p>
      <w:pPr>
        <w:pStyle w:val="ImageCaption"/>
      </w:pPr>
      <w:r>
        <w:t xml:space="preserve">Figure S 20: Density curve of potential scale reduction factors (PSRF; left panel) and effective sample sizes (ESS; right panel) for Gamma parameters (i.e trait coefficients) estimated for the whole community model model fitted with abundance data. For PSRF, values greater than 1.2 indicates that the Markov chains did not converge for the estimation of this particular parameter. ESS estimates the number of independant sample for each parameter (higher is better).</w:t>
      </w:r>
    </w:p>
    <w:bookmarkEnd w:id="0"/>
    <w:bookmarkStart w:id="0" w:name="fig:phylo_traits_pa_gamma"/>
    <w:p>
      <w:pPr>
        <w:pStyle w:val="CaptionedFigure"/>
      </w:pPr>
      <w:bookmarkStart w:id="105" w:name="fig:phylo_traits_pa_gamma"/>
      <w:r>
        <w:drawing>
          <wp:inline>
            <wp:extent cx="5334000" cy="4000023"/>
            <wp:effectExtent b="0" l="0" r="0" t="0"/>
            <wp:docPr descr="Figure S 21: Density curve of potential scale reduction factors (PSRF; left panel) and effective sample sizes (ESS; right panel) for Gamma parameters (i.e trait coefficients) estimated for the whole community model model fitted with abundance data. For PSRF, values greater than 1.2 indicates that the Markov chains did not converge for the estimation of this particular parameter. ESS estimates the number of independant sample for each parameter (higher is better)." title="" id="103" name="Picture"/>
            <a:graphic>
              <a:graphicData uri="http://schemas.openxmlformats.org/drawingml/2006/picture">
                <pic:pic>
                  <pic:nvPicPr>
                    <pic:cNvPr descr="figures/supplementary/fig_supp_conv_gamma_PolychaetaPhylogenyTraitsPA.png" id="104" name="Picture"/>
                    <pic:cNvPicPr>
                      <a:picLocks noChangeArrowheads="1" noChangeAspect="1"/>
                    </pic:cNvPicPr>
                  </pic:nvPicPr>
                  <pic:blipFill>
                    <a:blip r:embed="rId102"/>
                    <a:stretch>
                      <a:fillRect/>
                    </a:stretch>
                  </pic:blipFill>
                  <pic:spPr bwMode="auto">
                    <a:xfrm>
                      <a:off x="0" y="0"/>
                      <a:ext cx="5334000" cy="4000023"/>
                    </a:xfrm>
                    <a:prstGeom prst="rect">
                      <a:avLst/>
                    </a:prstGeom>
                    <a:noFill/>
                    <a:ln w="9525">
                      <a:noFill/>
                      <a:headEnd/>
                      <a:tailEnd/>
                    </a:ln>
                  </pic:spPr>
                </pic:pic>
              </a:graphicData>
            </a:graphic>
          </wp:inline>
        </w:drawing>
      </w:r>
      <w:bookmarkEnd w:id="105"/>
    </w:p>
    <w:p>
      <w:pPr>
        <w:pStyle w:val="ImageCaption"/>
      </w:pPr>
      <w:r>
        <w:t xml:space="preserve">Figure S 21: Density curve of potential scale reduction factors (PSRF; left panel) and effective sample sizes (ESS; right panel) for Gamma parameters (i.e trait coefficients) estimated for the whole community model model fitted with abundance data. For PSRF, values greater than 1.2 indicates that the Markov chains did not converge for the estimation of this particular parameter. ESS estimates the number of independant sample for each parameter (higher is better).</w:t>
      </w:r>
    </w:p>
    <w:bookmarkEnd w:id="0"/>
    <w:bookmarkEnd w:id="106"/>
    <w:bookmarkStart w:id="108" w:name="phylogeny-coefficients"/>
    <w:p>
      <w:pPr>
        <w:pStyle w:val="Heading3"/>
      </w:pPr>
      <w:r>
        <w:t xml:space="preserve">Phylogeny coefficients</w:t>
      </w:r>
    </w:p>
    <w:bookmarkStart w:id="0" w:name="tbl:rho_convergence"/>
    <w:bookmarkStart w:id="107" w:name="tbl:rho_convergence"/>
    <w:p>
      <w:pPr>
        <w:pStyle w:val="TableCaption"/>
      </w:pPr>
      <w:r>
        <w:t xml:space="preserve">Table S 1: Potential scale reduction factors (PSRF; left panel) and effective sample sizes (ESS; right panel) for rho parameters (i.e phylogeny coefficients) estimated for the models including phylogeny data. For PSRF, values greater than 1.2 indicates that the Markov chains did not converge for the estimation of this particular parameter. ESS estimates the number of independant sample for each parameter (higher is better).</w:t>
      </w:r>
      <w:r>
        <w:t xml:space="preserve"> </w:t>
      </w:r>
    </w:p>
    <w:tbl>
      <w:tblPr>
        <w:tblStyle w:val="Table"/>
        <w:tblW w:type="pct" w:w="5000"/>
        <w:tblLook w:firstRow="1" w:lastRow="0" w:firstColumn="0" w:lastColumn="0" w:noHBand="0" w:noVBand="0" w:val="0020"/>
        <w:tblCaption w:val="Table S 1: Potential scale reduction factors (PSRF; left panel) and effective sample sizes (ESS; right panel) for rho parameters (i.e phylogeny coefficients) estimated for the models including phylogeny data. For PSRF, values greater than 1.2 indicates that the Markov chains did not converge for the estimation of this particular parameter. ESS estimates the number of independant sample for each parameter (higher is better). "/>
      </w:tblPr>
      <w:tblGrid>
        <w:gridCol w:w="4525"/>
        <w:gridCol w:w="1131"/>
        <w:gridCol w:w="1018"/>
        <w:gridCol w:w="1244"/>
      </w:tblGrid>
      <w:tr>
        <w:trPr>
          <w:tblHeader w:val="true"/>
        </w:trPr>
        <w:tc>
          <w:tcPr/>
          <w:p>
            <w:pPr>
              <w:pStyle w:val="Compact"/>
              <w:jc w:val="center"/>
            </w:pPr>
            <w:r>
              <w:t xml:space="preserve">Model</w:t>
            </w:r>
          </w:p>
        </w:tc>
        <w:tc>
          <w:tcPr/>
          <w:p>
            <w:pPr>
              <w:pStyle w:val="Compact"/>
              <w:jc w:val="left"/>
            </w:pPr>
            <w:r>
              <w:t xml:space="preserve">Parameter</w:t>
            </w:r>
          </w:p>
        </w:tc>
        <w:tc>
          <w:tcPr/>
          <w:p>
            <w:pPr>
              <w:pStyle w:val="Compact"/>
              <w:jc w:val="right"/>
            </w:pPr>
            <w:r>
              <w:t xml:space="preserve">PSRF</w:t>
            </w:r>
          </w:p>
        </w:tc>
        <w:tc>
          <w:tcPr/>
          <w:p>
            <w:pPr>
              <w:pStyle w:val="Compact"/>
              <w:jc w:val="right"/>
            </w:pPr>
            <w:r>
              <w:t xml:space="preserve">ESS</w:t>
            </w:r>
          </w:p>
        </w:tc>
      </w:tr>
      <w:tr>
        <w:tc>
          <w:tcPr/>
          <w:p>
            <w:pPr>
              <w:pStyle w:val="Compact"/>
              <w:jc w:val="center"/>
            </w:pPr>
            <w:r>
              <w:t xml:space="preserve">Polychaeta Phylogeny - Abundance</w:t>
            </w:r>
          </w:p>
        </w:tc>
        <w:tc>
          <w:tcPr/>
          <w:p>
            <w:pPr>
              <w:pStyle w:val="Compact"/>
              <w:jc w:val="left"/>
            </w:pPr>
            <w:r>
              <w:t xml:space="preserve">rho</w:t>
            </w:r>
          </w:p>
        </w:tc>
        <w:tc>
          <w:tcPr/>
          <w:p>
            <w:pPr>
              <w:pStyle w:val="Compact"/>
              <w:jc w:val="right"/>
            </w:pPr>
            <w:r>
              <w:t xml:space="preserve">2.430117</w:t>
            </w:r>
          </w:p>
        </w:tc>
        <w:tc>
          <w:tcPr/>
          <w:p>
            <w:pPr>
              <w:pStyle w:val="Compact"/>
              <w:jc w:val="right"/>
            </w:pPr>
            <w:r>
              <w:t xml:space="preserve">649.9631</w:t>
            </w:r>
          </w:p>
        </w:tc>
      </w:tr>
      <w:tr>
        <w:tc>
          <w:tcPr/>
          <w:p>
            <w:pPr>
              <w:pStyle w:val="Compact"/>
              <w:jc w:val="center"/>
            </w:pPr>
            <w:r>
              <w:t xml:space="preserve">Polychaeta Phylogeny - Occurence</w:t>
            </w:r>
          </w:p>
        </w:tc>
        <w:tc>
          <w:tcPr/>
          <w:p>
            <w:pPr>
              <w:pStyle w:val="Compact"/>
              <w:jc w:val="left"/>
            </w:pPr>
            <w:r>
              <w:t xml:space="preserve">rho</w:t>
            </w:r>
          </w:p>
        </w:tc>
        <w:tc>
          <w:tcPr/>
          <w:p>
            <w:pPr>
              <w:pStyle w:val="Compact"/>
              <w:jc w:val="right"/>
            </w:pPr>
            <w:r>
              <w:t xml:space="preserve">1.002695</w:t>
            </w:r>
          </w:p>
        </w:tc>
        <w:tc>
          <w:tcPr/>
          <w:p>
            <w:pPr>
              <w:pStyle w:val="Compact"/>
              <w:jc w:val="right"/>
            </w:pPr>
            <w:r>
              <w:t xml:space="preserve">9349.1979</w:t>
            </w:r>
          </w:p>
        </w:tc>
      </w:tr>
      <w:tr>
        <w:tc>
          <w:tcPr/>
          <w:p>
            <w:pPr>
              <w:pStyle w:val="Compact"/>
              <w:jc w:val="center"/>
            </w:pPr>
            <w:r>
              <w:t xml:space="preserve">Polychaeta Phylogeny Traits - Abundance</w:t>
            </w:r>
          </w:p>
        </w:tc>
        <w:tc>
          <w:tcPr/>
          <w:p>
            <w:pPr>
              <w:pStyle w:val="Compact"/>
              <w:jc w:val="left"/>
            </w:pPr>
            <w:r>
              <w:t xml:space="preserve">rho</w:t>
            </w:r>
          </w:p>
        </w:tc>
        <w:tc>
          <w:tcPr/>
          <w:p>
            <w:pPr>
              <w:pStyle w:val="Compact"/>
              <w:jc w:val="right"/>
            </w:pPr>
            <w:r>
              <w:t xml:space="preserve">1.669545</w:t>
            </w:r>
          </w:p>
        </w:tc>
        <w:tc>
          <w:tcPr/>
          <w:p>
            <w:pPr>
              <w:pStyle w:val="Compact"/>
              <w:jc w:val="right"/>
            </w:pPr>
            <w:r>
              <w:t xml:space="preserve">757.1940</w:t>
            </w:r>
          </w:p>
        </w:tc>
      </w:tr>
      <w:tr>
        <w:tc>
          <w:tcPr/>
          <w:p>
            <w:pPr>
              <w:pStyle w:val="Compact"/>
              <w:jc w:val="center"/>
            </w:pPr>
            <w:r>
              <w:t xml:space="preserve">Polychaeta Phylogeny Traits - Occurence</w:t>
            </w:r>
          </w:p>
        </w:tc>
        <w:tc>
          <w:tcPr/>
          <w:p>
            <w:pPr>
              <w:pStyle w:val="Compact"/>
              <w:jc w:val="left"/>
            </w:pPr>
            <w:r>
              <w:t xml:space="preserve">rho</w:t>
            </w:r>
          </w:p>
        </w:tc>
        <w:tc>
          <w:tcPr/>
          <w:p>
            <w:pPr>
              <w:pStyle w:val="Compact"/>
              <w:jc w:val="right"/>
            </w:pPr>
            <w:r>
              <w:t xml:space="preserve">1.002523</w:t>
            </w:r>
          </w:p>
        </w:tc>
        <w:tc>
          <w:tcPr/>
          <w:p>
            <w:pPr>
              <w:pStyle w:val="Compact"/>
              <w:jc w:val="right"/>
            </w:pPr>
            <w:r>
              <w:t xml:space="preserve">11290.5930</w:t>
            </w:r>
          </w:p>
        </w:tc>
      </w:tr>
    </w:tbl>
    <w:bookmarkEnd w:id="107"/>
    <w:bookmarkEnd w:id="0"/>
    <w:bookmarkEnd w:id="108"/>
    <w:bookmarkEnd w:id="109"/>
    <w:bookmarkEnd w:id="110"/>
    <w:bookmarkStart w:id="114" w:name="references"/>
    <w:p>
      <w:pPr>
        <w:pStyle w:val="Heading1"/>
      </w:pPr>
      <w:r>
        <w:t xml:space="preserve">References</w:t>
      </w:r>
    </w:p>
    <w:bookmarkStart w:id="113" w:name="refs"/>
    <w:bookmarkStart w:id="112" w:name="ref-Rigal_2020"/>
    <w:p>
      <w:pPr>
        <w:pStyle w:val="Bibliography"/>
      </w:pPr>
      <w:r>
        <w:t xml:space="preserve">Rigal, S., Devictor, V. &amp; Dakos, V. (2020).</w:t>
      </w:r>
      <w:r>
        <w:t xml:space="preserve"> </w:t>
      </w:r>
      <w:hyperlink r:id="rId111">
        <w:r>
          <w:rPr>
            <w:rStyle w:val="Hyperlink"/>
          </w:rPr>
          <w:t xml:space="preserve">A method for classifying and comparing non-linear trajectories of ecological variables</w:t>
        </w:r>
      </w:hyperlink>
      <w:r>
        <w:t xml:space="preserve">.</w:t>
      </w:r>
      <w:r>
        <w:t xml:space="preserve"> </w:t>
      </w:r>
      <w:r>
        <w:rPr>
          <w:iCs/>
          <w:i/>
        </w:rPr>
        <w:t xml:space="preserve">Ecological Indicators</w:t>
      </w:r>
      <w:r>
        <w:t xml:space="preserve">, 112, 106113.</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hyperlink" Id="rId111" Target="https://doi.org/10.1016/j.ecolind.2020.106113" TargetMode="External" /></Relationships>
</file>

<file path=word/_rels/footnotes.xml.rels><?xml version="1.0" encoding="UTF-8"?><Relationships xmlns="http://schemas.openxmlformats.org/package/2006/relationships"><Relationship Type="http://schemas.openxmlformats.org/officeDocument/2006/relationships/hyperlink" Id="rId111" Target="https://doi.org/10.1016/j.ecolind.2020.1061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2022-12-08T16:42:13Z</dcterms:created>
  <dcterms:modified xsi:type="dcterms:W3CDTF">2022-12-08T16:42:13Z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csl">
    <vt:lpwstr>template/ecology-letters.cls</vt:lpwstr>
  </property>
  <property fmtid="{D5CDD505-2E9C-101B-9397-08002B2CF9AE}" pid="4" name="fignos-caption-name">
    <vt:lpwstr>Figure S</vt:lpwstr>
  </property>
  <property fmtid="{D5CDD505-2E9C-101B-9397-08002B2CF9AE}" pid="5" name="tablenos-caption-name">
    <vt:lpwstr>Table S</vt:lpwstr>
  </property>
</Properties>
</file>