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construitre le modèle 1.</w:t>
      </w:r>
      <w:r>
        <w:t xml:space="preserve"> </w:t>
      </w:r>
    </w:p>
    <w:tbl>
      <w:tblPr>
        <w:tblStyle w:val="Table"/>
        <w:tblW w:type="pct" w:w="0.0"/>
        <w:tblLook w:firstRow="1"/>
        <w:tblCaption w:val="Table 1: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bibliographie"/>
      <w:r>
        <w:t xml:space="preserve">Bibliographie</w:t>
      </w:r>
      <w:bookmarkEnd w:id="25"/>
    </w:p>
    <w:bookmarkStart w:id="27" w:name="refs"/>
    <w:bookmarkStart w:id="26" w:name="ref-Erickson_2010"/>
    <w:p>
      <w:pPr>
        <w:pStyle w:val="Bibliography"/>
      </w:pPr>
      <w:r>
        <w:rPr>
          <w:b/>
        </w:rPr>
        <w:t xml:space="preserve">Erickson et al.</w:t>
      </w:r>
      <w:r>
        <w:t xml:space="preserve"> </w:t>
      </w:r>
      <w:r>
        <w:t xml:space="preserve">(2010). 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2019-11-12T10:54:44Z</dcterms:created>
  <dcterms:modified xsi:type="dcterms:W3CDTF">2019-11-12T10:54:44Z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