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le tableau</w:t>
      </w:r>
      <w:r>
        <w:t xml:space="preserve"> </w:t>
      </w:r>
      <w:hyperlink w:anchor="tbl:1">
        <w:r>
          <w:rPr>
            <w:rStyle w:val="Hyperlink"/>
          </w:rPr>
          <w:t xml:space="preserve">1</w:t>
        </w:r>
      </w:hyperlink>
      <w:r>
        <w:t xml:space="preserve"> </w:t>
      </w:r>
      <w:r>
        <w:t xml:space="preserve">adapté de</w:t>
      </w:r>
      <w:r>
        <w:t xml:space="preserve"> </w:t>
      </w:r>
      <w:r>
        <w:t xml:space="preserve">Erickson et al. (2010)</w:t>
      </w:r>
      <w:r>
        <w:t xml:space="preserve">.</w:t>
      </w:r>
    </w:p>
    <w:bookmarkStart w:id="0" w:name="tbl:1"/>
    <w:p>
      <w:pPr>
        <w:pStyle w:val="TableCaption"/>
      </w:pPr>
      <w:r>
        <w:t xml:space="preserve">Table 1: Paramètres utilisés pour construitre le modèle 1.</w:t>
      </w:r>
      <w:r>
        <w:t xml:space="preserve"> </w:t>
      </w:r>
    </w:p>
    <w:tbl>
      <w:tblPr>
        <w:tblStyle w:val="Table"/>
        <w:tblW w:type="pct" w:w="0.0"/>
        <w:tblLook w:firstRow="1"/>
        <w:tblCaption w:val="Table 1: Paramètres utilisés pour construit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influencer certaines variables controllant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 immunisés et non pas succeptible. De plus, une personne déjà infectée par un serotype peut être infectée par un autre serotype. Si cette hypothèse était relaxée, elle complefirai grandement les équations consernant les compartiments succeptibles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 (Fig.</w:t>
      </w:r>
      <w:r>
        <w:t xml:space="preserve"> </w:t>
      </w:r>
      <w:hyperlink w:anchor="fig:model1">
        <w:r>
          <w:rPr>
            <w:rStyle w:val="Hyperlink"/>
          </w:rPr>
          <w:t xml:space="preserve">1</w:t>
        </w:r>
      </w:hyperlink>
      <w:r>
        <w:t xml:space="preserve">).</w:t>
      </w:r>
    </w:p>
    <w:bookmarkStart w:id="0" w:name="fig:model1"/>
    <w:p>
      <w:pPr>
        <w:pStyle w:val="CaptionedFigure"/>
      </w:pPr>
      <w:bookmarkStart w:id="23" w:name="fig:model1"/>
      <w:r>
        <w:drawing>
          <wp:inline>
            <wp:extent cx="5334000" cy="4361200"/>
            <wp:effectExtent b="0" l="0" r="0" t="0"/>
            <wp:docPr descr="Figure 1: Reproduction de la figure 3c de l’article." title="" id="1" name="Picture"/>
            <a:graphic>
              <a:graphicData uri="http://schemas.openxmlformats.org/drawingml/2006/picture">
                <pic:pic>
                  <pic:nvPicPr>
                    <pic:cNvPr descr="figures/Model1.png" id="0" name="Picture"/>
                    <pic:cNvPicPr>
                      <a:picLocks noChangeArrowheads="1" noChangeAspect="1"/>
                    </pic:cNvPicPr>
                  </pic:nvPicPr>
                  <pic:blipFill>
                    <a:blip r:embed="rId22"/>
                    <a:stretch>
                      <a:fillRect/>
                    </a:stretch>
                  </pic:blipFill>
                  <pic:spPr bwMode="auto">
                    <a:xfrm>
                      <a:off x="0" y="0"/>
                      <a:ext cx="5334000" cy="4361200"/>
                    </a:xfrm>
                    <a:prstGeom prst="rect">
                      <a:avLst/>
                    </a:prstGeom>
                    <a:noFill/>
                    <a:ln w="9525">
                      <a:noFill/>
                      <a:headEnd/>
                      <a:tailEnd/>
                    </a:ln>
                  </pic:spPr>
                </pic:pic>
              </a:graphicData>
            </a:graphic>
          </wp:inline>
        </w:drawing>
      </w:r>
      <w:bookmarkEnd w:id="23"/>
    </w:p>
    <w:p>
      <w:pPr>
        <w:pStyle w:val="ImageCaption"/>
      </w:pPr>
      <w:r>
        <w:t xml:space="preserve">Figure 1: Reproduction de la figure 3c de l’article.</w:t>
      </w:r>
    </w:p>
    <w:bookmarkEnd w:id="0"/>
    <w:p>
      <w:pPr>
        <w:pStyle w:val="BodyText"/>
      </w:pPr>
      <w:r>
        <w:t xml:space="preserve">Pour les modèles 2 nous n’avons pas réussi à reproduire les résultats des auteurs, car nous avons décelés dans les équations pas moins de 6 fautes différentes. Nous avons essayer de les corriger au mieux, mais nos résultats ne convergent pas vers ceux trouver par les auteurs (Fig.</w:t>
      </w:r>
      <w:r>
        <w:t xml:space="preserve"> </w:t>
      </w:r>
      <w:hyperlink w:anchor="fig:model2">
        <w:r>
          <w:rPr>
            <w:rStyle w:val="Hyperlink"/>
          </w:rPr>
          <w:t xml:space="preserve">2</w:t>
        </w:r>
      </w:hyperlink>
      <w:r>
        <w:t xml:space="preserve">).</w:t>
      </w:r>
    </w:p>
    <w:bookmarkStart w:id="0" w:name="fig:model2"/>
    <w:p>
      <w:pPr>
        <w:pStyle w:val="CaptionedFigure"/>
      </w:pPr>
      <w:bookmarkStart w:id="25" w:name="fig:model2"/>
      <w:r>
        <w:drawing>
          <wp:inline>
            <wp:extent cx="5334000" cy="4361200"/>
            <wp:effectExtent b="0" l="0" r="0" t="0"/>
            <wp:docPr descr="Figure 2: Résultat du modèle 2" title="" id="1" name="Picture"/>
            <a:graphic>
              <a:graphicData uri="http://schemas.openxmlformats.org/drawingml/2006/picture">
                <pic:pic>
                  <pic:nvPicPr>
                    <pic:cNvPr descr="figures/Model2.png" id="0" name="Picture"/>
                    <pic:cNvPicPr>
                      <a:picLocks noChangeArrowheads="1" noChangeAspect="1"/>
                    </pic:cNvPicPr>
                  </pic:nvPicPr>
                  <pic:blipFill>
                    <a:blip r:embed="rId24"/>
                    <a:stretch>
                      <a:fillRect/>
                    </a:stretch>
                  </pic:blipFill>
                  <pic:spPr bwMode="auto">
                    <a:xfrm>
                      <a:off x="0" y="0"/>
                      <a:ext cx="5334000" cy="4361200"/>
                    </a:xfrm>
                    <a:prstGeom prst="rect">
                      <a:avLst/>
                    </a:prstGeom>
                    <a:noFill/>
                    <a:ln w="9525">
                      <a:noFill/>
                      <a:headEnd/>
                      <a:tailEnd/>
                    </a:ln>
                  </pic:spPr>
                </pic:pic>
              </a:graphicData>
            </a:graphic>
          </wp:inline>
        </w:drawing>
      </w:r>
      <w:bookmarkEnd w:id="25"/>
    </w:p>
    <w:p>
      <w:pPr>
        <w:pStyle w:val="ImageCaption"/>
      </w:pPr>
      <w:r>
        <w:t xml:space="preserve">Figure 2: Résultat du modèle 2</w:t>
      </w:r>
    </w:p>
    <w:bookmarkEnd w:id="0"/>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indiquent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6" w:name="modélisation-complémentaire"/>
      <w:r>
        <w:t xml:space="preserve">Modélisation complémentaire</w:t>
      </w:r>
      <w:bookmarkEnd w:id="26"/>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7" w:name="interprétations"/>
      <w:r>
        <w:t xml:space="preserve">Interprétations</w:t>
      </w:r>
      <w:bookmarkEnd w:id="27"/>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8" w:name="synthèse"/>
      <w:r>
        <w:t xml:space="preserve">Synthèse</w:t>
      </w:r>
      <w:bookmarkEnd w:id="28"/>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9" w:name="bibliographie"/>
      <w:r>
        <w:t xml:space="preserve">Bibliographie</w:t>
      </w:r>
      <w:bookmarkEnd w:id="29"/>
    </w:p>
    <w:bookmarkStart w:id="31" w:name="refs"/>
    <w:bookmarkStart w:id="30" w:name="ref-Erickson_2010"/>
    <w:p>
      <w:pPr>
        <w:pStyle w:val="Bibliography"/>
      </w:pPr>
      <w:r>
        <w:rPr>
          <w:b/>
        </w:rPr>
        <w:t xml:space="preserve">Erickson et al.</w:t>
      </w:r>
      <w:r>
        <w:t xml:space="preserve"> </w:t>
      </w:r>
      <w:r>
        <w:t xml:space="preserve">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dc:language>fr-fr</dc:language>
  <cp:keywords>MEPI, Rennes 1, Projet</cp:keywords>
  <dcterms:created xsi:type="dcterms:W3CDTF">2019-11-13T12:02:29Z</dcterms:created>
  <dcterms:modified xsi:type="dcterms:W3CDTF">2019-11-13T12:02:29Z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toc">
    <vt:lpwstr>False</vt:lpwstr>
  </property>
  <property fmtid="{D5CDD505-2E9C-101B-9397-08002B2CF9AE}" pid="19" name="upload_type">
    <vt:lpwstr>preprint</vt:lpwstr>
  </property>
</Properties>
</file>