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 respectivement aux moustiques sensibles, exposés et infectés.</w:t>
      </w:r>
    </w:p>
    <w:p>
      <w:pPr>
        <w:pStyle w:val="BodyText"/>
      </w:pPr>
      <w:r>
        <w:t xml:space="preserve">Les paramètres de ce modèle sont présentés dans le tableau</w:t>
      </w:r>
      <w:r>
        <w:t xml:space="preserve"> </w:t>
      </w:r>
      <w:hyperlink w:anchor="tbl:tab1">
        <w:r>
          <w:rPr>
            <w:rStyle w:val="Hyperlink"/>
          </w:rPr>
          <w:t xml:space="preserve">1</w:t>
        </w:r>
      </w:hyperlink>
      <w:r>
        <w:t xml:space="preserve"> </w:t>
      </w:r>
      <w:r>
        <w:t xml:space="preserve">adapté de</w:t>
      </w:r>
      <w:r>
        <w:t xml:space="preserve"> </w:t>
      </w:r>
      <w:r>
        <w:t xml:space="preserve">Erickson et al. (2010)</w:t>
      </w:r>
      <w:r>
        <w:t xml:space="preserve">.</w:t>
      </w:r>
    </w:p>
    <w:bookmarkStart w:id="0" w:name="tbl:tab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serotype peut être infectée par un autre serotype.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(Tab.</w:t>
      </w:r>
      <w:r>
        <w:t xml:space="preserve"> </w:t>
      </w:r>
      <w:hyperlink w:anchor="tbl:tab1">
        <w:r>
          <w:rPr>
            <w:rStyle w:val="Hyperlink"/>
          </w:rPr>
          <w:t xml:space="preserve">1</w:t>
        </w:r>
      </w:hyperlink>
      <w:r>
        <w:t xml:space="preserve">)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trouver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 delta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2019-11-15T17:57:57Z</dcterms:created>
  <dcterms:modified xsi:type="dcterms:W3CDTF">2019-11-15T17:57:57Z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