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le tableau</w:t>
      </w:r>
      <w:r>
        <w:t xml:space="preserve"> </w:t>
      </w:r>
      <w:hyperlink w:anchor="tbl:1">
        <w:r>
          <w:rPr>
            <w:rStyle w:val="Hyperlink"/>
          </w:rPr>
          <w:t xml:space="preserve">1</w:t>
        </w:r>
      </w:hyperlink>
      <w:r>
        <w:t xml:space="preserve"> </w:t>
      </w:r>
      <w:r>
        <w:t xml:space="preserve">adapté de</w:t>
      </w:r>
      <w:r>
        <w:t xml:space="preserve"> </w:t>
      </w:r>
      <w:r>
        <w:t xml:space="preserve">Erickson et al. (2010)</w:t>
      </w:r>
      <w:r>
        <w:t xml:space="preserve">.</w:t>
      </w:r>
    </w:p>
    <w:bookmarkStart w:id="0" w:name="tbl:1"/>
    <w:p>
      <w:pPr>
        <w:pStyle w:val="TableCaption"/>
      </w:pPr>
      <w:r>
        <w:t xml:space="preserve">Table 1: Tabeau de paramètres utilisés pour construitre le modèle 1.</w:t>
      </w:r>
      <w:r>
        <w:t xml:space="preserve"> </w:t>
      </w:r>
    </w:p>
    <w:tbl>
      <w:tblPr>
        <w:tblStyle w:val="Table"/>
        <w:tblW w:type="pct" w:w="0.0"/>
        <w:tblLook w:firstRow="1"/>
        <w:tblCaption w:val="Table 1: Tabeau de paramètres utilisés pour construitre le modèle 1. "/>
      </w:tblPr>
      <w:tblGrid/>
      <w:tr>
        <w:trPr>
          <w:cnfStyle w:firstRow="1"/>
        </w:trPr>
        <w:tc>
          <w:tcPr>
            <w:tcBorders>
              <w:bottom w:val="single"/>
            </w:tcBorders>
            <w:vAlign w:val="bottom"/>
          </w:tcPr>
          <w:p>
            <w:pPr>
              <w:pStyle w:val="Compact"/>
              <w:jc w:val="left"/>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left"/>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left"/>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left"/>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left"/>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left"/>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left"/>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left"/>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left"/>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left"/>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left"/>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left"/>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left"/>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left"/>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left"/>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left"/>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left"/>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left"/>
            </w:pPr>
            <w:r>
              <w:t xml:space="preserve">Taux de mortalité des nymphes</w:t>
            </w:r>
          </w:p>
        </w:tc>
        <w:tc>
          <w:p>
            <w:pPr>
              <w:pStyle w:val="Compact"/>
              <w:jc w:val="center"/>
            </w:pPr>
            <m:oMath>
              <m:sSub>
                <m:e>
                  <m:r>
                    <m:t>μ</m:t>
                  </m:r>
                </m:e>
                <m:sub>
                  <m:r>
                    <m:t>p</m:t>
                  </m:r>
                </m:sub>
              </m:sSub>
            </m:oMath>
            <w:r>
              <w:t xml:space="preserve"> </w:t>
            </w:r>
          </w:p>
        </w:tc>
        <w:tc>
          <w:p>
            <w:pPr>
              <w:pStyle w:val="Compact"/>
              <w:jc w:val="center"/>
            </w:pPr>
            <m:oMath>
              <m:r>
                <m:t>0</m:t>
              </m:r>
              <m:r>
                <m:t>,</m:t>
              </m:r>
              <m:r>
                <m:t>0025</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left"/>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left"/>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left"/>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 immunisés et non pas succeptible. De plus, une personne déjà infectée par un serotype peut être infectée par un autre serotype. Si cette hypothèse était relaxée, elle complefirai grandement les équations consernant les compartiments succeptibles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bookmarkStart w:id="27" w:name="refs"/>
    <w:bookmarkStart w:id="26" w:name="ref-Erickson_2010"/>
    <w:p>
      <w:pPr>
        <w:pStyle w:val="Bibliography"/>
      </w:pPr>
      <w:r>
        <w:rPr>
          <w:b/>
        </w:rPr>
        <w:t xml:space="preserve">Erickson et al.</w:t>
      </w:r>
      <w:r>
        <w:t xml:space="preserve"> </w:t>
      </w:r>
      <w:r>
        <w:t xml:space="preserve">(2010). 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2019-11-12T10:43:40Z</dcterms:created>
  <dcterms:modified xsi:type="dcterms:W3CDTF">2019-11-12T10:43:40Z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polyglossia-lang">
    <vt:lpwstr/>
  </property>
  <property fmtid="{D5CDD505-2E9C-101B-9397-08002B2CF9AE}" pid="19" name="toc">
    <vt:lpwstr>False</vt:lpwstr>
  </property>
  <property fmtid="{D5CDD505-2E9C-101B-9397-08002B2CF9AE}" pid="20" name="upload_type">
    <vt:lpwstr>preprint</vt:lpwstr>
  </property>
</Properties>
</file>