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Tabeau de paramètres utilisés pour construitre le modèle 1.</w:t>
      </w:r>
      <w:r>
        <w:t xml:space="preserve"> </w:t>
      </w:r>
    </w:p>
    <w:tbl>
      <w:tblPr>
        <w:tblStyle w:val="Table"/>
        <w:tblW w:type="pct" w:w="0.0"/>
        <w:tblLook w:firstRow="1"/>
        <w:tblCaption w:val="Table 1: Tabeau de paramètres utilisés pour construitre le modèle 1. "/>
      </w:tblPr>
      <w:tblGrid/>
      <w:tr>
        <w:trPr>
          <w:cnfStyle w:firstRow="1"/>
        </w:trPr>
        <w:tc>
          <w:tcPr>
            <w:tcBorders>
              <w:bottom w:val="single"/>
            </w:tcBorders>
            <w:vAlign w:val="bottom"/>
          </w:tcPr>
          <w:p>
            <w:pPr>
              <w:pStyle w:val="Compact"/>
              <w:jc w:val="center"/>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center"/>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center"/>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center"/>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center"/>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center"/>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center"/>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center"/>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center"/>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center"/>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center"/>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center"/>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center"/>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center"/>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center"/>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center"/>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center"/>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center"/>
            </w:pPr>
            <w:r>
              <w:t xml:space="preserve">Taux de mortalité des nymphes</w:t>
            </w:r>
          </w:p>
        </w:tc>
        <w:tc>
          <w:p>
            <w:pPr>
              <w:pStyle w:val="Compact"/>
              <w:jc w:val="center"/>
            </w:pPr>
            <m:oMath>
              <m:sSub>
                <m:e>
                  <m:r>
                    <m:t>μ</m:t>
                  </m:r>
                </m:e>
                <m:sub>
                  <m:r>
                    <m:t>p</m:t>
                  </m:r>
                </m:sub>
              </m:sSub>
            </m:oMath>
            <w:r>
              <w:t xml:space="preserve"> </w:t>
            </w:r>
          </w:p>
        </w:tc>
        <w:tc>
          <w:p>
            <w:pPr>
              <w:pStyle w:val="Compact"/>
              <w:jc w:val="center"/>
            </w:pPr>
            <w:r>
              <w:t xml:space="preserve">$ 0,0025$</w:t>
            </w:r>
          </w:p>
        </w:tc>
      </w:tr>
      <w:tr>
        <w:tc>
          <w:p>
            <w:pPr>
              <w:pStyle w:val="Compact"/>
              <w:jc w:val="center"/>
            </w:pPr>
            <w:r>
              <w:t xml:space="preserve">Inverse du temps de développement des adultes immatures</w:t>
            </w:r>
          </w:p>
        </w:tc>
        <w:tc>
          <w:p>
            <w:pPr>
              <w:pStyle w:val="Compact"/>
              <w:jc w:val="center"/>
            </w:pPr>
            <w:r>
              <w:t xml:space="preserve"> </w:t>
            </w:r>
            <w:r>
              <w:t xml:space="preserve"> </w:t>
            </w:r>
            <w:r>
              <w:t xml:space="preserve">$\tau_i$</w:t>
            </w:r>
          </w:p>
        </w:tc>
        <w:tc>
          <w:p>
            <w:pPr>
              <w:pStyle w:val="Compact"/>
              <w:jc w:val="center"/>
            </w:pPr>
            <m:oMath>
              <m:r>
                <m:t>1</m:t>
              </m:r>
            </m:oMath>
          </w:p>
        </w:tc>
      </w:tr>
      <w:tr>
        <w:tc>
          <w:p>
            <w:pPr>
              <w:pStyle w:val="Compact"/>
              <w:jc w:val="center"/>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center"/>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center"/>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center"/>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bookmarkStart w:id="27" w:name="refs"/>
    <w:bookmarkStart w:id="26" w:name="ref-Erickson_2010"/>
    <w:p>
      <w:pPr>
        <w:pStyle w:val="Bibliography"/>
      </w:pPr>
      <w:r>
        <w:rPr>
          <w:b/>
        </w:rPr>
        <w:t xml:space="preserve">Erickson et al.</w:t>
      </w:r>
      <w:r>
        <w:t xml:space="preserve"> </w:t>
      </w:r>
      <w:r>
        <w:t xml:space="preserve">(2010). 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2019-11-12T10:16:51Z</dcterms:created>
  <dcterms:modified xsi:type="dcterms:W3CDTF">2019-11-12T10:16:51Z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