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 {#eq:eq1}, {#eq:eq2}, {#eq:eq3}, {#eq:eq4} faisant référence respectivement au nombre de personnes sensisbles, exposées, infectées,</w:t>
      </w:r>
      <w:r>
        <w:t xml:space="preserve"> </w:t>
      </w:r>
      <w:r>
        <w:t xml:space="preserve">“</w:t>
      </w:r>
      <w:r>
        <w:t xml:space="preserve">recovered</w:t>
      </w:r>
      <w:r>
        <w:t xml:space="preserve">”</w:t>
      </w:r>
      <w:r>
        <w:t xml:space="preserve"> </w:t>
      </w:r>
      <w:r>
        <w:t xml:space="preserve">(trouver traduction)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 {#eq:eq5}, {#eq:eq6}, {#eq:eq7} 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 ;</w:t>
      </w:r>
    </w:p>
    <w:p>
      <w:pPr>
        <w:pStyle w:val="Compact"/>
        <w:numPr>
          <w:numId w:val="1001"/>
          <w:ilvl w:val="0"/>
        </w:numPr>
      </w:pPr>
      <w:r>
        <w:t xml:space="preserve">Pupae (besoin de trouver une traduction) ;</w:t>
      </w:r>
    </w:p>
    <w:p>
      <w:pPr>
        <w:pStyle w:val="Compact"/>
        <w:numPr>
          <w:numId w:val="1001"/>
          <w:ilvl w:val="0"/>
        </w:numPr>
      </w:pPr>
      <w:r>
        <w:t xml:space="preserve">Adultes immatures ;</w:t>
      </w:r>
    </w:p>
    <w:p>
      <w:pPr>
        <w:pStyle w:val="Compact"/>
        <w:numPr>
          <w:numId w:val="1001"/>
          <w:ilvl w:val="0"/>
        </w:numPr>
      </w:pPr>
      <w:r>
        <w:t xml:space="preserve">Adultes gesting (besoin aussi de trouver une trad) ;</w:t>
      </w:r>
    </w:p>
    <w:p>
      <w:pPr>
        <w:pStyle w:val="Compact"/>
        <w:numPr>
          <w:numId w:val="1001"/>
          <w:ilvl w:val="0"/>
        </w:numPr>
      </w:pPr>
      <w:r>
        <w:t xml:space="preserve">Adultes reproductifs.</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forcés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w:t>
      </w:r>
      <w:r>
        <w:t xml:space="preserve"> </w:t>
      </w:r>
      <w:r>
        <w:t xml:space="preserve">“</w:t>
      </w:r>
      <w:r>
        <w:t xml:space="preserve">recovered</w:t>
      </w:r>
      <w:r>
        <w:t xml:space="preserve">”</w:t>
      </w:r>
      <w:r>
        <w:t xml:space="preserve"> </w:t>
      </w:r>
      <w:r>
        <w:t xml:space="preserve">(trouver une traduction pour cela) et non pas succeptible. De plus, une personne déjà infectée par un serotype peut être infectée par un autre serotype. Si cette hypothèse était relaxée, elle complefirai grandement les équations consernant les compartiments succeptibles et</w:t>
      </w:r>
      <w:r>
        <w:t xml:space="preserve"> </w:t>
      </w:r>
      <w:r>
        <w:t xml:space="preserve">“</w:t>
      </w:r>
      <w:r>
        <w:t xml:space="preserve">recovered</w:t>
      </w:r>
      <w:r>
        <w:t xml:space="preserve">”</w:t>
      </w:r>
      <w:r>
        <w:t xml:space="preserve"> </w:t>
      </w:r>
      <w:r>
        <w:t xml:space="preserve">(trouver traduction).</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2019-11-10T08:58:30Z</dcterms:created>
  <dcterms:modified xsi:type="dcterms:W3CDTF">2019-11-10T08:58:30Z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mainfont">
    <vt:lpwstr>Lato</vt:lpwstr>
  </property>
  <property fmtid="{D5CDD505-2E9C-101B-9397-08002B2CF9AE}" pid="14" name="mainlang">
    <vt:lpwstr>french</vt:lpwstr>
  </property>
  <property fmtid="{D5CDD505-2E9C-101B-9397-08002B2CF9AE}" pid="15" name="toc">
    <vt:lpwstr>False</vt:lpwstr>
  </property>
  <property fmtid="{D5CDD505-2E9C-101B-9397-08002B2CF9AE}" pid="16" name="upload_type">
    <vt:lpwstr>preprint</vt:lpwstr>
  </property>
</Properties>
</file>