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sensisbles, exposées, infectées, immunisées.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 références respectivement aux moustiques sensibles, exposés et infectés.</w:t>
      </w:r>
    </w:p>
    <w:p>
      <w:pPr>
        <w:pStyle w:val="BodyText"/>
      </w:pPr>
      <w:r>
        <w:t xml:space="preserve">Les paramètres de ce modèle sont présentés dans le tableau</w:t>
      </w:r>
      <w:r>
        <w:t xml:space="preserve"> </w:t>
      </w:r>
      <w:hyperlink w:anchor="tbl:1">
        <w:r>
          <w:rPr>
            <w:rStyle w:val="Hyperlink"/>
          </w:rPr>
          <w:t xml:space="preserve">1</w:t>
        </w:r>
      </w:hyperlink>
      <w:r>
        <w:t xml:space="preserve"> </w:t>
      </w:r>
      <w:r>
        <w:t xml:space="preserve">adapté de</w:t>
      </w:r>
      <w:r>
        <w:t xml:space="preserve"> </w:t>
      </w:r>
      <w:r>
        <w:t xml:space="preserve">Erickson et al. (2010)</w:t>
      </w:r>
      <w:r>
        <w:t xml:space="preserve">.</w:t>
      </w:r>
    </w:p>
    <w:bookmarkStart w:id="0" w:name="tbl:1"/>
    <w:p>
      <w:pPr>
        <w:pStyle w:val="TableCaption"/>
      </w:pPr>
      <w:r>
        <w:t xml:space="preserve">Table 1: Paramètres utilisés pour construitre le modèle 1.</w:t>
      </w:r>
      <w:r>
        <w:t xml:space="preserve"> </w:t>
      </w:r>
    </w:p>
    <w:tbl>
      <w:tblPr>
        <w:tblStyle w:val="Table"/>
        <w:tblW w:type="pct" w:w="0.0"/>
        <w:tblLook w:firstRow="1"/>
        <w:tblCaption w:val="Table 1: Paramètres utilisés pour construitre le modèle 1. "/>
      </w:tblPr>
      <w:tblGrid/>
      <w:tr>
        <w:trPr>
          <w:cnfStyle w:firstRow="1"/>
        </w:trPr>
        <w:tc>
          <w:tcPr>
            <w:tcBorders>
              <w:bottom w:val="single"/>
            </w:tcBorders>
            <w:vAlign w:val="bottom"/>
          </w:tcPr>
          <w:p>
            <w:pPr>
              <w:pStyle w:val="Compact"/>
              <w:jc w:val="left"/>
            </w:pPr>
            <w:r>
              <w:t xml:space="preserve">Nom de la variable</w:t>
            </w:r>
          </w:p>
        </w:tc>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Valeur</w:t>
            </w:r>
          </w:p>
        </w:tc>
      </w:tr>
      <w:tr>
        <w:tc>
          <w:p>
            <w:pPr>
              <w:pStyle w:val="Compact"/>
              <w:jc w:val="left"/>
            </w:pPr>
            <w:r>
              <w:t xml:space="preserve">Taux de croissance de la population humaine</w:t>
            </w:r>
          </w:p>
        </w:tc>
        <w:tc>
          <w:p>
            <w:pPr>
              <w:pStyle w:val="Compact"/>
              <w:jc w:val="center"/>
            </w:pPr>
            <m:oMath>
              <m:r>
                <m:t>λ</m:t>
              </m:r>
            </m:oMath>
          </w:p>
        </w:tc>
        <w:tc>
          <w:p>
            <w:pPr>
              <w:pStyle w:val="Compact"/>
              <w:jc w:val="center"/>
            </w:pPr>
            <m:oMath>
              <m:r>
                <m:t>5</m:t>
              </m:r>
              <m:r>
                <m:t>,</m:t>
              </m:r>
              <m:r>
                <m:t>8</m:t>
              </m:r>
              <m:r>
                <m:t>×</m:t>
              </m:r>
              <m:sSup>
                <m:e>
                  <m:r>
                    <m:t>10</m:t>
                  </m:r>
                </m:e>
                <m:sup>
                  <m:r>
                    <m:t>−</m:t>
                  </m:r>
                  <m:r>
                    <m:t>5</m:t>
                  </m:r>
                </m:sup>
              </m:sSup>
            </m:oMath>
          </w:p>
        </w:tc>
      </w:tr>
      <w:tr>
        <w:tc>
          <w:p>
            <w:pPr>
              <w:pStyle w:val="Compact"/>
              <w:jc w:val="left"/>
            </w:pPr>
            <w:r>
              <w:t xml:space="preserve">Taux de mortalité humaine</w:t>
            </w:r>
          </w:p>
        </w:tc>
        <w:tc>
          <w:p>
            <w:pPr>
              <w:pStyle w:val="Compact"/>
              <w:jc w:val="center"/>
            </w:pPr>
            <m:oMath>
              <m:sSub>
                <m:e>
                  <m:r>
                    <m:t>μ</m:t>
                  </m:r>
                </m:e>
                <m:sub>
                  <m:r>
                    <m:t>h</m:t>
                  </m:r>
                </m:sub>
              </m:sSub>
            </m:oMath>
          </w:p>
        </w:tc>
        <w:tc>
          <w:p>
            <w:pPr>
              <w:pStyle w:val="Compact"/>
              <w:jc w:val="center"/>
            </w:pPr>
            <m:oMath>
              <m:r>
                <m:t>1</m:t>
              </m:r>
              <m:r>
                <m:t>/</m:t>
              </m:r>
              <m:r>
                <m:t>28000</m:t>
              </m:r>
            </m:oMath>
            <w:r>
              <w:t xml:space="preserve"> </w:t>
            </w:r>
            <w:r>
              <w:t xml:space="preserve">jours</w:t>
            </w:r>
          </w:p>
        </w:tc>
      </w:tr>
      <w:tr>
        <w:tc>
          <w:p>
            <w:pPr>
              <w:pStyle w:val="Compact"/>
              <w:jc w:val="left"/>
            </w:pPr>
            <w:r>
              <w:t xml:space="preserve">Pourcentage journalier de vecteur nécessitant un second repas</w:t>
            </w:r>
          </w:p>
        </w:tc>
        <w:tc>
          <w:p>
            <w:pPr>
              <w:pStyle w:val="Compact"/>
              <w:jc w:val="center"/>
            </w:pPr>
            <m:oMath>
              <m:sSub>
                <m:e>
                  <m:r>
                    <m:t>s</m:t>
                  </m:r>
                </m:e>
                <m:sub>
                  <m:r>
                    <m:t>f</m:t>
                  </m:r>
                </m:sub>
              </m:sSub>
            </m:oMath>
          </w:p>
        </w:tc>
        <w:tc>
          <w:p>
            <w:pPr>
              <w:pStyle w:val="Compact"/>
              <w:jc w:val="center"/>
            </w:pPr>
            <m:oMath>
              <m:r>
                <m:t>0.03</m:t>
              </m:r>
            </m:oMath>
          </w:p>
        </w:tc>
      </w:tr>
      <w:tr>
        <w:tc>
          <w:p>
            <w:pPr>
              <w:pStyle w:val="Compact"/>
              <w:jc w:val="left"/>
            </w:pPr>
            <w:r>
              <w:t xml:space="preserve">Probabilité de mordre un humain</w:t>
            </w:r>
          </w:p>
        </w:tc>
        <w:tc>
          <w:p>
            <w:pPr>
              <w:pStyle w:val="Compact"/>
              <w:jc w:val="center"/>
            </w:pPr>
            <m:oMath>
              <m:sSub>
                <m:e>
                  <m:r>
                    <m:t>b</m:t>
                  </m:r>
                </m:e>
                <m:sub>
                  <m:r>
                    <m:t>h</m:t>
                  </m:r>
                </m:sub>
              </m:sSub>
            </m:oMath>
          </w:p>
        </w:tc>
        <w:tc>
          <w:p>
            <w:pPr>
              <w:pStyle w:val="Compact"/>
              <w:jc w:val="center"/>
            </w:pPr>
            <m:oMath>
              <m:r>
                <m:t>0</m:t>
              </m:r>
              <m:r>
                <m:t>,</m:t>
              </m:r>
              <m:r>
                <m:t>3</m:t>
              </m:r>
            </m:oMath>
          </w:p>
        </w:tc>
      </w:tr>
      <w:tr>
        <w:tc>
          <w:p>
            <w:pPr>
              <w:pStyle w:val="Compact"/>
              <w:jc w:val="left"/>
            </w:pPr>
            <w:r>
              <w:t xml:space="preserve">Probabilité de transmettre la dengue</w:t>
            </w:r>
          </w:p>
        </w:tc>
        <w:tc>
          <w:p>
            <w:pPr>
              <w:pStyle w:val="Compact"/>
              <w:jc w:val="center"/>
            </w:pPr>
            <m:oMath>
              <m:sSub>
                <m:e>
                  <m:r>
                    <m:t>t</m:t>
                  </m:r>
                </m:e>
                <m:sub>
                  <m:r>
                    <m:t>p</m:t>
                  </m:r>
                </m:sub>
              </m:sSub>
            </m:oMath>
          </w:p>
        </w:tc>
        <w:tc>
          <w:p>
            <w:pPr>
              <w:pStyle w:val="Compact"/>
              <w:jc w:val="center"/>
            </w:pPr>
            <m:oMath>
              <m:r>
                <m:t>0</m:t>
              </m:r>
              <m:r>
                <m:t>,</m:t>
              </m:r>
              <m:r>
                <m:t>4</m:t>
              </m:r>
            </m:oMath>
          </w:p>
        </w:tc>
      </w:tr>
      <w:tr>
        <w:tc>
          <w:p>
            <w:pPr>
              <w:pStyle w:val="Compact"/>
              <w:jc w:val="left"/>
            </w:pPr>
            <w:r>
              <w:t xml:space="preserve">Probabilité de contact</w:t>
            </w:r>
          </w:p>
        </w:tc>
        <w:tc>
          <w:p>
            <w:pPr>
              <w:pStyle w:val="Compact"/>
              <w:jc w:val="center"/>
            </w:pPr>
            <m:oMath>
              <m:r>
                <m:t>c</m:t>
              </m:r>
            </m:oMath>
          </w:p>
        </w:tc>
        <w:tc>
          <w:p>
            <w:pPr>
              <w:pStyle w:val="Compact"/>
              <w:jc w:val="center"/>
            </w:pPr>
            <m:oMath>
              <m:sSub>
                <m:e>
                  <m:r>
                    <m:t>b</m:t>
                  </m:r>
                </m:e>
                <m:sub>
                  <m:r>
                    <m:t>h</m:t>
                  </m:r>
                </m:sub>
              </m:sSub>
              <m:r>
                <m:t>×</m:t>
              </m:r>
              <m:sSub>
                <m:e>
                  <m:r>
                    <m:t>t</m:t>
                  </m:r>
                </m:e>
                <m:sub>
                  <m:r>
                    <m:t>p</m:t>
                  </m:r>
                </m:sub>
              </m:sSub>
            </m:oMath>
            <w:r>
              <w:t xml:space="preserve"> </w:t>
            </w:r>
          </w:p>
        </w:tc>
      </w:tr>
      <w:tr>
        <w:tc>
          <w:p>
            <w:pPr>
              <w:pStyle w:val="Compact"/>
              <w:jc w:val="left"/>
            </w:pPr>
            <w:r>
              <w:t xml:space="preserve">Inverse du temps d’exposition de l’hôte</w:t>
            </w:r>
          </w:p>
        </w:tc>
        <w:tc>
          <w:p>
            <w:pPr>
              <w:pStyle w:val="Compact"/>
              <w:jc w:val="center"/>
            </w:pPr>
            <m:oMath>
              <m:sSub>
                <m:e>
                  <m:r>
                    <m:t>τ</m:t>
                  </m:r>
                </m:e>
                <m:sub>
                  <m:r>
                    <m:t>e</m:t>
                  </m:r>
                  <m:r>
                    <m:t>x</m:t>
                  </m:r>
                  <m:r>
                    <m:t>h</m:t>
                  </m:r>
                </m:sub>
              </m:sSub>
            </m:oMath>
          </w:p>
        </w:tc>
        <w:tc>
          <w:p>
            <w:pPr>
              <w:pStyle w:val="Compact"/>
              <w:jc w:val="center"/>
            </w:pPr>
            <m:oMath>
              <m:r>
                <m:t>1</m:t>
              </m:r>
              <m:r>
                <m:t>/</m:t>
              </m:r>
              <m:r>
                <m:t>10</m:t>
              </m:r>
            </m:oMath>
            <w:r>
              <w:t xml:space="preserve"> </w:t>
            </w:r>
            <w:r>
              <w:t xml:space="preserve">jours</w:t>
            </w:r>
          </w:p>
        </w:tc>
      </w:tr>
      <w:tr>
        <w:tc>
          <w:p>
            <w:pPr>
              <w:pStyle w:val="Compact"/>
              <w:jc w:val="left"/>
            </w:pPr>
            <w:r>
              <w:t xml:space="preserve">Taux de mortalité des hôtes de la dengue</w:t>
            </w:r>
          </w:p>
        </w:tc>
        <w:tc>
          <w:p>
            <w:pPr>
              <w:pStyle w:val="Compact"/>
              <w:jc w:val="center"/>
            </w:pPr>
            <w:r>
              <w:t xml:space="preserve"> </w:t>
            </w:r>
            <w:r>
              <w:t xml:space="preserve"> </w:t>
            </w:r>
            <m:oMath>
              <m:r>
                <m:t>α</m:t>
              </m:r>
            </m:oMath>
          </w:p>
        </w:tc>
        <w:tc>
          <w:p>
            <w:pPr>
              <w:pStyle w:val="Compact"/>
              <w:jc w:val="center"/>
            </w:pPr>
            <m:oMath>
              <m:r>
                <m:t>0</m:t>
              </m:r>
              <m:r>
                <m:t>,</m:t>
              </m:r>
              <m:r>
                <m:t>003</m:t>
              </m:r>
            </m:oMath>
          </w:p>
        </w:tc>
      </w:tr>
      <w:tr>
        <w:tc>
          <w:p>
            <w:pPr>
              <w:pStyle w:val="Compact"/>
              <w:jc w:val="left"/>
            </w:pPr>
            <w:r>
              <w:t xml:space="preserve">Inverse du temps d’infection de l’hôte</w:t>
            </w:r>
          </w:p>
        </w:tc>
        <w:tc>
          <w:p>
            <w:pPr>
              <w:pStyle w:val="Compact"/>
              <w:jc w:val="center"/>
            </w:pPr>
            <m:oMath>
              <m:sSub>
                <m:e>
                  <m:r>
                    <m:t>τ</m:t>
                  </m:r>
                </m:e>
                <m:sub>
                  <m:r>
                    <m:t>i</m:t>
                  </m:r>
                  <m:r>
                    <m:t>h</m:t>
                  </m:r>
                </m:sub>
              </m:sSub>
            </m:oMath>
          </w:p>
        </w:tc>
        <w:tc>
          <w:p>
            <w:pPr>
              <w:pStyle w:val="Compact"/>
              <w:jc w:val="center"/>
            </w:pPr>
            <w:r>
              <w:t xml:space="preserve"> </w:t>
            </w:r>
            <w:r>
              <w:t xml:space="preserve"> </w:t>
            </w:r>
            <m:oMath>
              <m:r>
                <m:t>1</m:t>
              </m:r>
              <m:r>
                <m:t>/</m:t>
              </m:r>
              <m:r>
                <m:t>4</m:t>
              </m:r>
            </m:oMath>
            <w:r>
              <w:t xml:space="preserve"> </w:t>
            </w:r>
            <w:r>
              <w:t xml:space="preserve">jours</w:t>
            </w:r>
          </w:p>
        </w:tc>
      </w:tr>
      <w:tr>
        <w:tc>
          <w:p>
            <w:pPr>
              <w:pStyle w:val="Compact"/>
              <w:jc w:val="left"/>
            </w:pPr>
            <w:r>
              <w:t xml:space="preserve">Oeufs par ponte</w:t>
            </w:r>
          </w:p>
        </w:tc>
        <w:tc>
          <w:p>
            <w:pPr>
              <w:pStyle w:val="Compact"/>
              <w:jc w:val="center"/>
            </w:pPr>
            <m:oMath>
              <m:sSub>
                <m:e>
                  <m:r>
                    <m:t>e</m:t>
                  </m:r>
                </m:e>
                <m:sub>
                  <m:r>
                    <m:t>p</m:t>
                  </m:r>
                </m:sub>
              </m:sSub>
            </m:oMath>
          </w:p>
        </w:tc>
        <w:tc>
          <w:p>
            <w:pPr>
              <w:pStyle w:val="Compact"/>
              <w:jc w:val="center"/>
            </w:pPr>
            <m:oMath>
              <m:r>
                <m:t>30</m:t>
              </m:r>
            </m:oMath>
          </w:p>
        </w:tc>
      </w:tr>
      <w:tr>
        <w:tc>
          <w:p>
            <w:pPr>
              <w:pStyle w:val="Compact"/>
              <w:jc w:val="left"/>
            </w:pPr>
            <w:r>
              <w:t xml:space="preserve">Inverse du temps de développement des oeufs</w:t>
            </w:r>
          </w:p>
        </w:tc>
        <w:tc>
          <w:p>
            <w:pPr>
              <w:pStyle w:val="Compact"/>
              <w:jc w:val="center"/>
            </w:pPr>
            <m:oMath>
              <m:sSub>
                <m:e>
                  <m:r>
                    <m:t>τ</m:t>
                  </m:r>
                </m:e>
                <m:sub>
                  <m:r>
                    <m:t>e</m:t>
                  </m:r>
                </m:sub>
              </m:sSub>
            </m:oMath>
          </w:p>
        </w:tc>
        <w:tc>
          <w:p>
            <w:pPr>
              <w:pStyle w:val="Compact"/>
              <w:jc w:val="center"/>
            </w:pPr>
            <m:oMath>
              <m:r>
                <m:t>0</m:t>
              </m:r>
              <m:r>
                <m:t>,</m:t>
              </m:r>
              <m:r>
                <m:t>361</m:t>
              </m:r>
            </m:oMath>
          </w:p>
        </w:tc>
      </w:tr>
      <w:tr>
        <w:tc>
          <w:p>
            <w:pPr>
              <w:pStyle w:val="Compact"/>
              <w:jc w:val="left"/>
            </w:pPr>
            <w:r>
              <w:t xml:space="preserve">Taux de mortalité des oeufs</w:t>
            </w:r>
          </w:p>
        </w:tc>
        <w:tc>
          <w:p>
            <w:pPr>
              <w:pStyle w:val="Compact"/>
              <w:jc w:val="center"/>
            </w:pPr>
            <w:r>
              <w:t xml:space="preserve"> </w:t>
            </w:r>
            <m:oMath>
              <m:sSub>
                <m:e>
                  <m:r>
                    <m:t>μ</m:t>
                  </m:r>
                </m:e>
                <m:sub>
                  <m:r>
                    <m:t>e</m:t>
                  </m:r>
                </m:sub>
              </m:sSub>
            </m:oMath>
          </w:p>
        </w:tc>
        <w:tc>
          <w:p>
            <w:pPr>
              <w:pStyle w:val="Compact"/>
              <w:jc w:val="center"/>
            </w:pPr>
            <w:r>
              <w:t xml:space="preserve"> </w:t>
            </w:r>
            <m:oMath>
              <m:r>
                <m:t>0</m:t>
              </m:r>
              <m:r>
                <m:t>,</m:t>
              </m:r>
              <m:r>
                <m:t>05</m:t>
              </m:r>
            </m:oMath>
          </w:p>
        </w:tc>
      </w:tr>
      <w:tr>
        <w:tc>
          <w:p>
            <w:pPr>
              <w:pStyle w:val="Compact"/>
              <w:jc w:val="left"/>
            </w:pPr>
            <w:r>
              <w:t xml:space="preserve">Terme de capacité de charge</w:t>
            </w:r>
          </w:p>
        </w:tc>
        <w:tc>
          <w:p>
            <w:pPr>
              <w:pStyle w:val="Compact"/>
              <w:jc w:val="center"/>
            </w:pPr>
            <w:r>
              <w:t xml:space="preserve"> </w:t>
            </w:r>
            <w:r>
              <w:t xml:space="preserve"> </w:t>
            </w:r>
            <m:oMath>
              <m:r>
                <m:t>K</m:t>
              </m:r>
            </m:oMath>
          </w:p>
        </w:tc>
        <w:tc>
          <w:p>
            <w:pPr>
              <w:pStyle w:val="Compact"/>
              <w:jc w:val="center"/>
            </w:pPr>
            <m:oMath>
              <m:sSup>
                <m:e>
                  <m:r>
                    <m:t>10</m:t>
                  </m:r>
                </m:e>
                <m:sup>
                  <m:r>
                    <m:t>−</m:t>
                  </m:r>
                  <m:r>
                    <m:t>3</m:t>
                  </m:r>
                </m:sup>
              </m:sSup>
            </m:oMath>
          </w:p>
        </w:tc>
      </w:tr>
      <w:tr>
        <w:tc>
          <w:p>
            <w:pPr>
              <w:pStyle w:val="Compact"/>
              <w:jc w:val="left"/>
            </w:pPr>
            <w:r>
              <w:t xml:space="preserve">Inverse du temps de développement des larves</w:t>
            </w:r>
          </w:p>
        </w:tc>
        <w:tc>
          <w:p>
            <w:pPr>
              <w:pStyle w:val="Compact"/>
              <w:jc w:val="center"/>
            </w:pPr>
            <w:r>
              <w:t xml:space="preserve"> </w:t>
            </w:r>
            <w:r>
              <w:t xml:space="preserve"> </w:t>
            </w:r>
            <m:oMath>
              <m:sSub>
                <m:e>
                  <m:r>
                    <m:t>τ</m:t>
                  </m:r>
                </m:e>
                <m:sub>
                  <m:r>
                    <m:t>l</m:t>
                  </m:r>
                </m:sub>
              </m:sSub>
            </m:oMath>
          </w:p>
        </w:tc>
        <w:tc>
          <w:p>
            <w:pPr>
              <w:pStyle w:val="Compact"/>
              <w:jc w:val="center"/>
            </w:pPr>
            <m:oMath>
              <m:r>
                <m:t>0</m:t>
              </m:r>
              <m:r>
                <m:t>,</m:t>
              </m:r>
              <m:r>
                <m:t>134</m:t>
              </m:r>
            </m:oMath>
          </w:p>
        </w:tc>
      </w:tr>
      <w:tr>
        <w:tc>
          <w:p>
            <w:pPr>
              <w:pStyle w:val="Compact"/>
              <w:jc w:val="left"/>
            </w:pPr>
            <w:r>
              <w:t xml:space="preserve">Taux de mortalité des larves</w:t>
            </w:r>
          </w:p>
        </w:tc>
        <w:tc>
          <w:p>
            <w:pPr>
              <w:pStyle w:val="Compact"/>
              <w:jc w:val="center"/>
            </w:pPr>
            <m:oMath>
              <m:sSub>
                <m:e>
                  <m:r>
                    <m:t>μ</m:t>
                  </m:r>
                </m:e>
                <m:sub>
                  <m:r>
                    <m:t>l</m:t>
                  </m:r>
                </m:sub>
              </m:sSub>
            </m:oMath>
          </w:p>
        </w:tc>
        <w:tc>
          <w:p>
            <w:pPr>
              <w:pStyle w:val="Compact"/>
              <w:jc w:val="center"/>
            </w:pPr>
            <m:oMath>
              <m:r>
                <m:t>0.025</m:t>
              </m:r>
            </m:oMath>
          </w:p>
        </w:tc>
      </w:tr>
      <w:tr>
        <w:tc>
          <w:p>
            <w:pPr>
              <w:pStyle w:val="Compact"/>
              <w:jc w:val="left"/>
            </w:pPr>
            <w:r>
              <w:t xml:space="preserve">Inverse du temps de développement des nymphes</w:t>
            </w:r>
          </w:p>
        </w:tc>
        <w:tc>
          <w:p>
            <w:pPr>
              <w:pStyle w:val="Compact"/>
              <w:jc w:val="center"/>
            </w:pPr>
            <w:r>
              <w:t xml:space="preserve"> </w:t>
            </w:r>
            <w:r>
              <w:t xml:space="preserve"> </w:t>
            </w:r>
            <m:oMath>
              <m:sSub>
                <m:e>
                  <m:r>
                    <m:t>τ</m:t>
                  </m:r>
                </m:e>
                <m:sub>
                  <m:r>
                    <m:t>p</m:t>
                  </m:r>
                </m:sub>
              </m:sSub>
            </m:oMath>
          </w:p>
        </w:tc>
        <w:tc>
          <w:p>
            <w:pPr>
              <w:pStyle w:val="Compact"/>
              <w:jc w:val="center"/>
            </w:pPr>
            <m:oMath>
              <m:r>
                <m:t>0</m:t>
              </m:r>
              <m:r>
                <m:t>,</m:t>
              </m:r>
              <m:r>
                <m:t>342</m:t>
              </m:r>
            </m:oMath>
          </w:p>
        </w:tc>
      </w:tr>
      <w:tr>
        <w:tc>
          <w:p>
            <w:pPr>
              <w:pStyle w:val="Compact"/>
              <w:jc w:val="left"/>
            </w:pPr>
            <w:r>
              <w:t xml:space="preserve">Taux de mortalité des nymphes</w:t>
            </w:r>
          </w:p>
        </w:tc>
        <w:tc>
          <w:p>
            <w:pPr>
              <w:pStyle w:val="Compact"/>
              <w:jc w:val="center"/>
            </w:pPr>
            <m:oMath>
              <m:sSub>
                <m:e>
                  <m:r>
                    <m:t>μ</m:t>
                  </m:r>
                </m:e>
                <m:sub>
                  <m:r>
                    <m:t>p</m:t>
                  </m:r>
                </m:sub>
              </m:sSub>
            </m:oMath>
            <w:r>
              <w:t xml:space="preserve"> </w:t>
            </w:r>
          </w:p>
        </w:tc>
        <w:tc>
          <w:p>
            <w:pPr>
              <w:pStyle w:val="Compact"/>
              <w:jc w:val="center"/>
            </w:pPr>
            <m:oMath>
              <m:r>
                <m:t>0</m:t>
              </m:r>
              <m:r>
                <m:t>,</m:t>
              </m:r>
              <m:r>
                <m:t>0025</m:t>
              </m:r>
            </m:oMath>
          </w:p>
        </w:tc>
      </w:tr>
      <w:tr>
        <w:tc>
          <w:p>
            <w:pPr>
              <w:pStyle w:val="Compact"/>
              <w:jc w:val="left"/>
            </w:pPr>
            <w:r>
              <w:t xml:space="preserve">Inverse du temps de développement des adultes immaturees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Inverse du temps de développement des adultes immaturees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Taux de mortalité des adultes</w:t>
            </w:r>
          </w:p>
        </w:tc>
        <w:tc>
          <w:p>
            <w:pPr>
              <w:pStyle w:val="Compact"/>
              <w:jc w:val="center"/>
            </w:pPr>
            <w:r>
              <w:t xml:space="preserve"> </w:t>
            </w:r>
            <w:r>
              <w:t xml:space="preserve"> </w:t>
            </w:r>
            <m:oMath>
              <m:sSub>
                <m:e>
                  <m:r>
                    <m:t>μ</m:t>
                  </m:r>
                </m:e>
                <m:sub>
                  <m:r>
                    <m:t>a</m:t>
                  </m:r>
                </m:sub>
              </m:sSub>
            </m:oMath>
          </w:p>
        </w:tc>
        <w:tc>
          <w:p>
            <w:pPr>
              <w:pStyle w:val="Compact"/>
              <w:jc w:val="center"/>
            </w:pPr>
            <m:oMath>
              <m:r>
                <m:t>0</m:t>
              </m:r>
              <m:r>
                <m:t>,</m:t>
              </m:r>
              <m:r>
                <m:t>0501</m:t>
              </m:r>
            </m:oMath>
          </w:p>
        </w:tc>
      </w:tr>
      <w:tr>
        <w:tc>
          <w:p>
            <w:pPr>
              <w:pStyle w:val="Compact"/>
              <w:jc w:val="left"/>
            </w:pPr>
            <w:r>
              <w:t xml:space="preserve">Inverse du temps d’exposition du vecteur</w:t>
            </w:r>
          </w:p>
        </w:tc>
        <w:tc>
          <w:p>
            <w:pPr>
              <w:pStyle w:val="Compact"/>
              <w:jc w:val="center"/>
            </w:pPr>
            <m:oMath>
              <m:sSub>
                <m:e>
                  <m:r>
                    <m:t>τ</m:t>
                  </m:r>
                </m:e>
                <m:sub>
                  <m:r>
                    <m:t>e</m:t>
                  </m:r>
                  <m:r>
                    <m:t>x</m:t>
                  </m:r>
                  <m:r>
                    <m:t>ν</m:t>
                  </m:r>
                </m:sub>
              </m:sSub>
            </m:oMath>
          </w:p>
        </w:tc>
        <w:tc>
          <w:p>
            <w:pPr>
              <w:pStyle w:val="Compact"/>
              <w:jc w:val="center"/>
            </w:pPr>
            <m:oMath>
              <m:r>
                <m:t>1</m:t>
              </m:r>
              <m:r>
                <m:t>/</m:t>
              </m:r>
              <m:r>
                <m:t>9</m:t>
              </m:r>
            </m:oMath>
            <w:r>
              <w:t xml:space="preserve"> </w:t>
            </w:r>
            <w:r>
              <w:t xml:space="preserve">jours</w:t>
            </w:r>
          </w:p>
        </w:tc>
      </w:tr>
      <w:tr>
        <w:tc>
          <w:p>
            <w:pPr>
              <w:pStyle w:val="Compact"/>
              <w:jc w:val="left"/>
            </w:pPr>
            <w:r>
              <w:t xml:space="preserve">Temps de nourissage ou de gestation</w:t>
            </w:r>
          </w:p>
        </w:tc>
        <w:tc>
          <w:p>
            <w:pPr>
              <w:pStyle w:val="Compact"/>
              <w:jc w:val="center"/>
            </w:pPr>
            <w:r>
              <w:t xml:space="preserve"> </w:t>
            </w:r>
            <w:r>
              <w:t xml:space="preserve"> </w:t>
            </w:r>
            <m:oMath>
              <m:sSub>
                <m:e>
                  <m:r>
                    <m:t>τ</m:t>
                  </m:r>
                </m:e>
                <m:sub>
                  <m:r>
                    <m:t>g</m:t>
                  </m:r>
                </m:sub>
              </m:sSub>
            </m:oMath>
          </w:p>
        </w:tc>
        <w:tc>
          <w:p>
            <w:pPr>
              <w:pStyle w:val="Compact"/>
              <w:jc w:val="center"/>
            </w:pPr>
            <m:oMath>
              <m:r>
                <m:t>0.401</m:t>
              </m:r>
            </m:oMath>
          </w:p>
        </w:tc>
      </w:tr>
      <w:tr>
        <w:tc>
          <w:p>
            <w:pPr>
              <w:pStyle w:val="Compact"/>
              <w:jc w:val="left"/>
            </w:pPr>
            <w:r>
              <w:t xml:space="preserve">Inverse du temps de reproduction</w:t>
            </w:r>
          </w:p>
        </w:tc>
        <w:tc>
          <w:p>
            <w:pPr>
              <w:pStyle w:val="Compact"/>
              <w:jc w:val="center"/>
            </w:pPr>
            <m:oMath>
              <m:sSub>
                <m:e>
                  <m:r>
                    <m:t>τ</m:t>
                  </m:r>
                </m:e>
                <m:sub>
                  <m:r>
                    <m:t>r</m:t>
                  </m:r>
                </m:sub>
              </m:sSub>
            </m:oMath>
          </w:p>
        </w:tc>
        <w:tc>
          <w:p>
            <w:pPr>
              <w:pStyle w:val="Compact"/>
              <w:jc w:val="center"/>
            </w:pPr>
            <m:oMath>
              <m:r>
                <m:t>1</m:t>
              </m:r>
            </m:oMath>
          </w:p>
        </w:tc>
      </w:tr>
    </w:tbl>
    <w:bookmarkEnd w:id="0"/>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Larves ;</w:t>
      </w:r>
    </w:p>
    <w:p>
      <w:pPr>
        <w:pStyle w:val="Compact"/>
        <w:numPr>
          <w:numId w:val="1001"/>
          <w:ilvl w:val="0"/>
        </w:numPr>
      </w:pPr>
      <w:r>
        <w:t xml:space="preserve">Nymphes ;</w:t>
      </w:r>
    </w:p>
    <w:p>
      <w:pPr>
        <w:pStyle w:val="Compact"/>
        <w:numPr>
          <w:numId w:val="1001"/>
          <w:ilvl w:val="0"/>
        </w:numPr>
      </w:pPr>
      <w:r>
        <w:t xml:space="preserve">Adultes immatures ;</w:t>
      </w:r>
    </w:p>
    <w:p>
      <w:pPr>
        <w:pStyle w:val="Compact"/>
        <w:numPr>
          <w:numId w:val="1001"/>
          <w:ilvl w:val="0"/>
        </w:numPr>
      </w:pPr>
      <w:r>
        <w:t xml:space="preserve">Adultes en gestation ;</w:t>
      </w:r>
    </w:p>
    <w:p>
      <w:pPr>
        <w:pStyle w:val="Compact"/>
        <w:numPr>
          <w:numId w:val="1001"/>
          <w:ilvl w:val="0"/>
        </w:numPr>
      </w:pPr>
      <w:r>
        <w:t xml:space="preserve">Adultes capable de se reproduire.</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influencées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 immunisés et non pas succeptible. De plus, une personne déjà infectée par un serotype peut être infectée par un autre serotype. Si cette hypothèse était relaxée, elle complefirai grandement les équations consernant les compartiments succeptibles et immunisés.</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r>
        <w:t xml:space="preserve"> </w:t>
      </w:r>
      <w:hyperlink w:anchor="fig:model1">
        <w:r>
          <w:rPr>
            <w:rStyle w:val="Hyperlink"/>
          </w:rPr>
          <w:t xml:space="preserve">1</w:t>
        </w:r>
      </w:hyperlink>
      <w:r>
        <w:t xml:space="preserve">.</w:t>
      </w:r>
    </w:p>
    <w:bookmarkStart w:id="0" w:name="fig:model1"/>
    <w:p>
      <w:pPr>
        <w:pStyle w:val="CaptionedFigure"/>
      </w:pPr>
      <w:bookmarkStart w:id="23" w:name="fig:model1"/>
      <w:r>
        <w:drawing>
          <wp:inline>
            <wp:extent cx="5334000" cy="4361200"/>
            <wp:effectExtent b="0" l="0" r="0" t="0"/>
            <wp:docPr descr="Figure 1: Reproduction de la figure 3c de l’article." title="" id="1" name="Picture"/>
            <a:graphic>
              <a:graphicData uri="http://schemas.openxmlformats.org/drawingml/2006/picture">
                <pic:pic>
                  <pic:nvPicPr>
                    <pic:cNvPr descr="figures/Model1.png" id="0" name="Picture"/>
                    <pic:cNvPicPr>
                      <a:picLocks noChangeArrowheads="1" noChangeAspect="1"/>
                    </pic:cNvPicPr>
                  </pic:nvPicPr>
                  <pic:blipFill>
                    <a:blip r:embed="rId22"/>
                    <a:stretch>
                      <a:fillRect/>
                    </a:stretch>
                  </pic:blipFill>
                  <pic:spPr bwMode="auto">
                    <a:xfrm>
                      <a:off x="0" y="0"/>
                      <a:ext cx="5334000" cy="4361200"/>
                    </a:xfrm>
                    <a:prstGeom prst="rect">
                      <a:avLst/>
                    </a:prstGeom>
                    <a:noFill/>
                    <a:ln w="9525">
                      <a:noFill/>
                      <a:headEnd/>
                      <a:tailEnd/>
                    </a:ln>
                  </pic:spPr>
                </pic:pic>
              </a:graphicData>
            </a:graphic>
          </wp:inline>
        </w:drawing>
      </w:r>
      <w:bookmarkEnd w:id="23"/>
    </w:p>
    <w:p>
      <w:pPr>
        <w:pStyle w:val="ImageCaption"/>
      </w:pPr>
      <w:r>
        <w:t xml:space="preserve">Figure 1: Reproduction de la figure 3c de l’article.</w:t>
      </w:r>
    </w:p>
    <w:bookmarkEnd w:id="0"/>
    <w:p>
      <w:pPr>
        <w:pStyle w:val="BodyText"/>
      </w:pPr>
      <w:r>
        <w:t xml:space="preserve">Pour les modèles 2 nous n’avons pas réussi à reproduire les résultats des auteurs, car nous avons décelés dans les équations pas moins de 6 fautes différentes. Nous avons essayer de les corriger au mieux, mais nos résultats ne convergent pas vers ceux trouver par les auteurs</w:t>
      </w:r>
      <w:r>
        <w:t xml:space="preserve"> </w:t>
      </w:r>
      <w:hyperlink w:anchor="fig:model2">
        <w:r>
          <w:rPr>
            <w:rStyle w:val="Hyperlink"/>
          </w:rPr>
          <w:t xml:space="preserve">2</w:t>
        </w:r>
      </w:hyperlink>
      <w:r>
        <w:t xml:space="preserve">.</w:t>
      </w:r>
    </w:p>
    <w:bookmarkStart w:id="0" w:name="fig:model2"/>
    <w:p>
      <w:pPr>
        <w:pStyle w:val="CaptionedFigure"/>
      </w:pPr>
      <w:bookmarkStart w:id="25" w:name="fig:model2"/>
      <w:r>
        <w:drawing>
          <wp:inline>
            <wp:extent cx="5334000" cy="4361200"/>
            <wp:effectExtent b="0" l="0" r="0" t="0"/>
            <wp:docPr descr="Figure 2: Résultat du modèle 2" title="" id="1" name="Picture"/>
            <a:graphic>
              <a:graphicData uri="http://schemas.openxmlformats.org/drawingml/2006/picture">
                <pic:pic>
                  <pic:nvPicPr>
                    <pic:cNvPr descr="figures/Model2.png" id="0" name="Picture"/>
                    <pic:cNvPicPr>
                      <a:picLocks noChangeArrowheads="1" noChangeAspect="1"/>
                    </pic:cNvPicPr>
                  </pic:nvPicPr>
                  <pic:blipFill>
                    <a:blip r:embed="rId24"/>
                    <a:stretch>
                      <a:fillRect/>
                    </a:stretch>
                  </pic:blipFill>
                  <pic:spPr bwMode="auto">
                    <a:xfrm>
                      <a:off x="0" y="0"/>
                      <a:ext cx="5334000" cy="4361200"/>
                    </a:xfrm>
                    <a:prstGeom prst="rect">
                      <a:avLst/>
                    </a:prstGeom>
                    <a:noFill/>
                    <a:ln w="9525">
                      <a:noFill/>
                      <a:headEnd/>
                      <a:tailEnd/>
                    </a:ln>
                  </pic:spPr>
                </pic:pic>
              </a:graphicData>
            </a:graphic>
          </wp:inline>
        </w:drawing>
      </w:r>
      <w:bookmarkEnd w:id="25"/>
    </w:p>
    <w:p>
      <w:pPr>
        <w:pStyle w:val="ImageCaption"/>
      </w:pPr>
      <w:r>
        <w:t xml:space="preserve">Figure 2: Résultat du modèle 2</w:t>
      </w:r>
    </w:p>
    <w:bookmarkEnd w:id="0"/>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6" w:name="modélisation-complémentaire"/>
      <w:r>
        <w:t xml:space="preserve">Modélisation complémentaire</w:t>
      </w:r>
      <w:bookmarkEnd w:id="26"/>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7" w:name="interprétations"/>
      <w:r>
        <w:t xml:space="preserve">Interprétations</w:t>
      </w:r>
      <w:bookmarkEnd w:id="27"/>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8" w:name="synthèse"/>
      <w:r>
        <w:t xml:space="preserve">Synthèse</w:t>
      </w:r>
      <w:bookmarkEnd w:id="28"/>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9" w:name="bibliographie"/>
      <w:r>
        <w:t xml:space="preserve">Bibliographie</w:t>
      </w:r>
      <w:bookmarkEnd w:id="29"/>
    </w:p>
    <w:bookmarkStart w:id="31" w:name="refs"/>
    <w:bookmarkStart w:id="30" w:name="ref-Erickson_2010"/>
    <w:p>
      <w:pPr>
        <w:pStyle w:val="Bibliography"/>
      </w:pPr>
      <w:r>
        <w:rPr>
          <w:b/>
        </w:rPr>
        <w:t xml:space="preserve">Erickson et al.</w:t>
      </w:r>
      <w:r>
        <w:t xml:space="preserve"> </w:t>
      </w:r>
      <w:r>
        <w:t xml:space="preserve">A dengue model with a dynamic aedes albopictus vector population.</w:t>
      </w:r>
      <w:r>
        <w:t xml:space="preserve"> </w:t>
      </w:r>
      <w:r>
        <w:rPr>
          <w:i/>
        </w:rPr>
        <w:t xml:space="preserve">Ecological Modelling.</w:t>
      </w:r>
      <w:r>
        <w:t xml:space="preserve"> </w:t>
      </w:r>
      <w:r>
        <w:t xml:space="preserve">Elsevier BV; 221:2899‑908.</w:t>
      </w:r>
      <w:r>
        <w:t xml:space="preserve"> </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dc:language>fr-fr</dc:language>
  <cp:keywords>MEPI, Rennes 1, Projet</cp:keywords>
  <dcterms:created xsi:type="dcterms:W3CDTF">2019-11-13T11:53:10Z</dcterms:created>
  <dcterms:modified xsi:type="dcterms:W3CDTF">2019-11-13T11:53:10Z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 — Master MODE</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angue">
    <vt:lpwstr>True</vt:lpwstr>
  </property>
  <property fmtid="{D5CDD505-2E9C-101B-9397-08002B2CF9AE}" pid="14" name="license">
    <vt:lpwstr>CC-BY</vt:lpwstr>
  </property>
  <property fmtid="{D5CDD505-2E9C-101B-9397-08002B2CF9AE}" pid="15" name="linestretch">
    <vt:lpwstr>False</vt:lpwstr>
  </property>
  <property fmtid="{D5CDD505-2E9C-101B-9397-08002B2CF9AE}" pid="16" name="mainfont">
    <vt:lpwstr>Lato</vt:lpwstr>
  </property>
  <property fmtid="{D5CDD505-2E9C-101B-9397-08002B2CF9AE}" pid="17" name="notes">
    <vt:lpwstr>https://github.com/clementviolet/ms_MEPI</vt:lpwstr>
  </property>
  <property fmtid="{D5CDD505-2E9C-101B-9397-08002B2CF9AE}" pid="18" name="toc">
    <vt:lpwstr>False</vt:lpwstr>
  </property>
  <property fmtid="{D5CDD505-2E9C-101B-9397-08002B2CF9AE}" pid="19" name="upload_type">
    <vt:lpwstr>preprint</vt:lpwstr>
  </property>
</Properties>
</file>