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Author"/>
      </w:pPr>
      <w:r>
        <w:t xml:space="preserve">Kevyn</w:t>
      </w:r>
      <w:r>
        <w:t xml:space="preserve"> </w:t>
      </w:r>
      <w:r>
        <w:t xml:space="preserve">Raynal</w:t>
      </w:r>
    </w:p>
    <w:p>
      <w:pPr>
        <w:pStyle w:val="Author"/>
      </w:pPr>
      <w:r>
        <w:t xml:space="preserve">Clément</w:t>
      </w:r>
      <w:r>
        <w:t xml:space="preserve"> </w:t>
      </w:r>
      <w:r>
        <w:t xml:space="preserve">Violet</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millions de personnes selon l’OMS. L’originalité de ce modèle est qu’il ne s’intéresse pas à la principale espèce de moustique vecteur de la dengue qui est</w:t>
      </w:r>
      <w:r>
        <w:t xml:space="preserve"> </w:t>
      </w:r>
      <w:r>
        <w:rPr>
          <w:i/>
        </w:rPr>
        <w:t xml:space="preserve">Aedes aegypti</w:t>
      </w:r>
      <w:r>
        <w:t xml:space="preserve">. Si les auteurs préfèrent s’intéresser à</w:t>
      </w:r>
      <w:r>
        <w:t xml:space="preserve"> </w:t>
      </w:r>
      <w:r>
        <w:rPr>
          <w:i/>
        </w:rPr>
        <w:t xml:space="preserve">Aedes albopictus</w:t>
      </w:r>
      <w:r>
        <w:t xml:space="preserve">, c’est parce que cette espèce a été la cause de plusieurs épidémies de dengue, cette espèce est plus difficile à contrôler, elle a un taux de morsure supérieur et est plus compétitive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elles référence respectivement aux moustiques sensibles, exposés et infectés.</w:t>
      </w:r>
    </w:p>
    <w:p>
      <w:pPr>
        <w:pStyle w:val="BodyText"/>
      </w:pPr>
      <w:r>
        <w:t xml:space="preserve">Les paramètres de ce modèle sont présentés dans le tableau</w:t>
      </w:r>
      <w:r>
        <w:t xml:space="preserve"> </w:t>
      </w:r>
      <w:hyperlink w:anchor="tbl:tab1">
        <w:r>
          <w:rPr>
            <w:rStyle w:val="Hyperlink"/>
          </w:rPr>
          <w:t xml:space="preserve">1</w:t>
        </w:r>
      </w:hyperlink>
      <w:r>
        <w:t xml:space="preserve"> </w:t>
      </w:r>
      <w:r>
        <w:t xml:space="preserve">adapté de</w:t>
      </w:r>
      <w:r>
        <w:t xml:space="preserve"> </w:t>
      </w:r>
      <w:r>
        <w:t xml:space="preserve">Erickson et al. (2010)</w:t>
      </w:r>
      <w:r>
        <w:t xml:space="preserve">.</w:t>
      </w:r>
    </w:p>
    <w:bookmarkStart w:id="0" w:name="tbl:tab1"/>
    <w:p>
      <w:pPr>
        <w:pStyle w:val="TableCaption"/>
      </w:pPr>
      <w:r>
        <w:t xml:space="preserve">Table 1: Paramètres utilisés pour construire le modèle 1.</w:t>
      </w:r>
      <w:r>
        <w:t xml:space="preserve"> </w:t>
      </w:r>
    </w:p>
    <w:tbl>
      <w:tblPr>
        <w:tblStyle w:val="Table"/>
        <w:tblW w:type="pct" w:w="0.0"/>
        <w:tblLook w:firstRow="1"/>
        <w:tblCaption w:val="Table 1: Paramètres utilisés pour construi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Seuls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contrôlant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 se basent sur quatre hypothèses :</w:t>
      </w:r>
    </w:p>
    <w:p>
      <w:pPr>
        <w:pStyle w:val="Compact"/>
        <w:numPr>
          <w:numId w:val="1003"/>
          <w:ilvl w:val="0"/>
        </w:numPr>
      </w:pPr>
      <w:r>
        <w:t xml:space="preserve">La population a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n’existe qu’un seul sérotype de la dengue.</w:t>
      </w:r>
    </w:p>
    <w:p>
      <w:pPr>
        <w:pStyle w:val="FirstParagraph"/>
      </w:pPr>
      <w:r>
        <w:t xml:space="preserve">L’hypothèse la plus contraignante pour le modèle est la dernière. Il existe en réalité plusieurs sérotypes pour ce virus. Or, si une personne a déjà été infectée par le passé elle devrait se trouver dans le compartiment immunisé et non pas susceptible. De plus, une personne déjà infectée par un sérotype peut être infecté par un autre sérotype. Si cette hypothèse était relaxée, elle complexifierait grandement les équations concernant les compartiments susceptibles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codé en R, puisque le nombre d’équations est relativement restreint.</w:t>
      </w:r>
    </w:p>
    <w:p>
      <w:pPr>
        <w:pStyle w:val="BodyText"/>
      </w:pPr>
      <w:r>
        <w:t xml:space="preserve">C’est en essayant de coder par nous-mêmes ce modèle que nous avons rencontré les points négatifs de cet article : la reproductibilité. Bien que les équations soient relativement simples dans le premier modèle, il existe déjà des erreurs de mise en page concernant les équations. Ces erreurs ont été facilement contournées grâce aux autres modèles de l’article qui ne sont qu’une extension du premier. Néanmoins, corriger ces premières erreurs n’a pas été suffisant pour faire fonctionner ce premier modèle : il y avait d’autres erreurs plus insidieuses.</w:t>
      </w:r>
    </w:p>
    <w:p>
      <w:pPr>
        <w:pStyle w:val="BodyText"/>
      </w:pPr>
      <w:r>
        <w:t xml:space="preserve">Le tableau décrivant les valeurs des différents paramètres présenté dans l’article contient lui aussi des erreurs de mise en page, nous avons fait le choix de présenter un tableau corrigé (Tab. 1</w:t>
      </w:r>
      <w:r>
        <w:t xml:space="preserve"> </w:t>
      </w:r>
      <w:hyperlink w:anchor="tbl:tab1">
        <w:r>
          <w:rPr>
            <w:rStyle w:val="Hyperlink"/>
          </w:rPr>
          <w:t xml:space="preserve">1</w:t>
        </w:r>
      </w:hyperlink>
      <w:r>
        <w:t xml:space="preserv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 modèle 2, nous n’avons pas réussi à reproduire les résultats des auteurs, car nous avons décelé dans les équations pas moins de 6 fautes différentes. Nous avons essayé de les corriger au mieux, mais nos résultats ne convergent pas vers ceux trouvés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s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Résultats du modèle 2</w:t>
      </w:r>
    </w:p>
    <w:bookmarkEnd w:id="0"/>
    <w:p>
      <w:pPr>
        <w:pStyle w:val="BodyText"/>
      </w:pPr>
      <w:r>
        <w:t xml:space="preserve">Il est possible que nos corrections soient également erronées, ou bien alors qu’il y ait d’autres erreurs dans les paramètres du modèle. Certains paramètres sont des fonctions dépendantes de la température. Or l’article ne contient pas ces fonctions mathématiques. L’article contient uniquement leurs images pour une température de 25°C. Nous supposons qu’il y a également des erreurs de typographie pour les images de ces fonctions. Pour les paramètres concernés, nous avons essayé de nombreuses autres valeurs, mais aucune ne convenait. Les auteurs indiquent seulement que nous pouvons trouver ces équations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n’aurions pas pu le reproduire. En effet, les auteurs de cet article expliquent avoir fait varier la température grâce à la température de l’air moyenne de la ville de Lubbock au Texas. Bien que ces données soient disponibles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La tentative de reproduire les résultats de cet article scientifique nous a permis de nous confronter à un problème qui fait grand bruit dans la communauté scientifique : la crise de la reproductibilité</w:t>
      </w:r>
      <w:r>
        <w:t xml:space="preserve"> </w:t>
      </w:r>
      <w:r>
        <w:t xml:space="preserve">(Baker 2016)</w:t>
      </w:r>
      <w:r>
        <w:t xml:space="preserve">. Nous avons échoué à pouvoir reproduire l’ensemble des résultats de cet article.</w:t>
      </w:r>
    </w:p>
    <w:p>
      <w:pPr>
        <w:pStyle w:val="BodyText"/>
      </w:pPr>
      <w:r>
        <w:t xml:space="preserve">Ce travail nous a permis de nous rendre compte qu’écrire un article n’est pas seulement présenter les résultats de ses travaux. Cela va au-delà en permettant à tout chercheur de reproduire les résultats obtenus. Il faut donc prendre le plus grand soin à vérifier que toutes les données nécessaires sont facilement disponibles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9" w:name="bibliographie"/>
      <w:r>
        <w:t xml:space="preserve">Bibliographie</w:t>
      </w:r>
      <w:bookmarkEnd w:id="29"/>
    </w:p>
    <w:bookmarkStart w:id="32" w:name="refs"/>
    <w:bookmarkStart w:id="30"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30"/>
    <w:bookmarkStart w:id="31"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Kevyn Raynal; Clément Violet</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2019-11-18T08:53:13Z</dcterms:created>
  <dcterms:modified xsi:type="dcterms:W3CDTF">2019-11-18T08:53:13Z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barlock/plab.csl</vt:lpwstr>
  </property>
  <property fmtid="{D5CDD505-2E9C-101B-9397-08002B2CF9AE}" pid="7" name="dates">
    <vt:lpwstr>Semestre 9 — Master MODE</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linestretch">
    <vt:lpwstr>False</vt:lpwstr>
  </property>
  <property fmtid="{D5CDD505-2E9C-101B-9397-08002B2CF9AE}" pid="14" name="mainfont">
    <vt:lpwstr>Lato</vt:lpwstr>
  </property>
  <property fmtid="{D5CDD505-2E9C-101B-9397-08002B2CF9AE}" pid="15" name="notes">
    <vt:lpwstr>https://github.com/clementviolet/ms_MEPI</vt:lpwstr>
  </property>
  <property fmtid="{D5CDD505-2E9C-101B-9397-08002B2CF9AE}" pid="16" name="toc">
    <vt:lpwstr>False</vt:lpwstr>
  </property>
  <property fmtid="{D5CDD505-2E9C-101B-9397-08002B2CF9AE}" pid="17" name="upload_type">
    <vt:lpwstr>preprint</vt:lpwstr>
  </property>
</Properties>
</file>