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w:t>
      </w:r>
      <w:r>
        <w:t xml:space="preserve"> </w:t>
      </w:r>
      <w:hyperlink w:anchor="eq:eq1">
        <w:r>
          <w:rPr>
            <w:rStyle w:val="Hyperlink"/>
          </w:rPr>
          <w:t xml:space="preserve">1</w:t>
        </w:r>
      </w:hyperlink>
      <w:r>
        <w:t xml:space="preserve">,</w:t>
      </w:r>
      <w:r>
        <w:t xml:space="preserve"> </w:t>
      </w:r>
      <w:hyperlink w:anchor="eq:eq2">
        <w:r>
          <w:rPr>
            <w:rStyle w:val="Hyperlink"/>
          </w:rPr>
          <w:t xml:space="preserve">2</w:t>
        </w:r>
      </w:hyperlink>
      <w:r>
        <w:t xml:space="preserve">,</w:t>
      </w:r>
      <w:r>
        <w:t xml:space="preserve"> </w:t>
      </w:r>
      <w:hyperlink w:anchor="eq:eq3">
        <w:r>
          <w:rPr>
            <w:rStyle w:val="Hyperlink"/>
          </w:rPr>
          <w:t xml:space="preserve">3</w:t>
        </w:r>
      </w:hyperlink>
      <w:r>
        <w:t xml:space="preserve">,</w:t>
      </w:r>
      <w:r>
        <w:t xml:space="preserve"> </w:t>
      </w:r>
      <w:hyperlink w:anchor="eq:eq4">
        <w:r>
          <w:rPr>
            <w:rStyle w:val="Hyperlink"/>
          </w:rPr>
          <w:t xml:space="preserve">4</w:t>
        </w:r>
      </w:hyperlink>
      <w:r>
        <w:t xml:space="preserve"> </w:t>
      </w:r>
      <w:r>
        <w:t xml:space="preserve">faisant référence respectivement au nombre de personnes sensisbles, exposées, infectées,</w:t>
      </w:r>
      <w:r>
        <w:t xml:space="preserve"> </w:t>
      </w:r>
      <w:r>
        <w:t xml:space="preserve">“</w:t>
      </w:r>
      <w:r>
        <w:t xml:space="preserve">recovered</w:t>
      </w:r>
      <w:r>
        <w:t xml:space="preserve">”</w:t>
      </w:r>
      <w:r>
        <w:t xml:space="preserve"> </w:t>
      </w:r>
      <w:r>
        <w:t xml:space="preserve">(trouver traduction)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w:t>
      </w:r>
      <w:r>
        <w:t xml:space="preserve"> </w:t>
      </w:r>
      <w:hyperlink w:anchor="eq:eq5">
        <w:r>
          <w:rPr>
            <w:rStyle w:val="Hyperlink"/>
          </w:rPr>
          <w:t xml:space="preserve">5</w:t>
        </w:r>
      </w:hyperlink>
      <w:r>
        <w:t xml:space="preserve">,</w:t>
      </w:r>
      <w:r>
        <w:t xml:space="preserve"> </w:t>
      </w:r>
      <w:hyperlink w:anchor="eq:eq6">
        <w:r>
          <w:rPr>
            <w:rStyle w:val="Hyperlink"/>
          </w:rPr>
          <w:t xml:space="preserve">6</w:t>
        </w:r>
      </w:hyperlink>
      <w:r>
        <w:t xml:space="preserve">,</w:t>
      </w:r>
      <w:r>
        <w:t xml:space="preserve"> </w:t>
      </w:r>
      <w:hyperlink w:anchor="eq:eq7">
        <w:r>
          <w:rPr>
            <w:rStyle w:val="Hyperlink"/>
          </w:rPr>
          <w:t xml:space="preserve">7</w:t>
        </w:r>
      </w:hyperlink>
      <w:r>
        <w:t xml:space="preserve"> </w:t>
      </w:r>
      <w:r>
        <w:t xml:space="preserve">font quant à elle références respectivement aux moustiques sensibles, exposés et infectés.</w:t>
      </w:r>
    </w:p>
    <w:p>
      <w:pPr>
        <w:pStyle w:val="BodyText"/>
      </w:pPr>
      <w:r>
        <w:t xml:space="preserve">Les paramètres de ce modèle sont présentés dans la figure X adapté de Y.</w:t>
      </w:r>
    </w:p>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 ;</w:t>
      </w:r>
    </w:p>
    <w:p>
      <w:pPr>
        <w:pStyle w:val="Compact"/>
        <w:numPr>
          <w:numId w:val="1001"/>
          <w:ilvl w:val="0"/>
        </w:numPr>
      </w:pPr>
      <w:r>
        <w:t xml:space="preserve">Pupae (besoin de trouver une traduction) ;</w:t>
      </w:r>
    </w:p>
    <w:p>
      <w:pPr>
        <w:pStyle w:val="Compact"/>
        <w:numPr>
          <w:numId w:val="1001"/>
          <w:ilvl w:val="0"/>
        </w:numPr>
      </w:pPr>
      <w:r>
        <w:t xml:space="preserve">Adultes immatures ;</w:t>
      </w:r>
    </w:p>
    <w:p>
      <w:pPr>
        <w:pStyle w:val="Compact"/>
        <w:numPr>
          <w:numId w:val="1001"/>
          <w:ilvl w:val="0"/>
        </w:numPr>
      </w:pPr>
      <w:r>
        <w:t xml:space="preserve">Adultes gesting (besoin aussi de trouver une trad) ;</w:t>
      </w:r>
    </w:p>
    <w:p>
      <w:pPr>
        <w:pStyle w:val="Compact"/>
        <w:numPr>
          <w:numId w:val="1001"/>
          <w:ilvl w:val="0"/>
        </w:numPr>
      </w:pPr>
      <w:r>
        <w:t xml:space="preserve">Adultes reproductifs.</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forcés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w:t>
      </w:r>
      <w:r>
        <w:t xml:space="preserve"> </w:t>
      </w:r>
      <w:r>
        <w:t xml:space="preserve">“</w:t>
      </w:r>
      <w:r>
        <w:t xml:space="preserve">recovered</w:t>
      </w:r>
      <w:r>
        <w:t xml:space="preserve">”</w:t>
      </w:r>
      <w:r>
        <w:t xml:space="preserve"> </w:t>
      </w:r>
      <w:r>
        <w:t xml:space="preserve">(trouver une traduction pour cela) et non pas succeptible. De plus, une personne déjà infectée par un serotype peut être infectée par un autre serotype. Si cette hypothèse était relaxée, elle complefirai grandement les équations consernant les compartiments succeptibles et</w:t>
      </w:r>
      <w:r>
        <w:t xml:space="preserve"> </w:t>
      </w:r>
      <w:r>
        <w:t xml:space="preserve">“</w:t>
      </w:r>
      <w:r>
        <w:t xml:space="preserve">recovered</w:t>
      </w:r>
      <w:r>
        <w:t xml:space="preserve">”</w:t>
      </w:r>
      <w:r>
        <w:t xml:space="preserve"> </w:t>
      </w:r>
      <w:r>
        <w:t xml:space="preserve">(trouver traduction).</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2019-11-11T08:45:25Z</dcterms:created>
  <dcterms:modified xsi:type="dcterms:W3CDTF">2019-11-11T08:45:25Z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ates">
    <vt:lpwstr>Semestre 9 — Master MODE</vt:lpwstr>
  </property>
  <property fmtid="{D5CDD505-2E9C-101B-9397-08002B2CF9AE}" pid="9" name="documentclass">
    <vt:lpwstr>article</vt:lpwstr>
  </property>
  <property fmtid="{D5CDD505-2E9C-101B-9397-08002B2CF9AE}" pid="10" name="fontsize">
    <vt:lpwstr>12pt</vt:lpwstr>
  </property>
  <property fmtid="{D5CDD505-2E9C-101B-9397-08002B2CF9AE}" pid="11" name="geometry">
    <vt:lpwstr/>
  </property>
  <property fmtid="{D5CDD505-2E9C-101B-9397-08002B2CF9AE}" pid="12" name="language">
    <vt:lpwstr>fr</vt:lpwstr>
  </property>
  <property fmtid="{D5CDD505-2E9C-101B-9397-08002B2CF9AE}" pid="13" name="langue">
    <vt:lpwstr>True</vt:lpwstr>
  </property>
  <property fmtid="{D5CDD505-2E9C-101B-9397-08002B2CF9AE}" pid="14" name="license">
    <vt:lpwstr>CC-BY</vt:lpwstr>
  </property>
  <property fmtid="{D5CDD505-2E9C-101B-9397-08002B2CF9AE}" pid="15" name="linestretch">
    <vt:lpwstr>False</vt:lpwstr>
  </property>
  <property fmtid="{D5CDD505-2E9C-101B-9397-08002B2CF9AE}" pid="16" name="mainfont">
    <vt:lpwstr>Lato</vt:lpwstr>
  </property>
  <property fmtid="{D5CDD505-2E9C-101B-9397-08002B2CF9AE}" pid="17" name="notes">
    <vt:lpwstr>https://github.com/clementviolet/ms_MEPI</vt:lpwstr>
  </property>
  <property fmtid="{D5CDD505-2E9C-101B-9397-08002B2CF9AE}" pid="18" name="polyglossia-lang">
    <vt:lpwstr/>
  </property>
  <property fmtid="{D5CDD505-2E9C-101B-9397-08002B2CF9AE}" pid="19" name="toc">
    <vt:lpwstr>False</vt:lpwstr>
  </property>
  <property fmtid="{D5CDD505-2E9C-101B-9397-08002B2CF9AE}" pid="20" name="upload_type">
    <vt:lpwstr>preprint</vt:lpwstr>
  </property>
</Properties>
</file>