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Heading1"/>
      </w:pPr>
      <w:bookmarkStart w:id="20" w:name="the-model"/>
      <w:r>
        <w:t xml:space="preserve">The model</w:t>
      </w:r>
      <w:bookmarkEnd w:id="20"/>
    </w:p>
    <w:p>
      <w:pPr>
        <w:pStyle w:val="FirstParagraph"/>
      </w:pPr>
      <w:r>
        <w:t xml:space="preserve">This is a citation:</w:t>
      </w:r>
      <w:r>
        <w:t xml:space="preserve"> </w:t>
      </w:r>
      <w:r>
        <w:t xml:space="preserve">Martinez (2002)</w:t>
      </w:r>
      <w:r>
        <w:t xml:space="preserve"> </w:t>
      </w:r>
      <w:r>
        <w:t xml:space="preserve">– we can also have citations in brackets</w:t>
      </w:r>
      <w:r>
        <w:t xml:space="preserve"> </w:t>
      </w:r>
      <w:r>
        <w:t xml:space="preserve">(Martinez 2002)</w:t>
      </w:r>
      <w:r>
        <w:t xml:space="preserve">.</w:t>
      </w:r>
    </w:p>
    <w:p>
      <w:pPr>
        <w:pStyle w:val="Heading2"/>
      </w:pPr>
      <w:bookmarkStart w:id="21" w:name="lists"/>
      <w:r>
        <w:t xml:space="preserve">Lists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one fish</w:t>
      </w:r>
    </w:p>
    <w:p>
      <w:pPr>
        <w:pStyle w:val="Compact"/>
        <w:numPr>
          <w:numId w:val="1001"/>
          <w:ilvl w:val="0"/>
        </w:numPr>
      </w:pPr>
      <w:r>
        <w:t xml:space="preserve">two fish</w:t>
      </w:r>
    </w:p>
    <w:p>
      <w:pPr>
        <w:pStyle w:val="Compact"/>
        <w:numPr>
          <w:numId w:val="1001"/>
          <w:ilvl w:val="0"/>
        </w:numPr>
      </w:pPr>
      <w:r>
        <w:t xml:space="preserve">red fish</w:t>
      </w:r>
    </w:p>
    <w:p>
      <w:pPr>
        <w:pStyle w:val="Compact"/>
        <w:numPr>
          <w:numId w:val="1001"/>
          <w:ilvl w:val="0"/>
        </w:numPr>
      </w:pPr>
      <w:r>
        <w:t xml:space="preserve">blue fish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There is an equation, which we can cite with</w:t>
      </w:r>
      <w:r>
        <w:t xml:space="preserve"> </w:t>
      </w:r>
      <w:hyperlink w:anchor="eq:eq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0" w:name="eq:eq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′</m:t>
          </m:r>
          <m:r>
            <m:t>(</m:t>
          </m:r>
          <m:r>
            <m:t>p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S</m:t>
              </m:r>
              <m:r>
                <m:t>)</m:t>
              </m:r>
            </m:den>
          </m:f>
          <m:r>
            <m:t>×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∑</m:t>
              </m:r>
              <m:r>
                <m:t>p</m:t>
              </m:r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p</m:t>
              </m:r>
              <m:r>
                <m:t>)</m:t>
              </m:r>
            </m:e>
          </m:d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1"/>
      </w:pPr>
      <w:bookmarkStart w:id="23" w:name="tables"/>
      <w:r>
        <w:t xml:space="preserve">Tables</w:t>
      </w:r>
      <w:bookmarkEnd w:id="23"/>
    </w:p>
    <w:p>
      <w:pPr>
        <w:pStyle w:val="FirstParagraph"/>
      </w:pPr>
      <w:r>
        <w:t xml:space="preserve">We can do tables: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</w:tr>
    </w:tbl>
    <w:bookmarkEnd w:id="0"/>
    <w:p>
      <w:pPr>
        <w:pStyle w:val="BodyText"/>
      </w:pPr>
      <w:r>
        <w:t xml:space="preserve">The first column is neat, the second centered and the third right-aligned. We can also cite table with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</w:p>
    <w:p>
      <w:pPr>
        <w:pStyle w:val="Heading1"/>
      </w:pPr>
      <w:bookmarkStart w:id="24" w:name="figures"/>
      <w:r>
        <w:t xml:space="preserve">Figures</w:t>
      </w:r>
      <w:bookmarkEnd w:id="24"/>
    </w:p>
    <w:bookmarkStart w:id="0" w:name="fig:biomes"/>
    <w:p>
      <w:pPr>
        <w:pStyle w:val="CaptionedFigure"/>
      </w:pPr>
      <w:bookmarkStart w:id="26" w:name="fig:biomes"/>
      <w:r>
        <w:drawing>
          <wp:inline>
            <wp:extent cx="5334000" cy="3556000"/>
            <wp:effectExtent b="0" l="0" r="0" t="0"/>
            <wp:docPr descr="Figure 1: This is the legend of the figure" title="" id="1" name="Picture"/>
            <a:graphic>
              <a:graphicData uri="http://schemas.openxmlformats.org/drawingml/2006/picture">
                <pic:pic>
                  <pic:nvPicPr>
                    <pic:cNvPr descr="figures/biom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This is the legend of the figure</w:t>
      </w:r>
    </w:p>
    <w:bookmarkEnd w:id="0"/>
    <w:p>
      <w:pPr>
        <w:pStyle w:val="BodyText"/>
      </w:pPr>
      <w:r>
        <w:t xml:space="preserve">We can refer to</w:t>
      </w:r>
      <w:r>
        <w:t xml:space="preserve"> </w:t>
      </w:r>
      <w:hyperlink w:anchor="fig:biomes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Heading1"/>
      </w:pPr>
      <w:bookmarkStart w:id="27" w:name="code"/>
      <w:r>
        <w:t xml:space="preserve">Code?</w:t>
      </w:r>
      <w:bookmarkEnd w:id="27"/>
    </w:p>
    <w:p>
      <w:pPr>
        <w:pStyle w:val="FirstParagraph"/>
      </w:pPr>
      <w:r>
        <w:t xml:space="preserve">Yes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eachindex(x)</w:t>
      </w:r>
      <w:r>
        <w:br/>
      </w:r>
      <w:r>
        <w:rPr>
          <w:rStyle w:val="NormalTok"/>
        </w:rPr>
        <w:t xml:space="preserve">  x[i] = zero(eltype(x)) </w:t>
      </w:r>
      <w:r>
        <w:rPr>
          <w:rStyle w:val="CommentTok"/>
        </w:rPr>
        <w:t xml:space="preserve"># Don't do that</w:t>
      </w:r>
      <w:r>
        <w:br/>
      </w:r>
      <w:r>
        <w:rPr>
          <w:rStyle w:val="KeywordTok"/>
        </w:rPr>
        <w:t xml:space="preserve">end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0" w:name="refs"/>
    <w:bookmarkStart w:id="29" w:name="ref-Martinez2002"/>
    <w:p>
      <w:pPr>
        <w:pStyle w:val="Bibliography"/>
      </w:pPr>
      <w:r>
        <w:rPr>
          <w:b/>
        </w:rPr>
        <w:t xml:space="preserve">Martinez</w:t>
      </w:r>
      <w:r>
        <w:t xml:space="preserve">. (2002). Constant Connectance in Community Food Webs.</w:t>
      </w:r>
      <w:r>
        <w:t xml:space="preserve"> </w:t>
      </w:r>
      <w:r>
        <w:rPr>
          <w:i/>
        </w:rPr>
        <w:t xml:space="preserve">The American Naturalist.</w:t>
      </w:r>
      <w:r>
        <w:t xml:space="preserve"> </w:t>
      </w:r>
      <w:r>
        <w:t xml:space="preserve">139:1208–18.</w:t>
      </w:r>
      <w:r>
        <w:t xml:space="preserve"> 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dc:description>This document is intended purely as a demo for the manuscript building system.</dc:description>
  <cp:keywords/>
  <dcterms:created xsi:type="dcterms:W3CDTF">2019-12-17T14:01:32Z</dcterms:created>
  <dcterms:modified xsi:type="dcterms:W3CDTF">2019-12-17T14:01:32Z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ss_right">
    <vt:lpwstr>open</vt:lpwstr>
  </property>
  <property fmtid="{D5CDD505-2E9C-101B-9397-08002B2CF9AE}" pid="3" name="authors">
    <vt:lpwstr>Clément Violet</vt:lpwstr>
  </property>
  <property fmtid="{D5CDD505-2E9C-101B-9397-08002B2CF9AE}" pid="4" name="bibliography">
    <vt:lpwstr>references.json</vt:lpwstr>
  </property>
  <property fmtid="{D5CDD505-2E9C-101B-9397-08002B2CF9AE}" pid="5" name="classoption">
    <vt:lpwstr>oneside</vt:lpwstr>
  </property>
  <property fmtid="{D5CDD505-2E9C-101B-9397-08002B2CF9AE}" pid="6" name="creators">
    <vt:lpwstr/>
  </property>
  <property fmtid="{D5CDD505-2E9C-101B-9397-08002B2CF9AE}" pid="7" name="csl">
    <vt:lpwstr>barlock/plab.csl</vt:lpwstr>
  </property>
  <property fmtid="{D5CDD505-2E9C-101B-9397-08002B2CF9AE}" pid="8" name="dates">
    <vt:lpwstr>False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geometry">
    <vt:lpwstr/>
  </property>
  <property fmtid="{D5CDD505-2E9C-101B-9397-08002B2CF9AE}" pid="12" name="language">
    <vt:lpwstr>fr</vt:lpwstr>
  </property>
  <property fmtid="{D5CDD505-2E9C-101B-9397-08002B2CF9AE}" pid="13" name="langue">
    <vt:lpwstr>True</vt:lpwstr>
  </property>
  <property fmtid="{D5CDD505-2E9C-101B-9397-08002B2CF9AE}" pid="14" name="license">
    <vt:lpwstr>CC-BY</vt:lpwstr>
  </property>
  <property fmtid="{D5CDD505-2E9C-101B-9397-08002B2CF9AE}" pid="15" name="linestretch">
    <vt:lpwstr>False</vt:lpwstr>
  </property>
  <property fmtid="{D5CDD505-2E9C-101B-9397-08002B2CF9AE}" pid="16" name="mainfont">
    <vt:lpwstr>Lato</vt:lpwstr>
  </property>
  <property fmtid="{D5CDD505-2E9C-101B-9397-08002B2CF9AE}" pid="17" name="notes">
    <vt:lpwstr>https://github.com/clementviolet/manuscript-template/</vt:lpwstr>
  </property>
  <property fmtid="{D5CDD505-2E9C-101B-9397-08002B2CF9AE}" pid="18" name="polyglossia-lang">
    <vt:lpwstr/>
  </property>
  <property fmtid="{D5CDD505-2E9C-101B-9397-08002B2CF9AE}" pid="19" name="toc">
    <vt:lpwstr>False</vt:lpwstr>
  </property>
  <property fmtid="{D5CDD505-2E9C-101B-9397-08002B2CF9AE}" pid="20" name="upload_type">
    <vt:lpwstr>preprint</vt:lpwstr>
  </property>
</Properties>
</file>