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DCAFA" w14:textId="7575A4F7" w:rsidR="008B5FFB" w:rsidRPr="00B52D53" w:rsidRDefault="001523F0" w:rsidP="0092146B">
      <w:pPr>
        <w:pStyle w:val="Heading1"/>
        <w:jc w:val="both"/>
        <w:rPr>
          <w:rFonts w:ascii="Calibri" w:hAnsi="Calibri" w:cs="Calibri"/>
          <w:color w:val="auto"/>
          <w:sz w:val="36"/>
          <w:szCs w:val="36"/>
          <w:lang w:val="en-US"/>
        </w:rPr>
      </w:pPr>
      <w:r w:rsidRPr="00B52D53">
        <w:rPr>
          <w:rFonts w:ascii="Calibri" w:hAnsi="Calibri" w:cs="Calibri"/>
          <w:color w:val="auto"/>
          <w:sz w:val="36"/>
          <w:szCs w:val="36"/>
          <w:lang w:val="en-US"/>
        </w:rPr>
        <w:t>RES 3 – Rules, Ethics, and Skills for Fund Management</w:t>
      </w:r>
    </w:p>
    <w:p w14:paraId="5AA261C0" w14:textId="0A21AFB1" w:rsidR="001523F0" w:rsidRPr="00B52D53" w:rsidRDefault="001523F0" w:rsidP="00DA459B">
      <w:pPr>
        <w:pStyle w:val="Heading2"/>
        <w:jc w:val="both"/>
        <w:rPr>
          <w:rFonts w:ascii="Calibri" w:hAnsi="Calibri" w:cs="Calibri"/>
          <w:color w:val="auto"/>
          <w:lang w:val="en-US"/>
        </w:rPr>
      </w:pPr>
      <w:r w:rsidRPr="00B52D53">
        <w:rPr>
          <w:rFonts w:ascii="Calibri" w:hAnsi="Calibri" w:cs="Calibri"/>
          <w:color w:val="auto"/>
          <w:lang w:val="en-US"/>
        </w:rPr>
        <w:t xml:space="preserve">Chapter 1 – Capital Markets </w:t>
      </w:r>
      <w:r w:rsidR="00232833" w:rsidRPr="00B52D53">
        <w:rPr>
          <w:rFonts w:ascii="Calibri" w:hAnsi="Calibri" w:cs="Calibri"/>
          <w:color w:val="auto"/>
          <w:lang w:val="en-US"/>
        </w:rPr>
        <w:t>&amp;</w:t>
      </w:r>
      <w:r w:rsidRPr="00B52D53">
        <w:rPr>
          <w:rFonts w:ascii="Calibri" w:hAnsi="Calibri" w:cs="Calibri"/>
          <w:color w:val="auto"/>
          <w:lang w:val="en-US"/>
        </w:rPr>
        <w:t xml:space="preserve"> Fund Management Industry in SG</w:t>
      </w:r>
    </w:p>
    <w:p w14:paraId="4FBAFA95" w14:textId="48985D4E" w:rsidR="00232833" w:rsidRPr="00B52D53" w:rsidRDefault="00232833" w:rsidP="009F73BE">
      <w:pPr>
        <w:pStyle w:val="Heading3"/>
        <w:numPr>
          <w:ilvl w:val="0"/>
          <w:numId w:val="83"/>
        </w:numPr>
        <w:jc w:val="both"/>
        <w:rPr>
          <w:rFonts w:ascii="Calibri" w:hAnsi="Calibri" w:cs="Calibri"/>
          <w:color w:val="auto"/>
          <w:lang w:val="en-US"/>
        </w:rPr>
      </w:pPr>
      <w:r w:rsidRPr="00B52D53">
        <w:rPr>
          <w:rFonts w:ascii="Calibri" w:hAnsi="Calibri" w:cs="Calibri"/>
          <w:color w:val="auto"/>
          <w:lang w:val="en-US"/>
        </w:rPr>
        <w:t>Basic features of the capital markets</w:t>
      </w:r>
    </w:p>
    <w:p w14:paraId="24D711BE" w14:textId="28DEAF25" w:rsidR="00232833" w:rsidRPr="00B52D53" w:rsidRDefault="00232833" w:rsidP="009F73BE">
      <w:pPr>
        <w:pStyle w:val="ListParagraph"/>
        <w:numPr>
          <w:ilvl w:val="1"/>
          <w:numId w:val="83"/>
        </w:numPr>
        <w:jc w:val="both"/>
        <w:rPr>
          <w:rFonts w:ascii="Calibri" w:hAnsi="Calibri" w:cs="Calibri"/>
          <w:color w:val="auto"/>
          <w:sz w:val="22"/>
          <w:lang w:val="en-US"/>
        </w:rPr>
      </w:pPr>
      <w:r w:rsidRPr="00B52D53">
        <w:rPr>
          <w:rFonts w:ascii="Calibri" w:hAnsi="Calibri" w:cs="Calibri"/>
          <w:b/>
          <w:bCs/>
          <w:color w:val="auto"/>
          <w:sz w:val="22"/>
          <w:lang w:val="en-US"/>
        </w:rPr>
        <w:t>Primary markets</w:t>
      </w:r>
      <w:r w:rsidRPr="00B52D53">
        <w:rPr>
          <w:rFonts w:ascii="Calibri" w:hAnsi="Calibri" w:cs="Calibri"/>
          <w:color w:val="auto"/>
          <w:sz w:val="22"/>
          <w:lang w:val="en-US"/>
        </w:rPr>
        <w:t xml:space="preserve">: Platform for businesses to </w:t>
      </w:r>
      <w:r w:rsidRPr="00B52D53">
        <w:rPr>
          <w:rFonts w:ascii="Calibri" w:hAnsi="Calibri" w:cs="Calibri"/>
          <w:color w:val="auto"/>
          <w:sz w:val="22"/>
          <w:u w:val="single"/>
          <w:lang w:val="en-US"/>
        </w:rPr>
        <w:t>raise capital</w:t>
      </w:r>
      <w:r w:rsidRPr="00B52D53">
        <w:rPr>
          <w:rFonts w:ascii="Calibri" w:hAnsi="Calibri" w:cs="Calibri"/>
          <w:color w:val="auto"/>
          <w:sz w:val="22"/>
          <w:lang w:val="en-US"/>
        </w:rPr>
        <w:t xml:space="preserve"> through issuance of shares, bonds, company warrants (</w:t>
      </w:r>
      <w:r w:rsidR="00A14A3B" w:rsidRPr="00B52D53">
        <w:rPr>
          <w:rFonts w:ascii="Calibri" w:hAnsi="Calibri" w:cs="Calibri"/>
          <w:color w:val="auto"/>
          <w:sz w:val="22"/>
          <w:lang w:val="en-US"/>
        </w:rPr>
        <w:t xml:space="preserve">i.e., securities </w:t>
      </w:r>
      <w:r w:rsidRPr="00B52D53">
        <w:rPr>
          <w:rFonts w:ascii="Calibri" w:hAnsi="Calibri" w:cs="Calibri"/>
          <w:color w:val="auto"/>
          <w:sz w:val="22"/>
          <w:lang w:val="en-US"/>
        </w:rPr>
        <w:t>issued by companies that grant holder the right to buy/sell shares), funds, unit trusts and REITs.</w:t>
      </w:r>
      <w:r w:rsidR="00A14A3B" w:rsidRPr="00B52D53">
        <w:rPr>
          <w:rFonts w:ascii="Calibri" w:hAnsi="Calibri" w:cs="Calibri"/>
          <w:color w:val="auto"/>
          <w:sz w:val="22"/>
          <w:lang w:val="en-US"/>
        </w:rPr>
        <w:t xml:space="preserve"> In SG, this falls under the purview of SGX-ST.</w:t>
      </w:r>
    </w:p>
    <w:p w14:paraId="6FA2E978" w14:textId="2B04BDBE" w:rsidR="00232833" w:rsidRPr="00B52D53" w:rsidRDefault="00232833" w:rsidP="009F73BE">
      <w:pPr>
        <w:pStyle w:val="ListParagraph"/>
        <w:numPr>
          <w:ilvl w:val="1"/>
          <w:numId w:val="83"/>
        </w:numPr>
        <w:jc w:val="both"/>
        <w:rPr>
          <w:rFonts w:ascii="Calibri" w:hAnsi="Calibri" w:cs="Calibri"/>
          <w:color w:val="auto"/>
          <w:sz w:val="22"/>
          <w:lang w:val="en-US"/>
        </w:rPr>
      </w:pPr>
      <w:r w:rsidRPr="00B52D53">
        <w:rPr>
          <w:rFonts w:ascii="Calibri" w:hAnsi="Calibri" w:cs="Calibri"/>
          <w:b/>
          <w:bCs/>
          <w:color w:val="auto"/>
          <w:sz w:val="22"/>
          <w:lang w:val="en-US"/>
        </w:rPr>
        <w:t>Secondary markets</w:t>
      </w:r>
      <w:r w:rsidRPr="00B52D53">
        <w:rPr>
          <w:rFonts w:ascii="Calibri" w:hAnsi="Calibri" w:cs="Calibri"/>
          <w:color w:val="auto"/>
          <w:sz w:val="22"/>
          <w:lang w:val="en-US"/>
        </w:rPr>
        <w:t xml:space="preserve">: Platform for investors to </w:t>
      </w:r>
      <w:r w:rsidRPr="00B52D53">
        <w:rPr>
          <w:rFonts w:ascii="Calibri" w:hAnsi="Calibri" w:cs="Calibri"/>
          <w:color w:val="auto"/>
          <w:sz w:val="22"/>
          <w:u w:val="single"/>
          <w:lang w:val="en-US"/>
        </w:rPr>
        <w:t>manage or transfer their risks</w:t>
      </w:r>
      <w:r w:rsidRPr="00B52D53">
        <w:rPr>
          <w:rFonts w:ascii="Calibri" w:hAnsi="Calibri" w:cs="Calibri"/>
          <w:color w:val="auto"/>
          <w:sz w:val="22"/>
          <w:lang w:val="en-US"/>
        </w:rPr>
        <w:t xml:space="preserve"> to others through futures, options (issued by 3</w:t>
      </w:r>
      <w:r w:rsidRPr="00B52D53">
        <w:rPr>
          <w:rFonts w:ascii="Calibri" w:hAnsi="Calibri" w:cs="Calibri"/>
          <w:color w:val="auto"/>
          <w:sz w:val="22"/>
          <w:vertAlign w:val="superscript"/>
          <w:lang w:val="en-US"/>
        </w:rPr>
        <w:t>rd</w:t>
      </w:r>
      <w:r w:rsidRPr="00B52D53">
        <w:rPr>
          <w:rFonts w:ascii="Calibri" w:hAnsi="Calibri" w:cs="Calibri"/>
          <w:color w:val="auto"/>
          <w:sz w:val="22"/>
          <w:lang w:val="en-US"/>
        </w:rPr>
        <w:t xml:space="preserve"> parties)</w:t>
      </w:r>
      <w:r w:rsidR="00A14A3B" w:rsidRPr="00B52D53">
        <w:rPr>
          <w:rFonts w:ascii="Calibri" w:hAnsi="Calibri" w:cs="Calibri"/>
          <w:color w:val="auto"/>
          <w:sz w:val="22"/>
          <w:lang w:val="en-US"/>
        </w:rPr>
        <w:t>, warrants and leverage certificates. In SG, futures and options fall under SGX-DT, while warrants and leverage certificates are under SGX-ST.</w:t>
      </w:r>
    </w:p>
    <w:p w14:paraId="2DEBF7F1" w14:textId="22FCBBF3" w:rsidR="00A14A3B" w:rsidRPr="00B52D53" w:rsidRDefault="007F26A3" w:rsidP="009F73BE">
      <w:pPr>
        <w:pStyle w:val="ListParagraph"/>
        <w:numPr>
          <w:ilvl w:val="1"/>
          <w:numId w:val="83"/>
        </w:numPr>
        <w:jc w:val="both"/>
        <w:rPr>
          <w:rFonts w:ascii="Calibri" w:hAnsi="Calibri" w:cs="Calibri"/>
          <w:color w:val="auto"/>
          <w:sz w:val="22"/>
          <w:lang w:val="en-US"/>
        </w:rPr>
      </w:pPr>
      <w:r w:rsidRPr="00B52D53">
        <w:rPr>
          <w:rFonts w:ascii="Calibri" w:hAnsi="Calibri" w:cs="Calibri"/>
          <w:b/>
          <w:bCs/>
          <w:color w:val="auto"/>
          <w:sz w:val="22"/>
          <w:lang w:val="en-US"/>
        </w:rPr>
        <w:t>Exchanges</w:t>
      </w:r>
      <w:r w:rsidRPr="00B52D53">
        <w:rPr>
          <w:rFonts w:ascii="Calibri" w:hAnsi="Calibri" w:cs="Calibri"/>
          <w:color w:val="auto"/>
          <w:sz w:val="22"/>
          <w:lang w:val="en-US"/>
        </w:rPr>
        <w:t xml:space="preserve">: </w:t>
      </w:r>
      <w:r w:rsidR="00A14A3B" w:rsidRPr="00B52D53">
        <w:rPr>
          <w:rFonts w:ascii="Calibri" w:hAnsi="Calibri" w:cs="Calibri"/>
          <w:color w:val="auto"/>
          <w:sz w:val="22"/>
          <w:lang w:val="en-US"/>
        </w:rPr>
        <w:t xml:space="preserve">Both primary and secondary market activities can either take place </w:t>
      </w:r>
      <w:proofErr w:type="gramStart"/>
      <w:r w:rsidR="00A14A3B" w:rsidRPr="00B52D53">
        <w:rPr>
          <w:rFonts w:ascii="Calibri" w:hAnsi="Calibri" w:cs="Calibri"/>
          <w:color w:val="auto"/>
          <w:sz w:val="22"/>
          <w:lang w:val="en-US"/>
        </w:rPr>
        <w:t>over-the-counter</w:t>
      </w:r>
      <w:proofErr w:type="gramEnd"/>
      <w:r w:rsidR="00A14A3B" w:rsidRPr="00B52D53">
        <w:rPr>
          <w:rFonts w:ascii="Calibri" w:hAnsi="Calibri" w:cs="Calibri"/>
          <w:color w:val="auto"/>
          <w:sz w:val="22"/>
          <w:lang w:val="en-US"/>
        </w:rPr>
        <w:t xml:space="preserve"> (OTC; call-around) or on regulated exchanges. </w:t>
      </w:r>
    </w:p>
    <w:p w14:paraId="6DD09834" w14:textId="77777777" w:rsidR="00A14A3B" w:rsidRPr="00B52D53" w:rsidRDefault="00A14A3B" w:rsidP="00DA459B">
      <w:pPr>
        <w:pStyle w:val="ListParagraph"/>
        <w:ind w:left="1440"/>
        <w:jc w:val="both"/>
        <w:rPr>
          <w:rFonts w:ascii="Calibri" w:hAnsi="Calibri" w:cs="Calibri"/>
          <w:color w:val="auto"/>
          <w:sz w:val="22"/>
          <w:lang w:val="en-US"/>
        </w:rPr>
      </w:pPr>
    </w:p>
    <w:p w14:paraId="2D3E655C" w14:textId="2087F83F" w:rsidR="00232833" w:rsidRPr="00B52D53" w:rsidRDefault="007F26A3" w:rsidP="009F73BE">
      <w:pPr>
        <w:pStyle w:val="Heading3"/>
        <w:numPr>
          <w:ilvl w:val="0"/>
          <w:numId w:val="83"/>
        </w:numPr>
        <w:jc w:val="both"/>
        <w:rPr>
          <w:rFonts w:ascii="Calibri" w:hAnsi="Calibri" w:cs="Calibri"/>
          <w:color w:val="auto"/>
          <w:lang w:val="en-US"/>
        </w:rPr>
      </w:pPr>
      <w:r w:rsidRPr="00B52D53">
        <w:rPr>
          <w:rFonts w:ascii="Calibri" w:hAnsi="Calibri" w:cs="Calibri"/>
          <w:color w:val="auto"/>
          <w:lang w:val="en-US"/>
        </w:rPr>
        <w:t>Types of Capital Market Intermediaries (CMIs)</w:t>
      </w:r>
      <w:r w:rsidR="00661973" w:rsidRPr="00B52D53">
        <w:rPr>
          <w:rFonts w:ascii="Calibri" w:hAnsi="Calibri" w:cs="Calibri"/>
          <w:color w:val="auto"/>
          <w:lang w:val="en-US"/>
        </w:rPr>
        <w:t xml:space="preserve">, </w:t>
      </w:r>
      <w:r w:rsidR="00232833" w:rsidRPr="00B52D53">
        <w:rPr>
          <w:rFonts w:ascii="Calibri" w:hAnsi="Calibri" w:cs="Calibri"/>
          <w:color w:val="auto"/>
          <w:lang w:val="en-US"/>
        </w:rPr>
        <w:t>business activities</w:t>
      </w:r>
      <w:r w:rsidR="00661973" w:rsidRPr="00B52D53">
        <w:rPr>
          <w:rFonts w:ascii="Calibri" w:hAnsi="Calibri" w:cs="Calibri"/>
          <w:color w:val="auto"/>
          <w:lang w:val="en-US"/>
        </w:rPr>
        <w:t xml:space="preserve"> and CMS licensing</w:t>
      </w:r>
      <w:r w:rsidR="00232833" w:rsidRPr="00B52D53">
        <w:rPr>
          <w:rFonts w:ascii="Calibri" w:hAnsi="Calibri" w:cs="Calibri"/>
          <w:color w:val="auto"/>
          <w:lang w:val="en-US"/>
        </w:rPr>
        <w:t xml:space="preserve"> </w:t>
      </w:r>
      <w:r w:rsidR="00661973" w:rsidRPr="00B52D53">
        <w:rPr>
          <w:rFonts w:ascii="Calibri" w:hAnsi="Calibri" w:cs="Calibri"/>
          <w:color w:val="auto"/>
          <w:lang w:val="en-US"/>
        </w:rPr>
        <w:t>(Chapter 3)</w:t>
      </w:r>
    </w:p>
    <w:p w14:paraId="4A6D4114" w14:textId="77777777" w:rsidR="00661973" w:rsidRPr="00B52D53" w:rsidRDefault="00661973" w:rsidP="00DA459B">
      <w:pPr>
        <w:pStyle w:val="ListParagraph"/>
        <w:jc w:val="both"/>
        <w:rPr>
          <w:rFonts w:ascii="Calibri" w:hAnsi="Calibri" w:cs="Calibri"/>
          <w:color w:val="auto"/>
          <w:sz w:val="22"/>
          <w:lang w:val="en-US"/>
        </w:rPr>
      </w:pPr>
    </w:p>
    <w:tbl>
      <w:tblPr>
        <w:tblStyle w:val="GridTable1Light-Accent5"/>
        <w:tblW w:w="0" w:type="auto"/>
        <w:tblLook w:val="04A0" w:firstRow="1" w:lastRow="0" w:firstColumn="1" w:lastColumn="0" w:noHBand="0" w:noVBand="1"/>
      </w:tblPr>
      <w:tblGrid>
        <w:gridCol w:w="2276"/>
        <w:gridCol w:w="3819"/>
        <w:gridCol w:w="2330"/>
      </w:tblGrid>
      <w:tr w:rsidR="00B52D53" w:rsidRPr="00B52D53" w14:paraId="761AF707" w14:textId="77777777" w:rsidTr="00553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12C770C" w14:textId="05983E1F" w:rsidR="00661973" w:rsidRPr="00B52D53" w:rsidRDefault="00661973" w:rsidP="00DA459B">
            <w:pPr>
              <w:pStyle w:val="ListParagraph"/>
              <w:ind w:left="0"/>
              <w:jc w:val="both"/>
              <w:rPr>
                <w:rFonts w:ascii="Calibri" w:hAnsi="Calibri" w:cs="Calibri"/>
                <w:color w:val="auto"/>
                <w:sz w:val="22"/>
                <w:lang w:val="en-US"/>
              </w:rPr>
            </w:pPr>
            <w:r w:rsidRPr="00B52D53">
              <w:rPr>
                <w:rFonts w:ascii="Calibri" w:hAnsi="Calibri" w:cs="Calibri"/>
                <w:color w:val="auto"/>
                <w:sz w:val="22"/>
                <w:lang w:val="en-US"/>
              </w:rPr>
              <w:t>CMI</w:t>
            </w:r>
          </w:p>
        </w:tc>
        <w:tc>
          <w:tcPr>
            <w:tcW w:w="3828" w:type="dxa"/>
            <w:vAlign w:val="center"/>
          </w:tcPr>
          <w:p w14:paraId="41DFC9D2" w14:textId="0DC0F149" w:rsidR="00661973" w:rsidRPr="00B52D53" w:rsidRDefault="00661973" w:rsidP="00DA459B">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Business Activities</w:t>
            </w:r>
          </w:p>
        </w:tc>
        <w:tc>
          <w:tcPr>
            <w:tcW w:w="2334" w:type="dxa"/>
            <w:vAlign w:val="center"/>
          </w:tcPr>
          <w:p w14:paraId="414E5B8D" w14:textId="08FF8A8C" w:rsidR="00661973" w:rsidRPr="00B52D53" w:rsidRDefault="00661973" w:rsidP="00DA459B">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CMS Licensing Requirement</w:t>
            </w:r>
          </w:p>
        </w:tc>
      </w:tr>
      <w:tr w:rsidR="00B52D53" w:rsidRPr="00B52D53" w14:paraId="23DE4630"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610C1A93" w14:textId="1A10604D" w:rsidR="00661973" w:rsidRPr="00B52D53" w:rsidRDefault="00661973" w:rsidP="00DA459B">
            <w:pPr>
              <w:jc w:val="both"/>
              <w:rPr>
                <w:rFonts w:ascii="Calibri" w:hAnsi="Calibri" w:cs="Calibri"/>
                <w:b w:val="0"/>
                <w:bCs w:val="0"/>
                <w:color w:val="auto"/>
                <w:sz w:val="22"/>
                <w:u w:val="single"/>
                <w:lang w:val="en-US"/>
              </w:rPr>
            </w:pPr>
            <w:r w:rsidRPr="00B52D53">
              <w:rPr>
                <w:rFonts w:ascii="Calibri" w:hAnsi="Calibri" w:cs="Calibri"/>
                <w:b w:val="0"/>
                <w:bCs w:val="0"/>
                <w:color w:val="auto"/>
                <w:sz w:val="22"/>
                <w:u w:val="single"/>
                <w:lang w:val="en-US"/>
              </w:rPr>
              <w:t>Banks</w:t>
            </w:r>
          </w:p>
          <w:p w14:paraId="38BE6192" w14:textId="77777777" w:rsidR="00661973" w:rsidRPr="00B52D53" w:rsidRDefault="00661973" w:rsidP="009F73BE">
            <w:pPr>
              <w:pStyle w:val="ListParagraph"/>
              <w:numPr>
                <w:ilvl w:val="0"/>
                <w:numId w:val="84"/>
              </w:numPr>
              <w:jc w:val="both"/>
              <w:rPr>
                <w:rFonts w:ascii="Calibri" w:hAnsi="Calibri" w:cs="Calibri"/>
                <w:b w:val="0"/>
                <w:bCs w:val="0"/>
                <w:color w:val="auto"/>
                <w:sz w:val="22"/>
                <w:lang w:val="en-US"/>
              </w:rPr>
            </w:pPr>
            <w:r w:rsidRPr="00B52D53">
              <w:rPr>
                <w:rFonts w:ascii="Calibri" w:hAnsi="Calibri" w:cs="Calibri"/>
                <w:b w:val="0"/>
                <w:bCs w:val="0"/>
                <w:color w:val="auto"/>
                <w:sz w:val="22"/>
                <w:lang w:val="en-US"/>
              </w:rPr>
              <w:t>Qualifying Full Banks</w:t>
            </w:r>
          </w:p>
          <w:p w14:paraId="4129B2D3" w14:textId="77777777" w:rsidR="00661973" w:rsidRPr="00B52D53" w:rsidRDefault="00661973" w:rsidP="009F73BE">
            <w:pPr>
              <w:pStyle w:val="ListParagraph"/>
              <w:numPr>
                <w:ilvl w:val="0"/>
                <w:numId w:val="84"/>
              </w:numPr>
              <w:jc w:val="both"/>
              <w:rPr>
                <w:rFonts w:ascii="Calibri" w:hAnsi="Calibri" w:cs="Calibri"/>
                <w:b w:val="0"/>
                <w:bCs w:val="0"/>
                <w:color w:val="auto"/>
                <w:sz w:val="22"/>
                <w:lang w:val="en-US"/>
              </w:rPr>
            </w:pPr>
            <w:r w:rsidRPr="00B52D53">
              <w:rPr>
                <w:rFonts w:ascii="Calibri" w:hAnsi="Calibri" w:cs="Calibri"/>
                <w:b w:val="0"/>
                <w:bCs w:val="0"/>
                <w:color w:val="auto"/>
                <w:sz w:val="22"/>
                <w:lang w:val="en-US"/>
              </w:rPr>
              <w:t>Wholesale Banks</w:t>
            </w:r>
          </w:p>
          <w:p w14:paraId="0383BA56" w14:textId="25054944" w:rsidR="00661973" w:rsidRPr="00B52D53" w:rsidRDefault="00661973" w:rsidP="009F73BE">
            <w:pPr>
              <w:pStyle w:val="ListParagraph"/>
              <w:numPr>
                <w:ilvl w:val="0"/>
                <w:numId w:val="84"/>
              </w:numPr>
              <w:jc w:val="both"/>
              <w:rPr>
                <w:rFonts w:ascii="Calibri" w:hAnsi="Calibri" w:cs="Calibri"/>
                <w:b w:val="0"/>
                <w:bCs w:val="0"/>
                <w:color w:val="auto"/>
                <w:sz w:val="22"/>
                <w:lang w:val="en-US"/>
              </w:rPr>
            </w:pPr>
            <w:r w:rsidRPr="00B52D53">
              <w:rPr>
                <w:rFonts w:ascii="Calibri" w:hAnsi="Calibri" w:cs="Calibri"/>
                <w:b w:val="0"/>
                <w:bCs w:val="0"/>
                <w:color w:val="auto"/>
                <w:sz w:val="22"/>
                <w:lang w:val="en-US"/>
              </w:rPr>
              <w:t>Merchant Banks</w:t>
            </w:r>
          </w:p>
        </w:tc>
        <w:tc>
          <w:tcPr>
            <w:tcW w:w="3828" w:type="dxa"/>
            <w:vAlign w:val="center"/>
          </w:tcPr>
          <w:p w14:paraId="62157BF6" w14:textId="1C0298C7" w:rsidR="00661973" w:rsidRPr="00B52D53" w:rsidRDefault="00661973" w:rsidP="009F73BE">
            <w:pPr>
              <w:pStyle w:val="ListParagraph"/>
              <w:numPr>
                <w:ilvl w:val="0"/>
                <w:numId w:val="85"/>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Full suite of services</w:t>
            </w:r>
          </w:p>
          <w:p w14:paraId="19C71E4D" w14:textId="45EB2F30" w:rsidR="00661973" w:rsidRPr="00B52D53" w:rsidRDefault="00661973" w:rsidP="009F73BE">
            <w:pPr>
              <w:pStyle w:val="ListParagraph"/>
              <w:numPr>
                <w:ilvl w:val="0"/>
                <w:numId w:val="85"/>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Restricted deposit taking activities (&lt;= SGD250K)</w:t>
            </w:r>
          </w:p>
          <w:p w14:paraId="6F903335" w14:textId="40986E4C" w:rsidR="00661973" w:rsidRPr="00B52D53" w:rsidRDefault="00692D57" w:rsidP="009F73BE">
            <w:pPr>
              <w:pStyle w:val="ListParagraph"/>
              <w:numPr>
                <w:ilvl w:val="0"/>
                <w:numId w:val="85"/>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Deposit taking activities restricted to those in Merchant Banks Regulations</w:t>
            </w:r>
          </w:p>
        </w:tc>
        <w:tc>
          <w:tcPr>
            <w:tcW w:w="2334" w:type="dxa"/>
            <w:vAlign w:val="center"/>
          </w:tcPr>
          <w:p w14:paraId="0A095A6A" w14:textId="1664DD20" w:rsidR="00692D57" w:rsidRPr="00B52D53" w:rsidRDefault="00692D57"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Exempted under Banking Act </w:t>
            </w:r>
          </w:p>
        </w:tc>
      </w:tr>
      <w:tr w:rsidR="00B52D53" w:rsidRPr="00B52D53" w14:paraId="562F4693"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21376353" w14:textId="463FA7F5" w:rsidR="00692D57" w:rsidRPr="00B52D53" w:rsidRDefault="00692D57" w:rsidP="00DA459B">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Other financial institutions</w:t>
            </w:r>
            <w:r w:rsidR="003421CA">
              <w:rPr>
                <w:rFonts w:ascii="Calibri" w:hAnsi="Calibri" w:cs="Calibri"/>
                <w:b w:val="0"/>
                <w:bCs w:val="0"/>
                <w:color w:val="auto"/>
                <w:sz w:val="22"/>
                <w:lang w:val="en-US"/>
              </w:rPr>
              <w:t>/</w:t>
            </w:r>
            <w:r w:rsidR="00553DC2" w:rsidRPr="00B52D53">
              <w:rPr>
                <w:rFonts w:ascii="Calibri" w:hAnsi="Calibri" w:cs="Calibri"/>
                <w:b w:val="0"/>
                <w:bCs w:val="0"/>
                <w:color w:val="auto"/>
                <w:sz w:val="22"/>
                <w:lang w:val="en-US"/>
              </w:rPr>
              <w:t>companies</w:t>
            </w:r>
          </w:p>
        </w:tc>
        <w:tc>
          <w:tcPr>
            <w:tcW w:w="3828" w:type="dxa"/>
            <w:vAlign w:val="center"/>
          </w:tcPr>
          <w:p w14:paraId="75B5010A" w14:textId="77777777" w:rsidR="00692D57" w:rsidRPr="00B52D53" w:rsidRDefault="00692D57" w:rsidP="009F73BE">
            <w:pPr>
              <w:pStyle w:val="ListParagraph"/>
              <w:numPr>
                <w:ilvl w:val="0"/>
                <w:numId w:val="89"/>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Provides corporate finance advisory (e.g., IPOs)</w:t>
            </w:r>
          </w:p>
          <w:p w14:paraId="64EA305B" w14:textId="151EB2CD" w:rsidR="00553DC2" w:rsidRPr="00B52D53" w:rsidRDefault="00553DC2" w:rsidP="009F73BE">
            <w:pPr>
              <w:pStyle w:val="ListParagraph"/>
              <w:numPr>
                <w:ilvl w:val="0"/>
                <w:numId w:val="89"/>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Deposit taking</w:t>
            </w:r>
            <w:r w:rsidR="003421CA">
              <w:rPr>
                <w:rFonts w:ascii="Calibri" w:hAnsi="Calibri" w:cs="Calibri"/>
                <w:color w:val="auto"/>
                <w:sz w:val="22"/>
                <w:lang w:val="en-US"/>
              </w:rPr>
              <w:t>/</w:t>
            </w:r>
            <w:r w:rsidRPr="00B52D53">
              <w:rPr>
                <w:rFonts w:ascii="Calibri" w:hAnsi="Calibri" w:cs="Calibri"/>
                <w:color w:val="auto"/>
                <w:sz w:val="22"/>
                <w:lang w:val="en-US"/>
              </w:rPr>
              <w:t>lending services</w:t>
            </w:r>
          </w:p>
        </w:tc>
        <w:tc>
          <w:tcPr>
            <w:tcW w:w="2334" w:type="dxa"/>
            <w:vAlign w:val="center"/>
          </w:tcPr>
          <w:p w14:paraId="768E0D68" w14:textId="77777777" w:rsidR="00692D57" w:rsidRPr="00B52D53" w:rsidRDefault="00692D57" w:rsidP="009F73BE">
            <w:pPr>
              <w:pStyle w:val="ListParagraph"/>
              <w:numPr>
                <w:ilvl w:val="0"/>
                <w:numId w:val="90"/>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Yes</w:t>
            </w:r>
          </w:p>
          <w:p w14:paraId="074DFEA9" w14:textId="7A427EBB" w:rsidR="00553DC2" w:rsidRPr="00B52D53" w:rsidRDefault="00553DC2" w:rsidP="009F73BE">
            <w:pPr>
              <w:pStyle w:val="ListParagraph"/>
              <w:numPr>
                <w:ilvl w:val="0"/>
                <w:numId w:val="90"/>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Exempted under Finance Companies Act</w:t>
            </w:r>
          </w:p>
        </w:tc>
      </w:tr>
      <w:tr w:rsidR="00B52D53" w:rsidRPr="00B52D53" w14:paraId="4B7BFEB5"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6EB3638B" w14:textId="422E8814" w:rsidR="00692D57" w:rsidRPr="00B52D53" w:rsidRDefault="000B0449" w:rsidP="00DA459B">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Fund Management</w:t>
            </w:r>
            <w:r w:rsidR="00F95A60" w:rsidRPr="00B52D53">
              <w:rPr>
                <w:rFonts w:ascii="Calibri" w:hAnsi="Calibri" w:cs="Calibri"/>
                <w:b w:val="0"/>
                <w:bCs w:val="0"/>
                <w:color w:val="auto"/>
                <w:sz w:val="22"/>
                <w:lang w:val="en-US"/>
              </w:rPr>
              <w:t xml:space="preserve"> – </w:t>
            </w:r>
            <w:r w:rsidR="00B72D51">
              <w:rPr>
                <w:rFonts w:ascii="Calibri" w:hAnsi="Calibri" w:cs="Calibri"/>
                <w:b w:val="0"/>
                <w:bCs w:val="0"/>
                <w:color w:val="auto"/>
                <w:sz w:val="22"/>
                <w:lang w:val="en-US"/>
              </w:rPr>
              <w:t>LFMC</w:t>
            </w:r>
          </w:p>
        </w:tc>
        <w:tc>
          <w:tcPr>
            <w:tcW w:w="3828" w:type="dxa"/>
            <w:vAlign w:val="center"/>
          </w:tcPr>
          <w:p w14:paraId="72FECC25" w14:textId="56353887" w:rsidR="00435064"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Manages CIS</w:t>
            </w:r>
            <w:r w:rsidR="00260D71" w:rsidRPr="00B52D53">
              <w:rPr>
                <w:rFonts w:ascii="Calibri" w:hAnsi="Calibri" w:cs="Calibri"/>
                <w:color w:val="auto"/>
                <w:sz w:val="22"/>
                <w:lang w:val="en-US"/>
              </w:rPr>
              <w:t>,</w:t>
            </w:r>
            <w:r w:rsidRPr="00B52D53">
              <w:rPr>
                <w:rFonts w:ascii="Calibri" w:hAnsi="Calibri" w:cs="Calibri"/>
                <w:color w:val="auto"/>
                <w:sz w:val="22"/>
                <w:lang w:val="en-US"/>
              </w:rPr>
              <w:t xml:space="preserve"> portfolio of capital market products (incl. OTC derivatives) that are not related to REITs</w:t>
            </w:r>
            <w:r w:rsidR="00435064" w:rsidRPr="00B52D53">
              <w:rPr>
                <w:rFonts w:ascii="Calibri" w:hAnsi="Calibri" w:cs="Calibri"/>
                <w:color w:val="auto"/>
                <w:sz w:val="22"/>
                <w:lang w:val="en-US"/>
              </w:rPr>
              <w:t xml:space="preserve">. </w:t>
            </w:r>
          </w:p>
        </w:tc>
        <w:tc>
          <w:tcPr>
            <w:tcW w:w="2334" w:type="dxa"/>
            <w:vAlign w:val="center"/>
          </w:tcPr>
          <w:p w14:paraId="7DECDC58" w14:textId="0A044DD5" w:rsidR="00BF0407"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Yes</w:t>
            </w:r>
            <w:r w:rsidR="002F5E57" w:rsidRPr="00B52D53">
              <w:rPr>
                <w:rFonts w:ascii="Calibri" w:hAnsi="Calibri" w:cs="Calibri"/>
                <w:color w:val="auto"/>
                <w:sz w:val="22"/>
                <w:lang w:val="en-US"/>
              </w:rPr>
              <w:t xml:space="preserve">, licensed under either Retail </w:t>
            </w:r>
            <w:r w:rsidR="00B72D51">
              <w:rPr>
                <w:rFonts w:ascii="Calibri" w:hAnsi="Calibri" w:cs="Calibri"/>
                <w:color w:val="auto"/>
                <w:sz w:val="22"/>
                <w:lang w:val="en-US"/>
              </w:rPr>
              <w:t>LFMC</w:t>
            </w:r>
            <w:r w:rsidR="002F5E57" w:rsidRPr="00B52D53">
              <w:rPr>
                <w:rFonts w:ascii="Calibri" w:hAnsi="Calibri" w:cs="Calibri"/>
                <w:color w:val="auto"/>
                <w:sz w:val="22"/>
                <w:lang w:val="en-US"/>
              </w:rPr>
              <w:t xml:space="preserve"> (services open to all investors) or A/I </w:t>
            </w:r>
            <w:r w:rsidR="00B72D51">
              <w:rPr>
                <w:rFonts w:ascii="Calibri" w:hAnsi="Calibri" w:cs="Calibri"/>
                <w:color w:val="auto"/>
                <w:sz w:val="22"/>
                <w:lang w:val="en-US"/>
              </w:rPr>
              <w:t>LFMC</w:t>
            </w:r>
            <w:r w:rsidR="002F5E57" w:rsidRPr="00B52D53">
              <w:rPr>
                <w:rFonts w:ascii="Calibri" w:hAnsi="Calibri" w:cs="Calibri"/>
                <w:color w:val="auto"/>
                <w:sz w:val="22"/>
                <w:lang w:val="en-US"/>
              </w:rPr>
              <w:t xml:space="preserve"> (services open to only qualified investors</w:t>
            </w:r>
            <w:r w:rsidR="002F5E57" w:rsidRPr="00B52D53">
              <w:rPr>
                <w:rStyle w:val="FootnoteReference"/>
                <w:rFonts w:ascii="Calibri" w:hAnsi="Calibri" w:cs="Calibri"/>
                <w:color w:val="auto"/>
                <w:sz w:val="22"/>
              </w:rPr>
              <w:footnoteReference w:id="2"/>
            </w:r>
            <w:r w:rsidR="002F5E57" w:rsidRPr="00B52D53">
              <w:rPr>
                <w:rFonts w:ascii="Calibri" w:hAnsi="Calibri" w:cs="Calibri"/>
                <w:color w:val="auto"/>
                <w:sz w:val="22"/>
                <w:lang w:val="en-US"/>
              </w:rPr>
              <w:t>)</w:t>
            </w:r>
            <w:r w:rsidR="00553DC2" w:rsidRPr="00B52D53">
              <w:rPr>
                <w:rFonts w:ascii="Calibri" w:hAnsi="Calibri" w:cs="Calibri"/>
                <w:color w:val="auto"/>
                <w:sz w:val="22"/>
                <w:lang w:val="en-US"/>
              </w:rPr>
              <w:t xml:space="preserve"> </w:t>
            </w:r>
          </w:p>
          <w:p w14:paraId="3843D3EC" w14:textId="77777777" w:rsidR="00BF0407" w:rsidRPr="00B52D53" w:rsidRDefault="00BF0407"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p>
          <w:p w14:paraId="00A0974B" w14:textId="172D3CF1" w:rsidR="00BF0407" w:rsidRPr="00B52D53" w:rsidRDefault="00BF0407"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Note #1: Digital Advisers can still apply for fund management license under Retail </w:t>
            </w:r>
            <w:r w:rsidR="00B72D51">
              <w:rPr>
                <w:rFonts w:ascii="Calibri" w:hAnsi="Calibri" w:cs="Calibri"/>
                <w:color w:val="auto"/>
                <w:sz w:val="22"/>
                <w:lang w:val="en-US"/>
              </w:rPr>
              <w:t>LFMC</w:t>
            </w:r>
            <w:r w:rsidRPr="00B52D53">
              <w:rPr>
                <w:rFonts w:ascii="Calibri" w:hAnsi="Calibri" w:cs="Calibri"/>
                <w:color w:val="auto"/>
                <w:sz w:val="22"/>
                <w:lang w:val="en-US"/>
              </w:rPr>
              <w:t xml:space="preserve">. They would be </w:t>
            </w:r>
            <w:r w:rsidRPr="00B52D53">
              <w:rPr>
                <w:rFonts w:ascii="Calibri" w:hAnsi="Calibri" w:cs="Calibri"/>
                <w:color w:val="auto"/>
                <w:sz w:val="22"/>
                <w:lang w:val="en-US"/>
              </w:rPr>
              <w:lastRenderedPageBreak/>
              <w:t>exempted from 5-year track record and $1B AUM requirements</w:t>
            </w:r>
            <w:r w:rsidR="00562C86" w:rsidRPr="00B52D53">
              <w:rPr>
                <w:rFonts w:ascii="Calibri" w:hAnsi="Calibri" w:cs="Calibri"/>
                <w:color w:val="auto"/>
                <w:sz w:val="22"/>
                <w:lang w:val="en-US"/>
              </w:rPr>
              <w:t>.</w:t>
            </w:r>
          </w:p>
          <w:p w14:paraId="36F26B0B" w14:textId="77777777" w:rsidR="00BF0407" w:rsidRPr="00B52D53" w:rsidRDefault="00BF0407"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p>
          <w:p w14:paraId="33EAA300" w14:textId="2C25472B" w:rsidR="002F5E57" w:rsidRPr="00B52D53" w:rsidRDefault="00BF0407"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Note #2: I</w:t>
            </w:r>
            <w:r w:rsidR="00553DC2" w:rsidRPr="00B52D53">
              <w:rPr>
                <w:rFonts w:ascii="Calibri" w:hAnsi="Calibri" w:cs="Calibri"/>
                <w:color w:val="auto"/>
                <w:sz w:val="22"/>
                <w:lang w:val="en-US"/>
              </w:rPr>
              <w:t>nsurance companies that manage funds to carry out insurance business are exempted under Insurance Act</w:t>
            </w:r>
            <w:r w:rsidR="00435064" w:rsidRPr="00B52D53">
              <w:rPr>
                <w:rFonts w:ascii="Calibri" w:hAnsi="Calibri" w:cs="Calibri"/>
                <w:color w:val="auto"/>
                <w:sz w:val="22"/>
                <w:lang w:val="en-US"/>
              </w:rPr>
              <w:t>.</w:t>
            </w:r>
          </w:p>
        </w:tc>
      </w:tr>
      <w:tr w:rsidR="00F95A60" w:rsidRPr="00B52D53" w14:paraId="5E3BB978"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4C7E657F" w14:textId="12B3C7E3" w:rsidR="00F95A60" w:rsidRPr="00B52D53" w:rsidRDefault="00F95A60" w:rsidP="00DA459B">
            <w:pPr>
              <w:pStyle w:val="ListParagraph"/>
              <w:ind w:left="0"/>
              <w:jc w:val="both"/>
              <w:rPr>
                <w:rFonts w:ascii="Calibri" w:hAnsi="Calibri" w:cs="Calibri"/>
                <w:color w:val="auto"/>
                <w:sz w:val="22"/>
                <w:lang w:val="en-US"/>
              </w:rPr>
            </w:pPr>
            <w:r w:rsidRPr="00B52D53">
              <w:rPr>
                <w:rFonts w:ascii="Calibri" w:hAnsi="Calibri" w:cs="Calibri"/>
                <w:b w:val="0"/>
                <w:bCs w:val="0"/>
                <w:color w:val="auto"/>
                <w:sz w:val="22"/>
                <w:lang w:val="en-US"/>
              </w:rPr>
              <w:lastRenderedPageBreak/>
              <w:t>Fund Management – VCFM</w:t>
            </w:r>
          </w:p>
        </w:tc>
        <w:tc>
          <w:tcPr>
            <w:tcW w:w="3828" w:type="dxa"/>
            <w:vAlign w:val="center"/>
          </w:tcPr>
          <w:p w14:paraId="1D29D829" w14:textId="1D1A7262" w:rsidR="00BF0407" w:rsidRPr="00B52D53" w:rsidRDefault="00BF0407" w:rsidP="009F73BE">
            <w:pPr>
              <w:pStyle w:val="ListParagraph"/>
              <w:numPr>
                <w:ilvl w:val="0"/>
                <w:numId w:val="9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Investments in unlisted assets only, i.e., no investments in listed or IPO securities, where &lt; 20% of capital is invested in unlisted firms that are more than 10 years old, while &gt;= 80% of the remaining capital should be invested in unlisted firms that are less than or equal 10 years old </w:t>
            </w:r>
          </w:p>
          <w:p w14:paraId="68015E2D" w14:textId="77777777" w:rsidR="00F95A60" w:rsidRPr="00B52D53" w:rsidRDefault="00BF0407" w:rsidP="009F73BE">
            <w:pPr>
              <w:pStyle w:val="ListParagraph"/>
              <w:numPr>
                <w:ilvl w:val="0"/>
                <w:numId w:val="9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Fund must not be continuously available for subscription and must not be redeemable at investors’ discretion</w:t>
            </w:r>
          </w:p>
          <w:p w14:paraId="2808A496" w14:textId="09D04677" w:rsidR="00BF0407" w:rsidRPr="00B52D53" w:rsidRDefault="00BF0407" w:rsidP="009F73BE">
            <w:pPr>
              <w:pStyle w:val="ListParagraph"/>
              <w:numPr>
                <w:ilvl w:val="0"/>
                <w:numId w:val="9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Fund is only made available to qualified investors</w:t>
            </w:r>
          </w:p>
        </w:tc>
        <w:tc>
          <w:tcPr>
            <w:tcW w:w="2334" w:type="dxa"/>
            <w:vAlign w:val="center"/>
          </w:tcPr>
          <w:p w14:paraId="6E9ED419" w14:textId="162BFAE8" w:rsidR="00F95A60" w:rsidRPr="00B52D53" w:rsidRDefault="00BF0407"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Yes</w:t>
            </w:r>
            <w:r w:rsidR="00F95A60" w:rsidRPr="00B52D53">
              <w:rPr>
                <w:rFonts w:ascii="Calibri" w:hAnsi="Calibri" w:cs="Calibri"/>
                <w:color w:val="auto"/>
                <w:sz w:val="22"/>
                <w:lang w:val="en-US"/>
              </w:rPr>
              <w:t xml:space="preserve"> </w:t>
            </w:r>
          </w:p>
        </w:tc>
      </w:tr>
      <w:tr w:rsidR="00B52D53" w:rsidRPr="00B52D53" w14:paraId="37609EBA"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5E646277" w14:textId="35BE88F0" w:rsidR="00692D57" w:rsidRPr="00B52D53" w:rsidRDefault="000B0449" w:rsidP="00DA459B">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REIT Management</w:t>
            </w:r>
          </w:p>
        </w:tc>
        <w:tc>
          <w:tcPr>
            <w:tcW w:w="3828" w:type="dxa"/>
            <w:vAlign w:val="center"/>
          </w:tcPr>
          <w:p w14:paraId="4C224B51" w14:textId="6F3E927C" w:rsidR="00692D57"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A type of CIS </w:t>
            </w:r>
            <w:r w:rsidR="00553DC2" w:rsidRPr="00B52D53">
              <w:rPr>
                <w:rFonts w:ascii="Calibri" w:hAnsi="Calibri" w:cs="Calibri"/>
                <w:color w:val="auto"/>
                <w:sz w:val="22"/>
                <w:lang w:val="en-US"/>
              </w:rPr>
              <w:t>that is invested into real estate</w:t>
            </w:r>
          </w:p>
        </w:tc>
        <w:tc>
          <w:tcPr>
            <w:tcW w:w="2334" w:type="dxa"/>
            <w:vAlign w:val="center"/>
          </w:tcPr>
          <w:p w14:paraId="5AB04554" w14:textId="6632DF74" w:rsidR="00692D57"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proofErr w:type="gramStart"/>
            <w:r w:rsidRPr="00B52D53">
              <w:rPr>
                <w:rFonts w:ascii="Calibri" w:hAnsi="Calibri" w:cs="Calibri"/>
                <w:color w:val="auto"/>
                <w:sz w:val="22"/>
                <w:lang w:val="en-US"/>
              </w:rPr>
              <w:t>Yes</w:t>
            </w:r>
            <w:r w:rsidR="00435064" w:rsidRPr="00B52D53">
              <w:rPr>
                <w:rFonts w:ascii="Calibri" w:hAnsi="Calibri" w:cs="Calibri"/>
                <w:color w:val="auto"/>
                <w:sz w:val="22"/>
                <w:lang w:val="en-US"/>
              </w:rPr>
              <w:t>;</w:t>
            </w:r>
            <w:proofErr w:type="gramEnd"/>
            <w:r w:rsidR="00435064" w:rsidRPr="00B52D53">
              <w:rPr>
                <w:rFonts w:ascii="Calibri" w:hAnsi="Calibri" w:cs="Calibri"/>
                <w:color w:val="auto"/>
                <w:sz w:val="22"/>
                <w:lang w:val="en-US"/>
              </w:rPr>
              <w:t xml:space="preserve"> However if the CIS is only made up of real estate with no other capital market products and it is only offered to qualified investors (i.e., accredited or institutional), then it can be exempted.</w:t>
            </w:r>
          </w:p>
        </w:tc>
      </w:tr>
      <w:tr w:rsidR="00B52D53" w:rsidRPr="00B52D53" w14:paraId="5D46A8BA"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31534FA3" w14:textId="2D2C51C0" w:rsidR="000B0449" w:rsidRPr="00B52D53" w:rsidRDefault="000B0449" w:rsidP="00DA459B">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Product Financing</w:t>
            </w:r>
          </w:p>
        </w:tc>
        <w:tc>
          <w:tcPr>
            <w:tcW w:w="3828" w:type="dxa"/>
            <w:vAlign w:val="center"/>
          </w:tcPr>
          <w:p w14:paraId="6422FD93" w14:textId="159D4246" w:rsidR="000B0449"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Provides loan financing facility</w:t>
            </w:r>
            <w:r w:rsidR="00553DC2" w:rsidRPr="00B52D53">
              <w:rPr>
                <w:rFonts w:ascii="Calibri" w:hAnsi="Calibri" w:cs="Calibri"/>
                <w:color w:val="auto"/>
                <w:sz w:val="22"/>
                <w:lang w:val="en-US"/>
              </w:rPr>
              <w:t xml:space="preserve"> (e.g., margin)</w:t>
            </w:r>
            <w:r w:rsidRPr="00B52D53">
              <w:rPr>
                <w:rFonts w:ascii="Calibri" w:hAnsi="Calibri" w:cs="Calibri"/>
                <w:color w:val="auto"/>
                <w:sz w:val="22"/>
                <w:lang w:val="en-US"/>
              </w:rPr>
              <w:t xml:space="preserve"> to fund customer’s purchase or subscription of a product</w:t>
            </w:r>
            <w:r w:rsidR="003421CA">
              <w:rPr>
                <w:rFonts w:ascii="Calibri" w:hAnsi="Calibri" w:cs="Calibri"/>
                <w:color w:val="auto"/>
                <w:sz w:val="22"/>
                <w:lang w:val="en-US"/>
              </w:rPr>
              <w:t>/</w:t>
            </w:r>
            <w:r w:rsidRPr="00B52D53">
              <w:rPr>
                <w:rFonts w:ascii="Calibri" w:hAnsi="Calibri" w:cs="Calibri"/>
                <w:color w:val="auto"/>
                <w:sz w:val="22"/>
                <w:lang w:val="en-US"/>
              </w:rPr>
              <w:t>security</w:t>
            </w:r>
            <w:r w:rsidR="003421CA">
              <w:rPr>
                <w:rFonts w:ascii="Calibri" w:hAnsi="Calibri" w:cs="Calibri"/>
                <w:color w:val="auto"/>
                <w:sz w:val="22"/>
                <w:lang w:val="en-US"/>
              </w:rPr>
              <w:t>/</w:t>
            </w:r>
            <w:r w:rsidRPr="00B52D53">
              <w:rPr>
                <w:rFonts w:ascii="Calibri" w:hAnsi="Calibri" w:cs="Calibri"/>
                <w:color w:val="auto"/>
                <w:sz w:val="22"/>
                <w:lang w:val="en-US"/>
              </w:rPr>
              <w:t xml:space="preserve">share </w:t>
            </w:r>
          </w:p>
        </w:tc>
        <w:tc>
          <w:tcPr>
            <w:tcW w:w="2334" w:type="dxa"/>
            <w:vAlign w:val="center"/>
          </w:tcPr>
          <w:p w14:paraId="2D66D6AE" w14:textId="5637A9D3" w:rsidR="000B0449"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Yes</w:t>
            </w:r>
          </w:p>
        </w:tc>
      </w:tr>
      <w:tr w:rsidR="00B52D53" w:rsidRPr="00B52D53" w14:paraId="4B269C8D"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247623FA" w14:textId="4158BDDC" w:rsidR="000B0449" w:rsidRPr="00B52D53" w:rsidRDefault="000B0449" w:rsidP="00DA459B">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Credit review agencies</w:t>
            </w:r>
          </w:p>
        </w:tc>
        <w:tc>
          <w:tcPr>
            <w:tcW w:w="3828" w:type="dxa"/>
            <w:vAlign w:val="center"/>
          </w:tcPr>
          <w:p w14:paraId="634F06FC" w14:textId="7EA85742" w:rsidR="000B0449"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Evaluate the creditworthiness of an entity, debt security or an issuer.</w:t>
            </w:r>
          </w:p>
        </w:tc>
        <w:tc>
          <w:tcPr>
            <w:tcW w:w="2334" w:type="dxa"/>
            <w:vAlign w:val="center"/>
          </w:tcPr>
          <w:p w14:paraId="69CBD13A" w14:textId="04788674" w:rsidR="000B0449"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Yes</w:t>
            </w:r>
          </w:p>
        </w:tc>
      </w:tr>
      <w:tr w:rsidR="00B52D53" w:rsidRPr="00B52D53" w14:paraId="67D6565B"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64746DEC" w14:textId="77777777" w:rsidR="000B0449" w:rsidRPr="00B52D53" w:rsidRDefault="000B0449" w:rsidP="00DA459B">
            <w:pPr>
              <w:pStyle w:val="ListParagraph"/>
              <w:ind w:left="0"/>
              <w:jc w:val="both"/>
              <w:rPr>
                <w:rFonts w:ascii="Calibri" w:hAnsi="Calibri" w:cs="Calibri"/>
                <w:b w:val="0"/>
                <w:bCs w:val="0"/>
                <w:color w:val="auto"/>
                <w:sz w:val="22"/>
                <w:u w:val="single"/>
                <w:lang w:val="en-US"/>
              </w:rPr>
            </w:pPr>
            <w:r w:rsidRPr="00B52D53">
              <w:rPr>
                <w:rFonts w:ascii="Calibri" w:hAnsi="Calibri" w:cs="Calibri"/>
                <w:b w:val="0"/>
                <w:bCs w:val="0"/>
                <w:color w:val="auto"/>
                <w:sz w:val="22"/>
                <w:u w:val="single"/>
                <w:lang w:val="en-US"/>
              </w:rPr>
              <w:t>Others</w:t>
            </w:r>
          </w:p>
          <w:p w14:paraId="618AA5C3" w14:textId="339B7BB4" w:rsidR="00553DC2" w:rsidRPr="00B52D53" w:rsidRDefault="000B0449" w:rsidP="009F73BE">
            <w:pPr>
              <w:pStyle w:val="ListParagraph"/>
              <w:numPr>
                <w:ilvl w:val="0"/>
                <w:numId w:val="86"/>
              </w:numPr>
              <w:jc w:val="both"/>
              <w:rPr>
                <w:rFonts w:ascii="Calibri" w:hAnsi="Calibri" w:cs="Calibri"/>
                <w:b w:val="0"/>
                <w:bCs w:val="0"/>
                <w:color w:val="auto"/>
                <w:sz w:val="22"/>
                <w:lang w:val="en-US"/>
              </w:rPr>
            </w:pPr>
            <w:r w:rsidRPr="00B52D53">
              <w:rPr>
                <w:rFonts w:ascii="Calibri" w:hAnsi="Calibri" w:cs="Calibri"/>
                <w:b w:val="0"/>
                <w:bCs w:val="0"/>
                <w:color w:val="auto"/>
                <w:sz w:val="22"/>
                <w:lang w:val="en-US"/>
              </w:rPr>
              <w:t>Broker</w:t>
            </w:r>
            <w:r w:rsidR="003421CA">
              <w:rPr>
                <w:rFonts w:ascii="Calibri" w:hAnsi="Calibri" w:cs="Calibri"/>
                <w:b w:val="0"/>
                <w:bCs w:val="0"/>
                <w:color w:val="auto"/>
                <w:sz w:val="22"/>
                <w:lang w:val="en-US"/>
              </w:rPr>
              <w:t>/</w:t>
            </w:r>
            <w:r w:rsidRPr="00B52D53">
              <w:rPr>
                <w:rFonts w:ascii="Calibri" w:hAnsi="Calibri" w:cs="Calibri"/>
                <w:b w:val="0"/>
                <w:bCs w:val="0"/>
                <w:color w:val="auto"/>
                <w:sz w:val="22"/>
                <w:lang w:val="en-US"/>
              </w:rPr>
              <w:t xml:space="preserve">Dealers </w:t>
            </w:r>
          </w:p>
          <w:p w14:paraId="23509814" w14:textId="57408712" w:rsidR="000B0449" w:rsidRPr="00B52D53" w:rsidRDefault="000B0449" w:rsidP="009F73BE">
            <w:pPr>
              <w:pStyle w:val="ListParagraph"/>
              <w:numPr>
                <w:ilvl w:val="0"/>
                <w:numId w:val="86"/>
              </w:numPr>
              <w:jc w:val="both"/>
              <w:rPr>
                <w:rFonts w:ascii="Calibri" w:hAnsi="Calibri" w:cs="Calibri"/>
                <w:b w:val="0"/>
                <w:bCs w:val="0"/>
                <w:color w:val="auto"/>
                <w:sz w:val="22"/>
                <w:lang w:val="en-US"/>
              </w:rPr>
            </w:pPr>
            <w:r w:rsidRPr="00B52D53">
              <w:rPr>
                <w:rFonts w:ascii="Calibri" w:hAnsi="Calibri" w:cs="Calibri"/>
                <w:b w:val="0"/>
                <w:bCs w:val="0"/>
                <w:color w:val="auto"/>
                <w:sz w:val="22"/>
                <w:lang w:val="en-US"/>
              </w:rPr>
              <w:t>Custodians</w:t>
            </w:r>
          </w:p>
        </w:tc>
        <w:tc>
          <w:tcPr>
            <w:tcW w:w="3828" w:type="dxa"/>
            <w:vAlign w:val="center"/>
          </w:tcPr>
          <w:p w14:paraId="0CE794F1" w14:textId="77777777" w:rsidR="000B0449" w:rsidRPr="00B52D53" w:rsidRDefault="000B0449" w:rsidP="00DA459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p>
          <w:p w14:paraId="6ED91D71" w14:textId="7AF1531F" w:rsidR="000B0449" w:rsidRPr="00B52D53" w:rsidRDefault="000B0449" w:rsidP="009F73BE">
            <w:pPr>
              <w:pStyle w:val="ListParagraph"/>
              <w:numPr>
                <w:ilvl w:val="0"/>
                <w:numId w:val="87"/>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u w:val="single"/>
                <w:lang w:val="en-US"/>
              </w:rPr>
              <w:t>Match buyers and sellers</w:t>
            </w:r>
            <w:r w:rsidRPr="00B52D53">
              <w:rPr>
                <w:rFonts w:ascii="Calibri" w:hAnsi="Calibri" w:cs="Calibri"/>
                <w:color w:val="auto"/>
                <w:sz w:val="22"/>
                <w:lang w:val="en-US"/>
              </w:rPr>
              <w:t xml:space="preserve"> </w:t>
            </w:r>
          </w:p>
          <w:p w14:paraId="65E6FC59" w14:textId="60EC933B" w:rsidR="000B0449" w:rsidRPr="00B52D53" w:rsidRDefault="000B0449" w:rsidP="009F73BE">
            <w:pPr>
              <w:pStyle w:val="ListParagraph"/>
              <w:numPr>
                <w:ilvl w:val="0"/>
                <w:numId w:val="87"/>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u w:val="single"/>
                <w:lang w:val="en-US"/>
              </w:rPr>
              <w:t>Maintain records</w:t>
            </w:r>
            <w:r w:rsidRPr="00B52D53">
              <w:rPr>
                <w:rFonts w:ascii="Calibri" w:hAnsi="Calibri" w:cs="Calibri"/>
                <w:color w:val="auto"/>
                <w:sz w:val="22"/>
                <w:lang w:val="en-US"/>
              </w:rPr>
              <w:t xml:space="preserve"> of movements in specified products (i.e., securities, derivative contracts, CIS units)</w:t>
            </w:r>
          </w:p>
        </w:tc>
        <w:tc>
          <w:tcPr>
            <w:tcW w:w="2334" w:type="dxa"/>
            <w:vAlign w:val="center"/>
          </w:tcPr>
          <w:p w14:paraId="33FE863F" w14:textId="77777777" w:rsidR="00553DC2" w:rsidRPr="00B52D53" w:rsidRDefault="000B0449" w:rsidP="009F73BE">
            <w:pPr>
              <w:pStyle w:val="ListParagraph"/>
              <w:numPr>
                <w:ilvl w:val="0"/>
                <w:numId w:val="8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Yes, if they deal with capital market products</w:t>
            </w:r>
          </w:p>
          <w:p w14:paraId="696BCE4D" w14:textId="20714205" w:rsidR="000B0449" w:rsidRPr="00B52D53" w:rsidRDefault="000B0449" w:rsidP="009F73BE">
            <w:pPr>
              <w:pStyle w:val="ListParagraph"/>
              <w:numPr>
                <w:ilvl w:val="0"/>
                <w:numId w:val="88"/>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Yes</w:t>
            </w:r>
          </w:p>
        </w:tc>
      </w:tr>
      <w:tr w:rsidR="00B52D53" w:rsidRPr="00B52D53" w14:paraId="0883DA9E" w14:textId="77777777" w:rsidTr="00553DC2">
        <w:tc>
          <w:tcPr>
            <w:cnfStyle w:val="001000000000" w:firstRow="0" w:lastRow="0" w:firstColumn="1" w:lastColumn="0" w:oddVBand="0" w:evenVBand="0" w:oddHBand="0" w:evenHBand="0" w:firstRowFirstColumn="0" w:firstRowLastColumn="0" w:lastRowFirstColumn="0" w:lastRowLastColumn="0"/>
            <w:tcW w:w="2263" w:type="dxa"/>
            <w:vAlign w:val="center"/>
          </w:tcPr>
          <w:p w14:paraId="7AC3C766" w14:textId="6546478A" w:rsidR="00553DC2" w:rsidRPr="00B52D53" w:rsidRDefault="00553DC2" w:rsidP="00DA459B">
            <w:pPr>
              <w:jc w:val="both"/>
              <w:rPr>
                <w:rFonts w:ascii="Calibri" w:hAnsi="Calibri" w:cs="Calibri"/>
                <w:b w:val="0"/>
                <w:bCs w:val="0"/>
                <w:color w:val="auto"/>
                <w:sz w:val="22"/>
                <w:lang w:val="en-US"/>
              </w:rPr>
            </w:pPr>
            <w:r w:rsidRPr="00B52D53">
              <w:rPr>
                <w:rFonts w:ascii="Calibri" w:hAnsi="Calibri" w:cs="Calibri"/>
                <w:b w:val="0"/>
                <w:bCs w:val="0"/>
                <w:color w:val="auto"/>
                <w:sz w:val="22"/>
                <w:lang w:val="en-US"/>
              </w:rPr>
              <w:t>Approved exchanges and clearing houses</w:t>
            </w:r>
            <w:r w:rsidR="00116C93" w:rsidRPr="00B52D53">
              <w:rPr>
                <w:rFonts w:ascii="Calibri" w:hAnsi="Calibri" w:cs="Calibri"/>
                <w:b w:val="0"/>
                <w:bCs w:val="0"/>
                <w:color w:val="auto"/>
                <w:sz w:val="22"/>
                <w:lang w:val="en-US"/>
              </w:rPr>
              <w:t xml:space="preserve"> by MAS</w:t>
            </w:r>
          </w:p>
        </w:tc>
        <w:tc>
          <w:tcPr>
            <w:tcW w:w="3828" w:type="dxa"/>
            <w:vAlign w:val="center"/>
          </w:tcPr>
          <w:p w14:paraId="43C5A078" w14:textId="1BB8A418" w:rsidR="00553DC2" w:rsidRPr="00B52D53" w:rsidRDefault="00553DC2" w:rsidP="00DA459B">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p>
        </w:tc>
        <w:tc>
          <w:tcPr>
            <w:tcW w:w="2334" w:type="dxa"/>
            <w:vAlign w:val="center"/>
          </w:tcPr>
          <w:p w14:paraId="0FAA04B9" w14:textId="60C7F2CE" w:rsidR="00553DC2" w:rsidRPr="00B52D53" w:rsidRDefault="00553DC2" w:rsidP="00DA459B">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Exempted by MAS</w:t>
            </w:r>
          </w:p>
        </w:tc>
      </w:tr>
    </w:tbl>
    <w:p w14:paraId="639A4158" w14:textId="77777777" w:rsidR="00DA459B" w:rsidRPr="00B52D53" w:rsidRDefault="00DA459B" w:rsidP="00DA459B">
      <w:pPr>
        <w:jc w:val="both"/>
        <w:rPr>
          <w:rFonts w:ascii="Calibri" w:hAnsi="Calibri" w:cs="Calibri"/>
          <w:color w:val="auto"/>
          <w:sz w:val="22"/>
          <w:lang w:val="en-US"/>
        </w:rPr>
      </w:pPr>
    </w:p>
    <w:p w14:paraId="55D50102" w14:textId="05BC53DF" w:rsidR="00232833" w:rsidRPr="00B52D53" w:rsidRDefault="00232833" w:rsidP="009F73BE">
      <w:pPr>
        <w:pStyle w:val="Heading3"/>
        <w:numPr>
          <w:ilvl w:val="0"/>
          <w:numId w:val="88"/>
        </w:numPr>
        <w:jc w:val="both"/>
        <w:rPr>
          <w:rFonts w:ascii="Calibri" w:hAnsi="Calibri" w:cs="Calibri"/>
          <w:color w:val="auto"/>
          <w:lang w:val="en-US"/>
        </w:rPr>
      </w:pPr>
      <w:r w:rsidRPr="00B52D53">
        <w:rPr>
          <w:rFonts w:ascii="Calibri" w:hAnsi="Calibri" w:cs="Calibri"/>
          <w:color w:val="auto"/>
          <w:lang w:val="en-US"/>
        </w:rPr>
        <w:lastRenderedPageBreak/>
        <w:t>Roles of each regulatory body in the regulation of capital markets</w:t>
      </w:r>
    </w:p>
    <w:p w14:paraId="78606E8C" w14:textId="1A639D27" w:rsidR="00232833" w:rsidRPr="00B52D53" w:rsidRDefault="00232833" w:rsidP="009F73BE">
      <w:pPr>
        <w:pStyle w:val="ListParagraph"/>
        <w:numPr>
          <w:ilvl w:val="1"/>
          <w:numId w:val="83"/>
        </w:numPr>
        <w:jc w:val="both"/>
        <w:rPr>
          <w:rFonts w:ascii="Calibri" w:hAnsi="Calibri" w:cs="Calibri"/>
          <w:color w:val="auto"/>
          <w:sz w:val="22"/>
          <w:lang w:val="en-US"/>
        </w:rPr>
      </w:pPr>
      <w:r w:rsidRPr="00B52D53">
        <w:rPr>
          <w:rFonts w:ascii="Calibri" w:hAnsi="Calibri" w:cs="Calibri"/>
          <w:b/>
          <w:bCs/>
          <w:color w:val="auto"/>
          <w:sz w:val="22"/>
          <w:lang w:val="en-US"/>
        </w:rPr>
        <w:t>MAS</w:t>
      </w:r>
      <w:r w:rsidR="00553DC2" w:rsidRPr="00B52D53">
        <w:rPr>
          <w:rFonts w:ascii="Calibri" w:hAnsi="Calibri" w:cs="Calibri"/>
          <w:color w:val="auto"/>
          <w:sz w:val="22"/>
          <w:lang w:val="en-US"/>
        </w:rPr>
        <w:t xml:space="preserve">: Central bank that </w:t>
      </w:r>
      <w:r w:rsidR="00553DC2" w:rsidRPr="00B52D53">
        <w:rPr>
          <w:rFonts w:ascii="Calibri" w:hAnsi="Calibri" w:cs="Calibri"/>
          <w:color w:val="auto"/>
          <w:sz w:val="22"/>
          <w:u w:val="single"/>
          <w:lang w:val="en-US"/>
        </w:rPr>
        <w:t>manages monetary policy and foreign reserves</w:t>
      </w:r>
      <w:r w:rsidR="00553DC2" w:rsidRPr="00B52D53">
        <w:rPr>
          <w:rFonts w:ascii="Calibri" w:hAnsi="Calibri" w:cs="Calibri"/>
          <w:color w:val="auto"/>
          <w:sz w:val="22"/>
          <w:lang w:val="en-US"/>
        </w:rPr>
        <w:t xml:space="preserve">, </w:t>
      </w:r>
      <w:r w:rsidR="00116C93" w:rsidRPr="00B52D53">
        <w:rPr>
          <w:rFonts w:ascii="Calibri" w:hAnsi="Calibri" w:cs="Calibri"/>
          <w:color w:val="auto"/>
          <w:sz w:val="22"/>
          <w:u w:val="single"/>
          <w:lang w:val="en-US"/>
        </w:rPr>
        <w:t>administers legislations</w:t>
      </w:r>
      <w:r w:rsidR="00116C93" w:rsidRPr="00B52D53">
        <w:rPr>
          <w:rFonts w:ascii="Calibri" w:hAnsi="Calibri" w:cs="Calibri"/>
          <w:color w:val="auto"/>
          <w:sz w:val="22"/>
          <w:lang w:val="en-US"/>
        </w:rPr>
        <w:t xml:space="preserve"> (e.g., SFA, Financial Services and Markets Act) and </w:t>
      </w:r>
      <w:r w:rsidR="00116C93" w:rsidRPr="00B52D53">
        <w:rPr>
          <w:rFonts w:ascii="Calibri" w:hAnsi="Calibri" w:cs="Calibri"/>
          <w:color w:val="auto"/>
          <w:sz w:val="22"/>
          <w:u w:val="single"/>
          <w:lang w:val="en-US"/>
        </w:rPr>
        <w:t>provides oversight over</w:t>
      </w:r>
      <w:r w:rsidR="00553DC2" w:rsidRPr="00B52D53">
        <w:rPr>
          <w:rFonts w:ascii="Calibri" w:hAnsi="Calibri" w:cs="Calibri"/>
          <w:color w:val="auto"/>
          <w:sz w:val="22"/>
          <w:u w:val="single"/>
          <w:lang w:val="en-US"/>
        </w:rPr>
        <w:t xml:space="preserve"> </w:t>
      </w:r>
      <w:r w:rsidR="00116C93" w:rsidRPr="00B52D53">
        <w:rPr>
          <w:rFonts w:ascii="Calibri" w:hAnsi="Calibri" w:cs="Calibri"/>
          <w:color w:val="auto"/>
          <w:sz w:val="22"/>
          <w:u w:val="single"/>
          <w:lang w:val="en-US"/>
        </w:rPr>
        <w:t>capital markets and financial services</w:t>
      </w:r>
      <w:r w:rsidR="008B5FFB" w:rsidRPr="00B52D53">
        <w:rPr>
          <w:rFonts w:ascii="Calibri" w:hAnsi="Calibri" w:cs="Calibri"/>
          <w:color w:val="auto"/>
          <w:sz w:val="22"/>
          <w:lang w:val="en-US"/>
        </w:rPr>
        <w:t>.</w:t>
      </w:r>
      <w:r w:rsidR="00116C93" w:rsidRPr="00B52D53">
        <w:rPr>
          <w:rFonts w:ascii="Calibri" w:hAnsi="Calibri" w:cs="Calibri"/>
          <w:color w:val="auto"/>
          <w:sz w:val="22"/>
          <w:lang w:val="en-US"/>
        </w:rPr>
        <w:t xml:space="preserve"> </w:t>
      </w:r>
    </w:p>
    <w:p w14:paraId="2629983C" w14:textId="1E731621" w:rsidR="00232833" w:rsidRPr="00B52D53" w:rsidRDefault="00232833" w:rsidP="009F73BE">
      <w:pPr>
        <w:pStyle w:val="ListParagraph"/>
        <w:numPr>
          <w:ilvl w:val="1"/>
          <w:numId w:val="83"/>
        </w:numPr>
        <w:jc w:val="both"/>
        <w:rPr>
          <w:rFonts w:ascii="Calibri" w:hAnsi="Calibri" w:cs="Calibri"/>
          <w:color w:val="auto"/>
          <w:sz w:val="22"/>
          <w:lang w:val="en-US"/>
        </w:rPr>
      </w:pPr>
      <w:r w:rsidRPr="00B52D53">
        <w:rPr>
          <w:rFonts w:ascii="Calibri" w:hAnsi="Calibri" w:cs="Calibri"/>
          <w:b/>
          <w:bCs/>
          <w:color w:val="auto"/>
          <w:sz w:val="22"/>
          <w:lang w:val="en-US"/>
        </w:rPr>
        <w:t>SGX</w:t>
      </w:r>
      <w:r w:rsidR="00116C93" w:rsidRPr="00B52D53">
        <w:rPr>
          <w:rFonts w:ascii="Calibri" w:hAnsi="Calibri" w:cs="Calibri"/>
          <w:color w:val="auto"/>
          <w:sz w:val="22"/>
          <w:lang w:val="en-US"/>
        </w:rPr>
        <w:t>: Provides oversight on capital markets through its subsidiaries, such as SGX RegCo (oversees all front-line regulatory functions), SGX-ST (enforces trading rules by trading members), SGX-DT (enforces futures and options trading rules), CDP (enforces rules on clearing, settlement and depository)</w:t>
      </w:r>
    </w:p>
    <w:p w14:paraId="60B6980D" w14:textId="77777777" w:rsidR="00232833" w:rsidRPr="00B52D53" w:rsidRDefault="00232833" w:rsidP="00DA459B">
      <w:pPr>
        <w:pStyle w:val="BodyText"/>
        <w:jc w:val="both"/>
        <w:rPr>
          <w:rFonts w:ascii="Calibri" w:hAnsi="Calibri" w:cs="Calibri"/>
          <w:color w:val="auto"/>
          <w:lang w:val="en-US"/>
        </w:rPr>
      </w:pPr>
    </w:p>
    <w:p w14:paraId="3C4F2C91" w14:textId="0587B6D7" w:rsidR="001523F0" w:rsidRPr="00B52D53" w:rsidRDefault="00232833" w:rsidP="00DA459B">
      <w:pPr>
        <w:pStyle w:val="Heading2"/>
        <w:jc w:val="both"/>
        <w:rPr>
          <w:rFonts w:ascii="Calibri" w:hAnsi="Calibri" w:cs="Calibri"/>
          <w:color w:val="auto"/>
          <w:lang w:val="en-US"/>
        </w:rPr>
      </w:pPr>
      <w:r w:rsidRPr="00B52D53">
        <w:rPr>
          <w:rFonts w:ascii="Calibri" w:hAnsi="Calibri" w:cs="Calibri"/>
          <w:color w:val="auto"/>
          <w:lang w:val="en-US"/>
        </w:rPr>
        <w:t>Chapter 2 – Fund Management Regulations &amp; Guidelines</w:t>
      </w:r>
    </w:p>
    <w:p w14:paraId="7FF48924" w14:textId="765A3C40" w:rsidR="008B5FFB" w:rsidRDefault="008B5FFB" w:rsidP="00283DF6">
      <w:pPr>
        <w:pStyle w:val="BodyText"/>
        <w:jc w:val="both"/>
        <w:rPr>
          <w:rFonts w:ascii="Calibri" w:hAnsi="Calibri" w:cs="Calibri"/>
          <w:color w:val="auto"/>
          <w:sz w:val="22"/>
          <w:lang w:val="en-US"/>
        </w:rPr>
      </w:pPr>
      <w:r w:rsidRPr="00B52D53">
        <w:rPr>
          <w:rFonts w:ascii="Calibri" w:hAnsi="Calibri" w:cs="Calibri"/>
          <w:color w:val="auto"/>
          <w:sz w:val="22"/>
          <w:lang w:val="en-US"/>
        </w:rPr>
        <w:t>Except for Legislations</w:t>
      </w:r>
      <w:r w:rsidR="005F0557" w:rsidRPr="00B52D53">
        <w:rPr>
          <w:rFonts w:ascii="Calibri" w:hAnsi="Calibri" w:cs="Calibri"/>
          <w:color w:val="auto"/>
          <w:sz w:val="22"/>
          <w:lang w:val="en-US"/>
        </w:rPr>
        <w:t xml:space="preserve"> (e.g., SFA and SF Regulations that regulate markets, clearing houses and CMIs, as well as market conduct and prospectus registration requirements)</w:t>
      </w:r>
      <w:r w:rsidRPr="00B52D53">
        <w:rPr>
          <w:rFonts w:ascii="Calibri" w:hAnsi="Calibri" w:cs="Calibri"/>
          <w:color w:val="auto"/>
          <w:sz w:val="22"/>
          <w:lang w:val="en-US"/>
        </w:rPr>
        <w:t xml:space="preserve"> and Notices, other documents (e.g., Codes, Practice Notes, MAS Guidelines) are not legally binding</w:t>
      </w:r>
      <w:r w:rsidR="005F0557" w:rsidRPr="00B52D53">
        <w:rPr>
          <w:rFonts w:ascii="Calibri" w:hAnsi="Calibri" w:cs="Calibri"/>
          <w:color w:val="auto"/>
          <w:sz w:val="22"/>
          <w:lang w:val="en-US"/>
        </w:rPr>
        <w:t xml:space="preserve"> and are considered “rules” and “best practices”</w:t>
      </w:r>
      <w:r w:rsidRPr="00B52D53">
        <w:rPr>
          <w:rFonts w:ascii="Calibri" w:hAnsi="Calibri" w:cs="Calibri"/>
          <w:color w:val="auto"/>
          <w:sz w:val="22"/>
          <w:lang w:val="en-US"/>
        </w:rPr>
        <w:t>. A contravention in the latter</w:t>
      </w:r>
      <w:r w:rsidR="005F0557" w:rsidRPr="00B52D53">
        <w:rPr>
          <w:rFonts w:ascii="Calibri" w:hAnsi="Calibri" w:cs="Calibri"/>
          <w:color w:val="auto"/>
          <w:sz w:val="22"/>
          <w:lang w:val="en-US"/>
        </w:rPr>
        <w:t xml:space="preserve"> categories</w:t>
      </w:r>
      <w:r w:rsidRPr="00B52D53">
        <w:rPr>
          <w:rFonts w:ascii="Calibri" w:hAnsi="Calibri" w:cs="Calibri"/>
          <w:color w:val="auto"/>
          <w:sz w:val="22"/>
          <w:lang w:val="en-US"/>
        </w:rPr>
        <w:t xml:space="preserve"> might not give rise to a criminal offence but it might </w:t>
      </w:r>
      <w:r w:rsidR="00AB37A4" w:rsidRPr="00B52D53">
        <w:rPr>
          <w:rFonts w:ascii="Calibri" w:hAnsi="Calibri" w:cs="Calibri"/>
          <w:color w:val="auto"/>
          <w:sz w:val="22"/>
          <w:lang w:val="en-US"/>
        </w:rPr>
        <w:t>draw disciplinary actions (e.g., public censures) and</w:t>
      </w:r>
      <w:r w:rsidR="003421CA">
        <w:rPr>
          <w:rFonts w:ascii="Calibri" w:hAnsi="Calibri" w:cs="Calibri"/>
          <w:color w:val="auto"/>
          <w:sz w:val="22"/>
          <w:lang w:val="en-US"/>
        </w:rPr>
        <w:t>/</w:t>
      </w:r>
      <w:r w:rsidR="00AB37A4" w:rsidRPr="00B52D53">
        <w:rPr>
          <w:rFonts w:ascii="Calibri" w:hAnsi="Calibri" w:cs="Calibri"/>
          <w:color w:val="auto"/>
          <w:sz w:val="22"/>
          <w:lang w:val="en-US"/>
        </w:rPr>
        <w:t xml:space="preserve">or </w:t>
      </w:r>
      <w:r w:rsidRPr="00B52D53">
        <w:rPr>
          <w:rFonts w:ascii="Calibri" w:hAnsi="Calibri" w:cs="Calibri"/>
          <w:color w:val="auto"/>
          <w:sz w:val="22"/>
          <w:lang w:val="en-US"/>
        </w:rPr>
        <w:t xml:space="preserve">impact company’s reputation. </w:t>
      </w:r>
      <w:r w:rsidR="005F0557" w:rsidRPr="00B52D53">
        <w:rPr>
          <w:rFonts w:ascii="Calibri" w:hAnsi="Calibri" w:cs="Calibri"/>
          <w:color w:val="auto"/>
          <w:sz w:val="22"/>
          <w:lang w:val="en-US"/>
        </w:rPr>
        <w:t xml:space="preserve"> </w:t>
      </w:r>
    </w:p>
    <w:p w14:paraId="149A8F60" w14:textId="77777777" w:rsidR="00EC2BE7" w:rsidRPr="00B52D53" w:rsidRDefault="00EC2BE7" w:rsidP="00283DF6">
      <w:pPr>
        <w:pStyle w:val="BodyText"/>
        <w:jc w:val="both"/>
        <w:rPr>
          <w:rFonts w:ascii="Calibri" w:hAnsi="Calibri" w:cs="Calibri"/>
          <w:color w:val="auto"/>
          <w:sz w:val="22"/>
          <w:lang w:val="en-US"/>
        </w:rPr>
      </w:pPr>
    </w:p>
    <w:p w14:paraId="3C50F328" w14:textId="4D4F29C8" w:rsidR="005F0557" w:rsidRDefault="005F0557" w:rsidP="009F73BE">
      <w:pPr>
        <w:pStyle w:val="Heading3"/>
        <w:numPr>
          <w:ilvl w:val="0"/>
          <w:numId w:val="91"/>
        </w:numPr>
        <w:jc w:val="both"/>
        <w:rPr>
          <w:rFonts w:ascii="Calibri" w:hAnsi="Calibri" w:cs="Calibri"/>
          <w:color w:val="auto"/>
          <w:lang w:val="en-US"/>
        </w:rPr>
      </w:pPr>
      <w:r w:rsidRPr="00B52D53">
        <w:rPr>
          <w:rFonts w:ascii="Calibri" w:hAnsi="Calibri" w:cs="Calibri"/>
          <w:color w:val="auto"/>
          <w:lang w:val="en-US"/>
        </w:rPr>
        <w:t xml:space="preserve">IMAS </w:t>
      </w:r>
      <w:r w:rsidRPr="00B52D53">
        <w:rPr>
          <w:rFonts w:ascii="Calibri" w:hAnsi="Calibri" w:cs="Calibri"/>
          <w:color w:val="auto"/>
          <w:u w:val="single"/>
          <w:lang w:val="en-US"/>
        </w:rPr>
        <w:t>Code</w:t>
      </w:r>
      <w:r w:rsidRPr="00B52D53">
        <w:rPr>
          <w:rFonts w:ascii="Calibri" w:hAnsi="Calibri" w:cs="Calibri"/>
          <w:color w:val="auto"/>
          <w:lang w:val="en-US"/>
        </w:rPr>
        <w:t xml:space="preserve"> of Ethics &amp; Standards of Professional Conduct</w:t>
      </w:r>
      <w:r w:rsidR="00DA459B" w:rsidRPr="00B52D53">
        <w:rPr>
          <w:rFonts w:ascii="Calibri" w:hAnsi="Calibri" w:cs="Calibri"/>
          <w:color w:val="auto"/>
          <w:lang w:val="en-US"/>
        </w:rPr>
        <w:t xml:space="preserve"> for Fund Managers (key take-aways, best practices)</w:t>
      </w:r>
    </w:p>
    <w:p w14:paraId="3F73EFDD" w14:textId="33420D00" w:rsidR="000400C9" w:rsidRPr="00190828" w:rsidRDefault="00190828" w:rsidP="00190828">
      <w:pPr>
        <w:pStyle w:val="BodyText"/>
        <w:rPr>
          <w:rFonts w:ascii="Calibri" w:hAnsi="Calibri" w:cs="Calibri"/>
          <w:color w:val="auto"/>
          <w:sz w:val="22"/>
          <w:lang w:val="en-US"/>
        </w:rPr>
      </w:pPr>
      <w:r>
        <w:rPr>
          <w:rFonts w:ascii="Calibri" w:hAnsi="Calibri" w:cs="Calibri"/>
          <w:color w:val="auto"/>
          <w:sz w:val="22"/>
          <w:lang w:val="en-US"/>
        </w:rPr>
        <w:t xml:space="preserve">All </w:t>
      </w:r>
      <w:r w:rsidRPr="00190828">
        <w:rPr>
          <w:rFonts w:ascii="Calibri" w:hAnsi="Calibri" w:cs="Calibri"/>
          <w:color w:val="auto"/>
          <w:sz w:val="22"/>
          <w:lang w:val="en-US"/>
        </w:rPr>
        <w:t xml:space="preserve">IMAS </w:t>
      </w:r>
      <w:r>
        <w:rPr>
          <w:rFonts w:ascii="Calibri" w:hAnsi="Calibri" w:cs="Calibri"/>
          <w:color w:val="auto"/>
          <w:sz w:val="22"/>
          <w:lang w:val="en-US"/>
        </w:rPr>
        <w:t>members must comply with IMAS Code of Ethics &amp; Standards.</w:t>
      </w:r>
    </w:p>
    <w:p w14:paraId="529DBE13" w14:textId="4C56F7F9" w:rsidR="00C3212E" w:rsidRPr="00B52D53" w:rsidRDefault="00C3212E" w:rsidP="009F73BE">
      <w:pPr>
        <w:pStyle w:val="Heading4"/>
        <w:numPr>
          <w:ilvl w:val="0"/>
          <w:numId w:val="93"/>
        </w:numPr>
        <w:rPr>
          <w:rFonts w:ascii="Calibri" w:hAnsi="Calibri" w:cs="Calibri"/>
          <w:color w:val="auto"/>
          <w:sz w:val="22"/>
          <w:lang w:val="en-US"/>
        </w:rPr>
      </w:pPr>
      <w:r w:rsidRPr="00B52D53">
        <w:rPr>
          <w:rFonts w:ascii="Calibri" w:hAnsi="Calibri" w:cs="Calibri"/>
          <w:color w:val="auto"/>
          <w:sz w:val="22"/>
          <w:lang w:val="en-US"/>
        </w:rPr>
        <w:t>Business Conduct</w:t>
      </w:r>
    </w:p>
    <w:p w14:paraId="5A44AEF9" w14:textId="12AEAFDF" w:rsidR="005F0557" w:rsidRPr="00B52D53" w:rsidRDefault="00DA459B" w:rsidP="009F73BE">
      <w:pPr>
        <w:pStyle w:val="BodyText"/>
        <w:numPr>
          <w:ilvl w:val="0"/>
          <w:numId w:val="92"/>
        </w:numPr>
        <w:jc w:val="both"/>
        <w:rPr>
          <w:rFonts w:ascii="Calibri" w:hAnsi="Calibri" w:cs="Calibri"/>
          <w:color w:val="auto"/>
          <w:sz w:val="22"/>
          <w:lang w:val="en-US"/>
        </w:rPr>
      </w:pPr>
      <w:r w:rsidRPr="00B52D53">
        <w:rPr>
          <w:rFonts w:ascii="Calibri" w:hAnsi="Calibri" w:cs="Calibri"/>
          <w:b/>
          <w:bCs/>
          <w:color w:val="auto"/>
          <w:sz w:val="22"/>
          <w:lang w:val="en-US"/>
        </w:rPr>
        <w:t>Compliance should be independent</w:t>
      </w:r>
      <w:r w:rsidRPr="00B52D53">
        <w:rPr>
          <w:rFonts w:ascii="Calibri" w:hAnsi="Calibri" w:cs="Calibri"/>
          <w:color w:val="auto"/>
          <w:sz w:val="22"/>
          <w:lang w:val="en-US"/>
        </w:rPr>
        <w:t xml:space="preserve"> of other business functions and should report directly to senior management. Function should be staffed with competent and qualified individuals.</w:t>
      </w:r>
    </w:p>
    <w:p w14:paraId="7C24568C" w14:textId="17D75973" w:rsidR="00DA459B" w:rsidRPr="00B52D53" w:rsidRDefault="00DA459B" w:rsidP="009F73BE">
      <w:pPr>
        <w:pStyle w:val="BodyText"/>
        <w:numPr>
          <w:ilvl w:val="0"/>
          <w:numId w:val="92"/>
        </w:numPr>
        <w:jc w:val="both"/>
        <w:rPr>
          <w:rFonts w:ascii="Calibri" w:hAnsi="Calibri" w:cs="Calibri"/>
          <w:color w:val="auto"/>
          <w:sz w:val="22"/>
          <w:lang w:val="en-US"/>
        </w:rPr>
      </w:pPr>
      <w:r w:rsidRPr="00B52D53">
        <w:rPr>
          <w:rFonts w:ascii="Calibri" w:hAnsi="Calibri" w:cs="Calibri"/>
          <w:b/>
          <w:bCs/>
          <w:color w:val="auto"/>
          <w:sz w:val="22"/>
          <w:lang w:val="en-US"/>
        </w:rPr>
        <w:t>Segregation of business activities</w:t>
      </w:r>
      <w:r w:rsidRPr="00B52D53">
        <w:rPr>
          <w:rFonts w:ascii="Calibri" w:hAnsi="Calibri" w:cs="Calibri"/>
          <w:color w:val="auto"/>
          <w:sz w:val="22"/>
          <w:lang w:val="en-US"/>
        </w:rPr>
        <w:t xml:space="preserve"> (aka Chinese walls) </w:t>
      </w:r>
      <w:r w:rsidRPr="00B52D53">
        <w:rPr>
          <w:rFonts w:ascii="Calibri" w:hAnsi="Calibri" w:cs="Calibri"/>
          <w:b/>
          <w:bCs/>
          <w:color w:val="auto"/>
          <w:sz w:val="22"/>
          <w:lang w:val="en-US"/>
        </w:rPr>
        <w:t xml:space="preserve">to prevent </w:t>
      </w:r>
      <w:r w:rsidR="003E6C76" w:rsidRPr="00B52D53">
        <w:rPr>
          <w:rFonts w:ascii="Calibri" w:hAnsi="Calibri" w:cs="Calibri"/>
          <w:b/>
          <w:bCs/>
          <w:color w:val="auto"/>
          <w:sz w:val="22"/>
          <w:lang w:val="en-US"/>
        </w:rPr>
        <w:t>potential</w:t>
      </w:r>
      <w:r w:rsidRPr="00B52D53">
        <w:rPr>
          <w:rFonts w:ascii="Calibri" w:hAnsi="Calibri" w:cs="Calibri"/>
          <w:b/>
          <w:bCs/>
          <w:color w:val="auto"/>
          <w:sz w:val="22"/>
          <w:lang w:val="en-US"/>
        </w:rPr>
        <w:t xml:space="preserve"> exchange</w:t>
      </w:r>
      <w:r w:rsidR="003421CA">
        <w:rPr>
          <w:rFonts w:ascii="Calibri" w:hAnsi="Calibri" w:cs="Calibri"/>
          <w:b/>
          <w:bCs/>
          <w:color w:val="auto"/>
          <w:sz w:val="22"/>
          <w:lang w:val="en-US"/>
        </w:rPr>
        <w:t>/</w:t>
      </w:r>
      <w:r w:rsidR="003E6C76" w:rsidRPr="00B52D53">
        <w:rPr>
          <w:rFonts w:ascii="Calibri" w:hAnsi="Calibri" w:cs="Calibri"/>
          <w:b/>
          <w:bCs/>
          <w:color w:val="auto"/>
          <w:sz w:val="22"/>
          <w:lang w:val="en-US"/>
        </w:rPr>
        <w:t>leakage</w:t>
      </w:r>
      <w:r w:rsidRPr="00B52D53">
        <w:rPr>
          <w:rFonts w:ascii="Calibri" w:hAnsi="Calibri" w:cs="Calibri"/>
          <w:b/>
          <w:bCs/>
          <w:color w:val="auto"/>
          <w:sz w:val="22"/>
          <w:lang w:val="en-US"/>
        </w:rPr>
        <w:t xml:space="preserve"> of price-sensitive information</w:t>
      </w:r>
      <w:r w:rsidRPr="00B52D53">
        <w:rPr>
          <w:rFonts w:ascii="Calibri" w:hAnsi="Calibri" w:cs="Calibri"/>
          <w:color w:val="auto"/>
          <w:sz w:val="22"/>
          <w:lang w:val="en-US"/>
        </w:rPr>
        <w:t xml:space="preserve"> across different individuals, functions, companies. Examples include segregation of (i) front and back offices, (ii) investment</w:t>
      </w:r>
      <w:r w:rsidR="00E52B75" w:rsidRPr="00B52D53">
        <w:rPr>
          <w:rFonts w:ascii="Calibri" w:hAnsi="Calibri" w:cs="Calibri"/>
          <w:color w:val="auto"/>
          <w:sz w:val="22"/>
          <w:lang w:val="en-US"/>
        </w:rPr>
        <w:t xml:space="preserve"> decision making</w:t>
      </w:r>
      <w:r w:rsidRPr="00B52D53">
        <w:rPr>
          <w:rFonts w:ascii="Calibri" w:hAnsi="Calibri" w:cs="Calibri"/>
          <w:color w:val="auto"/>
          <w:sz w:val="22"/>
          <w:lang w:val="en-US"/>
        </w:rPr>
        <w:t xml:space="preserve"> and dealing</w:t>
      </w:r>
      <w:r w:rsidR="00E52B75" w:rsidRPr="00B52D53">
        <w:rPr>
          <w:rFonts w:ascii="Calibri" w:hAnsi="Calibri" w:cs="Calibri"/>
          <w:color w:val="auto"/>
          <w:sz w:val="22"/>
          <w:lang w:val="en-US"/>
        </w:rPr>
        <w:t>, (iii) compliance and audit, (iv) proprietary investment activities (own trading) and client activities.</w:t>
      </w:r>
    </w:p>
    <w:p w14:paraId="2E0A642D" w14:textId="4A423980" w:rsidR="00DA459B" w:rsidRPr="00B52D53" w:rsidRDefault="00E52B75" w:rsidP="009F73BE">
      <w:pPr>
        <w:pStyle w:val="BodyText"/>
        <w:numPr>
          <w:ilvl w:val="0"/>
          <w:numId w:val="92"/>
        </w:numPr>
        <w:jc w:val="both"/>
        <w:rPr>
          <w:rFonts w:ascii="Calibri" w:hAnsi="Calibri" w:cs="Calibri"/>
          <w:color w:val="auto"/>
          <w:sz w:val="22"/>
          <w:lang w:val="en-US"/>
        </w:rPr>
      </w:pPr>
      <w:r w:rsidRPr="00B52D53">
        <w:rPr>
          <w:rFonts w:ascii="Calibri" w:hAnsi="Calibri" w:cs="Calibri"/>
          <w:b/>
          <w:bCs/>
          <w:color w:val="auto"/>
          <w:sz w:val="22"/>
          <w:lang w:val="en-US"/>
        </w:rPr>
        <w:t>Uphold personal conduct</w:t>
      </w:r>
      <w:r w:rsidRPr="00B52D53">
        <w:rPr>
          <w:rFonts w:ascii="Calibri" w:hAnsi="Calibri" w:cs="Calibri"/>
          <w:color w:val="auto"/>
          <w:sz w:val="22"/>
          <w:lang w:val="en-US"/>
        </w:rPr>
        <w:t xml:space="preserve">: (i) Proper records and archival (up to 5 years) </w:t>
      </w:r>
      <w:r w:rsidR="003E6C76" w:rsidRPr="00B52D53">
        <w:rPr>
          <w:rFonts w:ascii="Calibri" w:hAnsi="Calibri" w:cs="Calibri"/>
          <w:color w:val="auto"/>
          <w:sz w:val="22"/>
          <w:lang w:val="en-US"/>
        </w:rPr>
        <w:t xml:space="preserve">to </w:t>
      </w:r>
      <w:r w:rsidRPr="00B52D53">
        <w:rPr>
          <w:rFonts w:ascii="Calibri" w:hAnsi="Calibri" w:cs="Calibri"/>
          <w:color w:val="auto"/>
          <w:sz w:val="22"/>
          <w:lang w:val="en-US"/>
        </w:rPr>
        <w:t>demonstrate compliance, (ii) Obtain compliance approval for any buy-sell activities (except gov bonds, regular savings plans and unit trusts) of connected persons, (iii) Prioritize client needs over personal interests.</w:t>
      </w:r>
    </w:p>
    <w:p w14:paraId="001EBB95" w14:textId="624AA81B" w:rsidR="00C3212E" w:rsidRPr="00B52D53" w:rsidRDefault="00AB37A4" w:rsidP="009F73BE">
      <w:pPr>
        <w:pStyle w:val="Heading4"/>
        <w:numPr>
          <w:ilvl w:val="0"/>
          <w:numId w:val="93"/>
        </w:numPr>
        <w:rPr>
          <w:rFonts w:ascii="Calibri" w:hAnsi="Calibri" w:cs="Calibri"/>
          <w:color w:val="auto"/>
          <w:sz w:val="22"/>
          <w:lang w:val="en-US"/>
        </w:rPr>
      </w:pPr>
      <w:r w:rsidRPr="00B52D53">
        <w:rPr>
          <w:rFonts w:ascii="Calibri" w:hAnsi="Calibri" w:cs="Calibri"/>
          <w:color w:val="auto"/>
          <w:sz w:val="22"/>
          <w:lang w:val="en-US"/>
        </w:rPr>
        <w:t xml:space="preserve">Investment </w:t>
      </w:r>
      <w:r w:rsidR="00C3212E" w:rsidRPr="00B52D53">
        <w:rPr>
          <w:rFonts w:ascii="Calibri" w:hAnsi="Calibri" w:cs="Calibri"/>
          <w:color w:val="auto"/>
          <w:sz w:val="22"/>
          <w:lang w:val="en-US"/>
        </w:rPr>
        <w:t>Management</w:t>
      </w:r>
      <w:r w:rsidRPr="00B52D53">
        <w:rPr>
          <w:rFonts w:ascii="Calibri" w:hAnsi="Calibri" w:cs="Calibri"/>
          <w:color w:val="auto"/>
          <w:sz w:val="22"/>
          <w:lang w:val="en-US"/>
        </w:rPr>
        <w:t xml:space="preserve"> Process</w:t>
      </w:r>
    </w:p>
    <w:p w14:paraId="7B3EB83E" w14:textId="6F9233D8" w:rsidR="00C3212E" w:rsidRPr="00B52D53" w:rsidRDefault="00C3212E" w:rsidP="009F73BE">
      <w:pPr>
        <w:pStyle w:val="BodyText"/>
        <w:numPr>
          <w:ilvl w:val="0"/>
          <w:numId w:val="94"/>
        </w:numPr>
        <w:jc w:val="both"/>
        <w:rPr>
          <w:rFonts w:ascii="Calibri" w:hAnsi="Calibri" w:cs="Calibri"/>
          <w:color w:val="auto"/>
          <w:sz w:val="22"/>
          <w:lang w:val="en-US"/>
        </w:rPr>
      </w:pPr>
      <w:r w:rsidRPr="00B52D53">
        <w:rPr>
          <w:rFonts w:ascii="Calibri" w:hAnsi="Calibri" w:cs="Calibri"/>
          <w:b/>
          <w:bCs/>
          <w:color w:val="auto"/>
          <w:sz w:val="22"/>
          <w:lang w:val="en-US"/>
        </w:rPr>
        <w:t>Familiarization</w:t>
      </w:r>
      <w:r w:rsidRPr="00B52D53">
        <w:rPr>
          <w:rFonts w:ascii="Calibri" w:hAnsi="Calibri" w:cs="Calibri"/>
          <w:color w:val="auto"/>
          <w:sz w:val="22"/>
          <w:lang w:val="en-US"/>
        </w:rPr>
        <w:t xml:space="preserve">: Fund managers should provide adequate information about the firm (e.g., address, how business is conducted), while clients should disclose their identities (and any beneficiary owners), financial profiles, source of wealth (to comply with ML/TF), investment goals and risk appetite etc. </w:t>
      </w:r>
    </w:p>
    <w:p w14:paraId="7406EB3C" w14:textId="7E1034CF" w:rsidR="002E7486" w:rsidRPr="00B52D53" w:rsidRDefault="002E7486" w:rsidP="009F73BE">
      <w:pPr>
        <w:pStyle w:val="BodyText"/>
        <w:numPr>
          <w:ilvl w:val="0"/>
          <w:numId w:val="94"/>
        </w:numPr>
        <w:jc w:val="both"/>
        <w:rPr>
          <w:rFonts w:ascii="Calibri" w:hAnsi="Calibri" w:cs="Calibri"/>
          <w:color w:val="auto"/>
          <w:sz w:val="22"/>
          <w:lang w:val="en-US"/>
        </w:rPr>
      </w:pPr>
      <w:r w:rsidRPr="00B52D53">
        <w:rPr>
          <w:rFonts w:ascii="Calibri" w:hAnsi="Calibri" w:cs="Calibri"/>
          <w:b/>
          <w:bCs/>
          <w:color w:val="auto"/>
          <w:sz w:val="22"/>
          <w:lang w:val="en-US"/>
        </w:rPr>
        <w:t xml:space="preserve">Investment </w:t>
      </w:r>
      <w:r w:rsidR="00F81D6A" w:rsidRPr="00B52D53">
        <w:rPr>
          <w:rFonts w:ascii="Calibri" w:hAnsi="Calibri" w:cs="Calibri"/>
          <w:b/>
          <w:bCs/>
          <w:color w:val="auto"/>
          <w:sz w:val="22"/>
          <w:lang w:val="en-US"/>
        </w:rPr>
        <w:t>Plan</w:t>
      </w:r>
      <w:r w:rsidRPr="00B52D53">
        <w:rPr>
          <w:rFonts w:ascii="Calibri" w:hAnsi="Calibri" w:cs="Calibri"/>
          <w:b/>
          <w:bCs/>
          <w:color w:val="auto"/>
          <w:sz w:val="22"/>
          <w:lang w:val="en-US"/>
        </w:rPr>
        <w:t>ning</w:t>
      </w:r>
      <w:r w:rsidR="00C3212E" w:rsidRPr="00B52D53">
        <w:rPr>
          <w:rFonts w:ascii="Calibri" w:hAnsi="Calibri" w:cs="Calibri"/>
          <w:color w:val="auto"/>
          <w:sz w:val="22"/>
          <w:lang w:val="en-US"/>
        </w:rPr>
        <w:t xml:space="preserve">: </w:t>
      </w:r>
      <w:r w:rsidR="003E6C76" w:rsidRPr="00B52D53">
        <w:rPr>
          <w:rFonts w:ascii="Calibri" w:hAnsi="Calibri" w:cs="Calibri"/>
          <w:color w:val="auto"/>
          <w:sz w:val="22"/>
          <w:lang w:val="en-US"/>
        </w:rPr>
        <w:t>Fund managers should</w:t>
      </w:r>
      <w:r w:rsidR="00F81D6A" w:rsidRPr="00B52D53">
        <w:rPr>
          <w:rFonts w:ascii="Calibri" w:hAnsi="Calibri" w:cs="Calibri"/>
          <w:color w:val="auto"/>
          <w:sz w:val="22"/>
          <w:lang w:val="en-US"/>
        </w:rPr>
        <w:t xml:space="preserve"> draft a</w:t>
      </w:r>
      <w:r w:rsidR="00F24253" w:rsidRPr="00B52D53">
        <w:rPr>
          <w:rFonts w:ascii="Calibri" w:hAnsi="Calibri" w:cs="Calibri"/>
          <w:color w:val="auto"/>
          <w:sz w:val="22"/>
          <w:lang w:val="en-US"/>
        </w:rPr>
        <w:t>n</w:t>
      </w:r>
      <w:r w:rsidR="00F81D6A" w:rsidRPr="00B52D53">
        <w:rPr>
          <w:rFonts w:ascii="Calibri" w:hAnsi="Calibri" w:cs="Calibri"/>
          <w:color w:val="auto"/>
          <w:sz w:val="22"/>
          <w:lang w:val="en-US"/>
        </w:rPr>
        <w:t xml:space="preserve"> investment management agreement that</w:t>
      </w:r>
      <w:r w:rsidR="003E6C76" w:rsidRPr="00B52D53">
        <w:rPr>
          <w:rFonts w:ascii="Calibri" w:hAnsi="Calibri" w:cs="Calibri"/>
          <w:color w:val="auto"/>
          <w:sz w:val="22"/>
          <w:lang w:val="en-US"/>
        </w:rPr>
        <w:t xml:space="preserve"> </w:t>
      </w:r>
      <w:r w:rsidR="003E6C76" w:rsidRPr="00B52D53">
        <w:rPr>
          <w:rFonts w:ascii="Calibri" w:hAnsi="Calibri" w:cs="Calibri"/>
          <w:color w:val="auto"/>
          <w:sz w:val="22"/>
          <w:u w:val="single"/>
          <w:lang w:val="en-US"/>
        </w:rPr>
        <w:t>c</w:t>
      </w:r>
      <w:r w:rsidR="00C3212E" w:rsidRPr="00B52D53">
        <w:rPr>
          <w:rFonts w:ascii="Calibri" w:hAnsi="Calibri" w:cs="Calibri"/>
          <w:color w:val="auto"/>
          <w:sz w:val="22"/>
          <w:u w:val="single"/>
          <w:lang w:val="en-US"/>
        </w:rPr>
        <w:t>onsider</w:t>
      </w:r>
      <w:r w:rsidR="00F81D6A" w:rsidRPr="00B52D53">
        <w:rPr>
          <w:rFonts w:ascii="Calibri" w:hAnsi="Calibri" w:cs="Calibri"/>
          <w:color w:val="auto"/>
          <w:sz w:val="22"/>
          <w:u w:val="single"/>
          <w:lang w:val="en-US"/>
        </w:rPr>
        <w:t>s</w:t>
      </w:r>
      <w:r w:rsidR="00C3212E" w:rsidRPr="00B52D53">
        <w:rPr>
          <w:rFonts w:ascii="Calibri" w:hAnsi="Calibri" w:cs="Calibri"/>
          <w:color w:val="auto"/>
          <w:sz w:val="22"/>
          <w:u w:val="single"/>
          <w:lang w:val="en-US"/>
        </w:rPr>
        <w:t xml:space="preserve"> the appropriateness and suitability of each investment</w:t>
      </w:r>
      <w:r w:rsidR="00C3212E" w:rsidRPr="00B52D53">
        <w:rPr>
          <w:rFonts w:ascii="Calibri" w:hAnsi="Calibri" w:cs="Calibri"/>
          <w:color w:val="auto"/>
          <w:sz w:val="22"/>
          <w:lang w:val="en-US"/>
        </w:rPr>
        <w:t xml:space="preserve"> in relation to client needs</w:t>
      </w:r>
      <w:r w:rsidR="003421CA">
        <w:rPr>
          <w:rFonts w:ascii="Calibri" w:hAnsi="Calibri" w:cs="Calibri"/>
          <w:color w:val="auto"/>
          <w:sz w:val="22"/>
          <w:lang w:val="en-US"/>
        </w:rPr>
        <w:t>/</w:t>
      </w:r>
      <w:r w:rsidR="00C3212E" w:rsidRPr="00B52D53">
        <w:rPr>
          <w:rFonts w:ascii="Calibri" w:hAnsi="Calibri" w:cs="Calibri"/>
          <w:color w:val="auto"/>
          <w:sz w:val="22"/>
          <w:lang w:val="en-US"/>
        </w:rPr>
        <w:t>objectives</w:t>
      </w:r>
      <w:r w:rsidR="003E6C76" w:rsidRPr="00B52D53">
        <w:rPr>
          <w:rFonts w:ascii="Calibri" w:hAnsi="Calibri" w:cs="Calibri"/>
          <w:color w:val="auto"/>
          <w:sz w:val="22"/>
          <w:lang w:val="en-US"/>
        </w:rPr>
        <w:t xml:space="preserve"> </w:t>
      </w:r>
      <w:r w:rsidR="00C3212E" w:rsidRPr="00B52D53">
        <w:rPr>
          <w:rFonts w:ascii="Calibri" w:hAnsi="Calibri" w:cs="Calibri"/>
          <w:color w:val="auto"/>
          <w:sz w:val="22"/>
          <w:lang w:val="en-US"/>
        </w:rPr>
        <w:t xml:space="preserve">and </w:t>
      </w:r>
      <w:r w:rsidR="00C3212E" w:rsidRPr="00B52D53">
        <w:rPr>
          <w:rFonts w:ascii="Calibri" w:hAnsi="Calibri" w:cs="Calibri"/>
          <w:color w:val="auto"/>
          <w:sz w:val="22"/>
          <w:u w:val="single"/>
          <w:lang w:val="en-US"/>
        </w:rPr>
        <w:t>sets</w:t>
      </w:r>
      <w:r w:rsidR="003E6C76" w:rsidRPr="00B52D53">
        <w:rPr>
          <w:rFonts w:ascii="Calibri" w:hAnsi="Calibri" w:cs="Calibri"/>
          <w:color w:val="auto"/>
          <w:sz w:val="22"/>
          <w:u w:val="single"/>
          <w:lang w:val="en-US"/>
        </w:rPr>
        <w:t xml:space="preserve"> out</w:t>
      </w:r>
      <w:r w:rsidR="00C3212E" w:rsidRPr="00B52D53">
        <w:rPr>
          <w:rFonts w:ascii="Calibri" w:hAnsi="Calibri" w:cs="Calibri"/>
          <w:color w:val="auto"/>
          <w:sz w:val="22"/>
          <w:u w:val="single"/>
          <w:lang w:val="en-US"/>
        </w:rPr>
        <w:t xml:space="preserve"> performance measurements</w:t>
      </w:r>
      <w:r w:rsidR="003421CA">
        <w:rPr>
          <w:rFonts w:ascii="Calibri" w:hAnsi="Calibri" w:cs="Calibri"/>
          <w:color w:val="auto"/>
          <w:sz w:val="22"/>
          <w:u w:val="single"/>
          <w:lang w:val="en-US"/>
        </w:rPr>
        <w:t>/</w:t>
      </w:r>
      <w:r w:rsidR="00C3212E" w:rsidRPr="00B52D53">
        <w:rPr>
          <w:rFonts w:ascii="Calibri" w:hAnsi="Calibri" w:cs="Calibri"/>
          <w:color w:val="auto"/>
          <w:sz w:val="22"/>
          <w:u w:val="single"/>
          <w:lang w:val="en-US"/>
        </w:rPr>
        <w:t>benchmarks</w:t>
      </w:r>
      <w:r w:rsidR="003E6C76" w:rsidRPr="00B52D53">
        <w:rPr>
          <w:rFonts w:ascii="Calibri" w:hAnsi="Calibri" w:cs="Calibri"/>
          <w:color w:val="auto"/>
          <w:sz w:val="22"/>
          <w:lang w:val="en-US"/>
        </w:rPr>
        <w:t>.</w:t>
      </w:r>
      <w:r w:rsidR="0088291A" w:rsidRPr="00B52D53">
        <w:rPr>
          <w:rFonts w:ascii="Calibri" w:hAnsi="Calibri" w:cs="Calibri"/>
          <w:color w:val="auto"/>
          <w:sz w:val="22"/>
          <w:lang w:val="en-US"/>
        </w:rPr>
        <w:t xml:space="preserve"> Also, </w:t>
      </w:r>
      <w:r w:rsidR="00F81D6A" w:rsidRPr="00B52D53">
        <w:rPr>
          <w:rFonts w:ascii="Calibri" w:hAnsi="Calibri" w:cs="Calibri"/>
          <w:color w:val="auto"/>
          <w:sz w:val="22"/>
          <w:lang w:val="en-US"/>
        </w:rPr>
        <w:t xml:space="preserve">they should </w:t>
      </w:r>
      <w:r w:rsidR="0088291A" w:rsidRPr="00B52D53">
        <w:rPr>
          <w:rFonts w:ascii="Calibri" w:hAnsi="Calibri" w:cs="Calibri"/>
          <w:color w:val="auto"/>
          <w:sz w:val="22"/>
          <w:lang w:val="en-US"/>
        </w:rPr>
        <w:t>include all relevant fees and costs that would be charged to clients.</w:t>
      </w:r>
      <w:r w:rsidR="00AB37A4" w:rsidRPr="00B52D53">
        <w:rPr>
          <w:rFonts w:ascii="Calibri" w:hAnsi="Calibri" w:cs="Calibri"/>
          <w:color w:val="auto"/>
          <w:sz w:val="22"/>
          <w:lang w:val="en-US"/>
        </w:rPr>
        <w:t xml:space="preserve"> Any direct brokerage arrangements</w:t>
      </w:r>
      <w:r w:rsidR="003421CA">
        <w:rPr>
          <w:rFonts w:ascii="Calibri" w:hAnsi="Calibri" w:cs="Calibri"/>
          <w:color w:val="auto"/>
          <w:sz w:val="22"/>
          <w:lang w:val="en-US"/>
        </w:rPr>
        <w:t>/</w:t>
      </w:r>
      <w:r w:rsidR="00AB37A4" w:rsidRPr="00B52D53">
        <w:rPr>
          <w:rFonts w:ascii="Calibri" w:hAnsi="Calibri" w:cs="Calibri"/>
          <w:color w:val="auto"/>
          <w:sz w:val="22"/>
          <w:lang w:val="en-US"/>
        </w:rPr>
        <w:t xml:space="preserve">restrictions should also be documented.  </w:t>
      </w:r>
    </w:p>
    <w:p w14:paraId="54EA49FC" w14:textId="419CE320" w:rsidR="00F24253" w:rsidRPr="00B52D53" w:rsidRDefault="00F24253" w:rsidP="009F73BE">
      <w:pPr>
        <w:pStyle w:val="BodyText"/>
        <w:numPr>
          <w:ilvl w:val="0"/>
          <w:numId w:val="94"/>
        </w:numPr>
        <w:jc w:val="both"/>
        <w:rPr>
          <w:rFonts w:ascii="Calibri" w:hAnsi="Calibri" w:cs="Calibri"/>
          <w:color w:val="auto"/>
          <w:sz w:val="22"/>
          <w:lang w:val="en-US"/>
        </w:rPr>
      </w:pPr>
      <w:r w:rsidRPr="00B52D53">
        <w:rPr>
          <w:rFonts w:ascii="Calibri" w:hAnsi="Calibri" w:cs="Calibri"/>
          <w:b/>
          <w:bCs/>
          <w:color w:val="auto"/>
          <w:sz w:val="22"/>
          <w:lang w:val="en-US"/>
        </w:rPr>
        <w:lastRenderedPageBreak/>
        <w:t>Promotion</w:t>
      </w:r>
      <w:r w:rsidR="003421CA">
        <w:rPr>
          <w:rFonts w:ascii="Calibri" w:hAnsi="Calibri" w:cs="Calibri"/>
          <w:b/>
          <w:bCs/>
          <w:color w:val="auto"/>
          <w:sz w:val="22"/>
          <w:lang w:val="en-US"/>
        </w:rPr>
        <w:t>/</w:t>
      </w:r>
      <w:r w:rsidRPr="00B52D53">
        <w:rPr>
          <w:rFonts w:ascii="Calibri" w:hAnsi="Calibri" w:cs="Calibri"/>
          <w:b/>
          <w:bCs/>
          <w:color w:val="auto"/>
          <w:sz w:val="22"/>
          <w:lang w:val="en-US"/>
        </w:rPr>
        <w:t>Distribution</w:t>
      </w:r>
      <w:r w:rsidRPr="00B52D53">
        <w:rPr>
          <w:rFonts w:ascii="Calibri" w:hAnsi="Calibri" w:cs="Calibri"/>
          <w:color w:val="auto"/>
          <w:sz w:val="22"/>
          <w:lang w:val="en-US"/>
        </w:rPr>
        <w:t xml:space="preserve">: Clearly </w:t>
      </w:r>
      <w:r w:rsidRPr="00B52D53">
        <w:rPr>
          <w:rFonts w:ascii="Calibri" w:hAnsi="Calibri" w:cs="Calibri"/>
          <w:color w:val="auto"/>
          <w:sz w:val="22"/>
          <w:u w:val="single"/>
          <w:lang w:val="en-US"/>
        </w:rPr>
        <w:t>identify any historical performance information</w:t>
      </w:r>
      <w:r w:rsidRPr="00B52D53">
        <w:rPr>
          <w:rFonts w:ascii="Calibri" w:hAnsi="Calibri" w:cs="Calibri"/>
          <w:color w:val="auto"/>
          <w:sz w:val="22"/>
          <w:lang w:val="en-US"/>
        </w:rPr>
        <w:t xml:space="preserve"> used with appropriate disclaimers</w:t>
      </w:r>
      <w:r w:rsidR="00B52D53" w:rsidRPr="00B52D53">
        <w:rPr>
          <w:rFonts w:ascii="Calibri" w:hAnsi="Calibri" w:cs="Calibri"/>
          <w:color w:val="auto"/>
          <w:sz w:val="22"/>
          <w:lang w:val="en-US"/>
        </w:rPr>
        <w:t xml:space="preserve"> and </w:t>
      </w:r>
      <w:r w:rsidR="00B52D53" w:rsidRPr="00B52D53">
        <w:rPr>
          <w:rFonts w:ascii="Calibri" w:hAnsi="Calibri" w:cs="Calibri"/>
          <w:color w:val="auto"/>
          <w:sz w:val="22"/>
          <w:u w:val="single"/>
          <w:lang w:val="en-US"/>
        </w:rPr>
        <w:t>risk disclosures</w:t>
      </w:r>
      <w:r w:rsidR="00B52D53" w:rsidRPr="00B52D53">
        <w:rPr>
          <w:rFonts w:ascii="Calibri" w:hAnsi="Calibri" w:cs="Calibri"/>
          <w:color w:val="auto"/>
          <w:sz w:val="22"/>
          <w:lang w:val="en-US"/>
        </w:rPr>
        <w:t>.</w:t>
      </w:r>
      <w:r w:rsidRPr="00B52D53">
        <w:rPr>
          <w:rFonts w:ascii="Calibri" w:hAnsi="Calibri" w:cs="Calibri"/>
          <w:color w:val="auto"/>
          <w:sz w:val="22"/>
          <w:lang w:val="en-US"/>
        </w:rPr>
        <w:t xml:space="preserve"> </w:t>
      </w:r>
      <w:r w:rsidR="00B52D53" w:rsidRPr="00B52D53">
        <w:rPr>
          <w:rFonts w:ascii="Calibri" w:hAnsi="Calibri" w:cs="Calibri"/>
          <w:color w:val="auto"/>
          <w:sz w:val="22"/>
          <w:lang w:val="en-US"/>
        </w:rPr>
        <w:t xml:space="preserve">Also, </w:t>
      </w:r>
      <w:r w:rsidRPr="00B52D53">
        <w:rPr>
          <w:rFonts w:ascii="Calibri" w:hAnsi="Calibri" w:cs="Calibri"/>
          <w:color w:val="auto"/>
          <w:sz w:val="22"/>
          <w:u w:val="single"/>
          <w:lang w:val="en-US"/>
        </w:rPr>
        <w:t>include all relevant fees</w:t>
      </w:r>
      <w:r w:rsidRPr="00B52D53">
        <w:rPr>
          <w:rFonts w:ascii="Calibri" w:hAnsi="Calibri" w:cs="Calibri"/>
          <w:color w:val="auto"/>
          <w:sz w:val="22"/>
          <w:lang w:val="en-US"/>
        </w:rPr>
        <w:t xml:space="preserve"> in investment management agreements or prospectus (refer to Code on CIS Advertisement for more details). For any distributor carrying out promotion and selling of fund managers’ products (on behalf of fund managers), fund managers should ensure that the </w:t>
      </w:r>
      <w:r w:rsidRPr="00B52D53">
        <w:rPr>
          <w:rFonts w:ascii="Calibri" w:hAnsi="Calibri" w:cs="Calibri"/>
          <w:color w:val="auto"/>
          <w:sz w:val="22"/>
          <w:u w:val="single"/>
          <w:lang w:val="en-US"/>
        </w:rPr>
        <w:t xml:space="preserve">distributor is licensed, </w:t>
      </w:r>
      <w:r w:rsidRPr="00B52D53">
        <w:rPr>
          <w:rFonts w:ascii="Calibri" w:hAnsi="Calibri" w:cs="Calibri"/>
          <w:color w:val="auto"/>
          <w:sz w:val="22"/>
          <w:lang w:val="en-US"/>
        </w:rPr>
        <w:t xml:space="preserve">and </w:t>
      </w:r>
      <w:r w:rsidRPr="00B52D53">
        <w:rPr>
          <w:rFonts w:ascii="Calibri" w:hAnsi="Calibri" w:cs="Calibri"/>
          <w:color w:val="auto"/>
          <w:sz w:val="22"/>
          <w:u w:val="single"/>
          <w:lang w:val="en-US"/>
        </w:rPr>
        <w:t>periodic due diligence reviews</w:t>
      </w:r>
      <w:r w:rsidRPr="00B52D53">
        <w:rPr>
          <w:rFonts w:ascii="Calibri" w:hAnsi="Calibri" w:cs="Calibri"/>
          <w:color w:val="auto"/>
          <w:sz w:val="22"/>
          <w:lang w:val="en-US"/>
        </w:rPr>
        <w:t xml:space="preserve"> are carried out to identify potential issues (e.g., late trading</w:t>
      </w:r>
      <w:r w:rsidRPr="00B52D53">
        <w:rPr>
          <w:rStyle w:val="FootnoteReference"/>
          <w:rFonts w:ascii="Calibri" w:hAnsi="Calibri" w:cs="Calibri"/>
          <w:color w:val="auto"/>
          <w:sz w:val="22"/>
        </w:rPr>
        <w:footnoteReference w:id="3"/>
      </w:r>
      <w:r w:rsidRPr="00B52D53">
        <w:rPr>
          <w:rFonts w:ascii="Calibri" w:hAnsi="Calibri" w:cs="Calibri"/>
          <w:color w:val="auto"/>
          <w:sz w:val="22"/>
          <w:lang w:val="en-US"/>
        </w:rPr>
        <w:t>, market timing</w:t>
      </w:r>
      <w:r w:rsidRPr="00B52D53">
        <w:rPr>
          <w:rStyle w:val="FootnoteReference"/>
          <w:rFonts w:ascii="Calibri" w:hAnsi="Calibri" w:cs="Calibri"/>
          <w:color w:val="auto"/>
          <w:sz w:val="22"/>
        </w:rPr>
        <w:footnoteReference w:id="4"/>
      </w:r>
      <w:r w:rsidRPr="00B52D53">
        <w:rPr>
          <w:rFonts w:ascii="Calibri" w:hAnsi="Calibri" w:cs="Calibri"/>
          <w:color w:val="auto"/>
          <w:sz w:val="22"/>
          <w:lang w:val="en-US"/>
        </w:rPr>
        <w:t>, ML/TF violations etc.). A distribution agreement would facilitate this process.</w:t>
      </w:r>
    </w:p>
    <w:p w14:paraId="5F6CB96A" w14:textId="77777777" w:rsidR="002E7486" w:rsidRPr="00B52D53" w:rsidRDefault="002E7486" w:rsidP="009F73BE">
      <w:pPr>
        <w:pStyle w:val="BodyText"/>
        <w:numPr>
          <w:ilvl w:val="0"/>
          <w:numId w:val="94"/>
        </w:numPr>
        <w:jc w:val="both"/>
        <w:rPr>
          <w:rFonts w:ascii="Calibri" w:hAnsi="Calibri" w:cs="Calibri"/>
          <w:color w:val="auto"/>
          <w:sz w:val="22"/>
          <w:lang w:val="en-US"/>
        </w:rPr>
      </w:pPr>
      <w:r w:rsidRPr="00B52D53">
        <w:rPr>
          <w:rFonts w:ascii="Calibri" w:hAnsi="Calibri" w:cs="Calibri"/>
          <w:b/>
          <w:bCs/>
          <w:color w:val="auto"/>
          <w:sz w:val="22"/>
          <w:lang w:val="en-US"/>
        </w:rPr>
        <w:t>Investment Conduct</w:t>
      </w:r>
      <w:r w:rsidRPr="00B52D53">
        <w:rPr>
          <w:rFonts w:ascii="Calibri" w:hAnsi="Calibri" w:cs="Calibri"/>
          <w:color w:val="auto"/>
          <w:sz w:val="22"/>
          <w:lang w:val="en-US"/>
        </w:rPr>
        <w:t xml:space="preserve">: </w:t>
      </w:r>
    </w:p>
    <w:p w14:paraId="208212B0" w14:textId="77777777" w:rsidR="002E7486" w:rsidRPr="00B52D53" w:rsidRDefault="002E7486" w:rsidP="009F73BE">
      <w:pPr>
        <w:pStyle w:val="BodyText"/>
        <w:numPr>
          <w:ilvl w:val="1"/>
          <w:numId w:val="94"/>
        </w:numPr>
        <w:jc w:val="both"/>
        <w:rPr>
          <w:rFonts w:ascii="Calibri" w:hAnsi="Calibri" w:cs="Calibri"/>
          <w:color w:val="auto"/>
          <w:sz w:val="22"/>
          <w:lang w:val="en-US"/>
        </w:rPr>
      </w:pPr>
      <w:r w:rsidRPr="00B52D53">
        <w:rPr>
          <w:rFonts w:ascii="Calibri" w:hAnsi="Calibri" w:cs="Calibri"/>
          <w:color w:val="auto"/>
          <w:sz w:val="22"/>
          <w:lang w:val="en-US"/>
        </w:rPr>
        <w:t xml:space="preserve">Fund managers should ensure the client </w:t>
      </w:r>
      <w:r w:rsidRPr="00B52D53">
        <w:rPr>
          <w:rFonts w:ascii="Calibri" w:hAnsi="Calibri" w:cs="Calibri"/>
          <w:color w:val="auto"/>
          <w:sz w:val="22"/>
          <w:u w:val="single"/>
          <w:lang w:val="en-US"/>
        </w:rPr>
        <w:t>investment goals are not compromised</w:t>
      </w:r>
      <w:r w:rsidRPr="00B52D53">
        <w:rPr>
          <w:rFonts w:ascii="Calibri" w:hAnsi="Calibri" w:cs="Calibri"/>
          <w:color w:val="auto"/>
          <w:sz w:val="22"/>
          <w:lang w:val="en-US"/>
        </w:rPr>
        <w:t xml:space="preserve"> and take reasonable steps to obtain the </w:t>
      </w:r>
      <w:r w:rsidRPr="00B52D53">
        <w:rPr>
          <w:rFonts w:ascii="Calibri" w:hAnsi="Calibri" w:cs="Calibri"/>
          <w:color w:val="auto"/>
          <w:sz w:val="22"/>
          <w:u w:val="single"/>
          <w:lang w:val="en-US"/>
        </w:rPr>
        <w:t>best execution</w:t>
      </w:r>
      <w:r w:rsidRPr="00B52D53">
        <w:rPr>
          <w:rFonts w:ascii="Calibri" w:hAnsi="Calibri" w:cs="Calibri"/>
          <w:color w:val="auto"/>
          <w:sz w:val="22"/>
          <w:lang w:val="en-US"/>
        </w:rPr>
        <w:t xml:space="preserve"> (in terms of price, cost, speed, size etc.) for clients. </w:t>
      </w:r>
    </w:p>
    <w:p w14:paraId="487B5881" w14:textId="0C15198E" w:rsidR="002E7486" w:rsidRPr="00B52D53" w:rsidRDefault="002E7486" w:rsidP="009F73BE">
      <w:pPr>
        <w:pStyle w:val="BodyText"/>
        <w:numPr>
          <w:ilvl w:val="1"/>
          <w:numId w:val="94"/>
        </w:numPr>
        <w:jc w:val="both"/>
        <w:rPr>
          <w:rFonts w:ascii="Calibri" w:hAnsi="Calibri" w:cs="Calibri"/>
          <w:color w:val="auto"/>
          <w:sz w:val="22"/>
          <w:lang w:val="en-US"/>
        </w:rPr>
      </w:pPr>
      <w:r w:rsidRPr="00B52D53">
        <w:rPr>
          <w:rFonts w:ascii="Calibri" w:hAnsi="Calibri" w:cs="Calibri"/>
          <w:color w:val="auto"/>
          <w:sz w:val="22"/>
          <w:u w:val="single"/>
          <w:lang w:val="en-US"/>
        </w:rPr>
        <w:t>Any cross-trades between clients</w:t>
      </w:r>
      <w:r w:rsidRPr="00B52D53">
        <w:rPr>
          <w:rFonts w:ascii="Calibri" w:hAnsi="Calibri" w:cs="Calibri"/>
          <w:color w:val="auto"/>
          <w:sz w:val="22"/>
          <w:lang w:val="en-US"/>
        </w:rPr>
        <w:t xml:space="preserve"> (e.g., Client A intends to sell security, while Client B intends to buy security) </w:t>
      </w:r>
      <w:r w:rsidRPr="00B52D53">
        <w:rPr>
          <w:rFonts w:ascii="Calibri" w:hAnsi="Calibri" w:cs="Calibri"/>
          <w:color w:val="auto"/>
          <w:sz w:val="22"/>
          <w:u w:val="single"/>
          <w:lang w:val="en-US"/>
        </w:rPr>
        <w:t>are documented prior to execution (together with clients’ consent in writing)</w:t>
      </w:r>
      <w:r w:rsidRPr="00B52D53">
        <w:rPr>
          <w:rFonts w:ascii="Calibri" w:hAnsi="Calibri" w:cs="Calibri"/>
          <w:color w:val="auto"/>
          <w:sz w:val="22"/>
          <w:lang w:val="en-US"/>
        </w:rPr>
        <w:t xml:space="preserve"> and the trades are </w:t>
      </w:r>
      <w:r w:rsidRPr="00B52D53">
        <w:rPr>
          <w:rFonts w:ascii="Calibri" w:hAnsi="Calibri" w:cs="Calibri"/>
          <w:color w:val="auto"/>
          <w:sz w:val="22"/>
          <w:u w:val="single"/>
          <w:lang w:val="en-US"/>
        </w:rPr>
        <w:t>executed at arm’s length</w:t>
      </w:r>
      <w:r w:rsidRPr="00B52D53">
        <w:rPr>
          <w:rFonts w:ascii="Calibri" w:hAnsi="Calibri" w:cs="Calibri"/>
          <w:color w:val="auto"/>
          <w:sz w:val="22"/>
          <w:lang w:val="en-US"/>
        </w:rPr>
        <w:t xml:space="preserve">. </w:t>
      </w:r>
    </w:p>
    <w:p w14:paraId="41B1059D" w14:textId="588687A9" w:rsidR="00F24253" w:rsidRPr="00B52D53" w:rsidRDefault="00F24253" w:rsidP="009F73BE">
      <w:pPr>
        <w:pStyle w:val="BodyText"/>
        <w:numPr>
          <w:ilvl w:val="1"/>
          <w:numId w:val="94"/>
        </w:numPr>
        <w:jc w:val="both"/>
        <w:rPr>
          <w:rFonts w:ascii="Calibri" w:hAnsi="Calibri" w:cs="Calibri"/>
          <w:color w:val="auto"/>
          <w:sz w:val="22"/>
          <w:lang w:val="en-US"/>
        </w:rPr>
      </w:pPr>
      <w:r w:rsidRPr="00B52D53">
        <w:rPr>
          <w:rFonts w:ascii="Calibri" w:hAnsi="Calibri" w:cs="Calibri"/>
          <w:color w:val="auto"/>
          <w:sz w:val="22"/>
          <w:lang w:val="en-US"/>
        </w:rPr>
        <w:t xml:space="preserve">Fund managers should </w:t>
      </w:r>
      <w:r w:rsidRPr="00B52D53">
        <w:rPr>
          <w:rFonts w:ascii="Calibri" w:hAnsi="Calibri" w:cs="Calibri"/>
          <w:color w:val="auto"/>
          <w:sz w:val="22"/>
          <w:u w:val="single"/>
          <w:lang w:val="en-US"/>
        </w:rPr>
        <w:t>not trade excessively</w:t>
      </w:r>
      <w:r w:rsidRPr="00B52D53">
        <w:rPr>
          <w:rFonts w:ascii="Calibri" w:hAnsi="Calibri" w:cs="Calibri"/>
          <w:color w:val="auto"/>
          <w:sz w:val="22"/>
          <w:lang w:val="en-US"/>
        </w:rPr>
        <w:t xml:space="preserve"> (e.g., churning to earn commissions). Also, they should not participate in activities that would generate fees from underwriters. Lastly, </w:t>
      </w:r>
      <w:r w:rsidRPr="00B52D53">
        <w:rPr>
          <w:rFonts w:ascii="Calibri" w:hAnsi="Calibri" w:cs="Calibri"/>
          <w:color w:val="auto"/>
          <w:sz w:val="22"/>
          <w:u w:val="single"/>
          <w:lang w:val="en-US"/>
        </w:rPr>
        <w:t>related party transactions are allowed provided they are fair and conducted at arm’s length</w:t>
      </w:r>
      <w:r w:rsidRPr="00B52D53">
        <w:rPr>
          <w:rFonts w:ascii="Calibri" w:hAnsi="Calibri" w:cs="Calibri"/>
          <w:color w:val="auto"/>
          <w:sz w:val="22"/>
          <w:lang w:val="en-US"/>
        </w:rPr>
        <w:t xml:space="preserve">.  </w:t>
      </w:r>
    </w:p>
    <w:p w14:paraId="10C758A9" w14:textId="462F175B" w:rsidR="00F24253" w:rsidRPr="00B52D53" w:rsidRDefault="00F24253" w:rsidP="009F73BE">
      <w:pPr>
        <w:pStyle w:val="BodyText"/>
        <w:numPr>
          <w:ilvl w:val="1"/>
          <w:numId w:val="94"/>
        </w:numPr>
        <w:jc w:val="both"/>
        <w:rPr>
          <w:rFonts w:ascii="Calibri" w:hAnsi="Calibri" w:cs="Calibri"/>
          <w:color w:val="auto"/>
          <w:sz w:val="22"/>
          <w:lang w:val="en-US"/>
        </w:rPr>
      </w:pPr>
      <w:r w:rsidRPr="00B52D53">
        <w:rPr>
          <w:rFonts w:ascii="Calibri" w:hAnsi="Calibri" w:cs="Calibri"/>
          <w:color w:val="auto"/>
          <w:sz w:val="22"/>
          <w:u w:val="single"/>
          <w:lang w:val="en-US"/>
        </w:rPr>
        <w:t>Controls to limit insider trading</w:t>
      </w:r>
      <w:r w:rsidRPr="00B52D53">
        <w:rPr>
          <w:rFonts w:ascii="Calibri" w:hAnsi="Calibri" w:cs="Calibri"/>
          <w:color w:val="auto"/>
          <w:sz w:val="22"/>
          <w:lang w:val="en-US"/>
        </w:rPr>
        <w:t xml:space="preserve"> (e.g., maintenance of lists, restricted lists for those issuers that fund managers have insider information and</w:t>
      </w:r>
      <w:r w:rsidR="003421CA">
        <w:rPr>
          <w:rFonts w:ascii="Calibri" w:hAnsi="Calibri" w:cs="Calibri"/>
          <w:color w:val="auto"/>
          <w:sz w:val="22"/>
          <w:lang w:val="en-US"/>
        </w:rPr>
        <w:t>/</w:t>
      </w:r>
      <w:r w:rsidR="00283DF6" w:rsidRPr="00B52D53">
        <w:rPr>
          <w:rFonts w:ascii="Calibri" w:hAnsi="Calibri" w:cs="Calibri"/>
          <w:color w:val="auto"/>
          <w:sz w:val="22"/>
          <w:lang w:val="en-US"/>
        </w:rPr>
        <w:t>or</w:t>
      </w:r>
      <w:r w:rsidRPr="00B52D53">
        <w:rPr>
          <w:rFonts w:ascii="Calibri" w:hAnsi="Calibri" w:cs="Calibri"/>
          <w:color w:val="auto"/>
          <w:sz w:val="22"/>
          <w:lang w:val="en-US"/>
        </w:rPr>
        <w:t xml:space="preserve"> use of blackout periods</w:t>
      </w:r>
      <w:r w:rsidR="00283DF6" w:rsidRPr="00B52D53">
        <w:rPr>
          <w:rFonts w:ascii="Calibri" w:hAnsi="Calibri" w:cs="Calibri"/>
          <w:color w:val="auto"/>
          <w:sz w:val="22"/>
          <w:lang w:val="en-US"/>
        </w:rPr>
        <w:t>) should be implemented</w:t>
      </w:r>
      <w:r w:rsidRPr="00B52D53">
        <w:rPr>
          <w:rFonts w:ascii="Calibri" w:hAnsi="Calibri" w:cs="Calibri"/>
          <w:color w:val="auto"/>
          <w:sz w:val="22"/>
          <w:lang w:val="en-US"/>
        </w:rPr>
        <w:t>.</w:t>
      </w:r>
    </w:p>
    <w:p w14:paraId="3FBA8E28" w14:textId="38AB92A2" w:rsidR="00AB37A4" w:rsidRPr="00B52D53" w:rsidRDefault="00AB37A4" w:rsidP="009F73BE">
      <w:pPr>
        <w:pStyle w:val="BodyText"/>
        <w:numPr>
          <w:ilvl w:val="1"/>
          <w:numId w:val="94"/>
        </w:numPr>
        <w:jc w:val="both"/>
        <w:rPr>
          <w:rFonts w:ascii="Calibri" w:hAnsi="Calibri" w:cs="Calibri"/>
          <w:color w:val="auto"/>
          <w:sz w:val="22"/>
          <w:lang w:val="en-US"/>
        </w:rPr>
      </w:pPr>
      <w:r w:rsidRPr="00B52D53">
        <w:rPr>
          <w:rFonts w:ascii="Calibri" w:hAnsi="Calibri" w:cs="Calibri"/>
          <w:color w:val="auto"/>
          <w:sz w:val="22"/>
          <w:lang w:val="en-US"/>
        </w:rPr>
        <w:t xml:space="preserve">Any </w:t>
      </w:r>
      <w:r w:rsidRPr="00B52D53">
        <w:rPr>
          <w:rFonts w:ascii="Calibri" w:hAnsi="Calibri" w:cs="Calibri"/>
          <w:color w:val="auto"/>
          <w:sz w:val="22"/>
          <w:u w:val="single"/>
          <w:lang w:val="en-US"/>
        </w:rPr>
        <w:t>soft dollar commissions, rebates, fees received</w:t>
      </w:r>
      <w:r w:rsidRPr="00B52D53">
        <w:rPr>
          <w:rFonts w:ascii="Calibri" w:hAnsi="Calibri" w:cs="Calibri"/>
          <w:color w:val="auto"/>
          <w:sz w:val="22"/>
          <w:lang w:val="en-US"/>
        </w:rPr>
        <w:t xml:space="preserve"> etc. should be </w:t>
      </w:r>
      <w:r w:rsidRPr="00B52D53">
        <w:rPr>
          <w:rFonts w:ascii="Calibri" w:hAnsi="Calibri" w:cs="Calibri"/>
          <w:color w:val="auto"/>
          <w:sz w:val="22"/>
          <w:u w:val="single"/>
          <w:lang w:val="en-US"/>
        </w:rPr>
        <w:t xml:space="preserve">documented </w:t>
      </w:r>
      <w:r w:rsidR="00B52D53" w:rsidRPr="00B52D53">
        <w:rPr>
          <w:rFonts w:ascii="Calibri" w:hAnsi="Calibri" w:cs="Calibri"/>
          <w:color w:val="auto"/>
          <w:sz w:val="22"/>
          <w:u w:val="single"/>
          <w:lang w:val="en-US"/>
        </w:rPr>
        <w:t>and</w:t>
      </w:r>
      <w:r w:rsidRPr="00B52D53">
        <w:rPr>
          <w:rFonts w:ascii="Calibri" w:hAnsi="Calibri" w:cs="Calibri"/>
          <w:color w:val="auto"/>
          <w:sz w:val="22"/>
          <w:u w:val="single"/>
          <w:lang w:val="en-US"/>
        </w:rPr>
        <w:t xml:space="preserve"> disclosed to clients on an annual basis</w:t>
      </w:r>
      <w:r w:rsidRPr="00B52D53">
        <w:rPr>
          <w:rFonts w:ascii="Calibri" w:hAnsi="Calibri" w:cs="Calibri"/>
          <w:color w:val="auto"/>
          <w:sz w:val="22"/>
          <w:lang w:val="en-US"/>
        </w:rPr>
        <w:t xml:space="preserve"> </w:t>
      </w:r>
      <w:r w:rsidR="00B52D53">
        <w:rPr>
          <w:rFonts w:ascii="Calibri" w:hAnsi="Calibri" w:cs="Calibri"/>
          <w:color w:val="auto"/>
          <w:sz w:val="22"/>
          <w:lang w:val="en-US"/>
        </w:rPr>
        <w:t xml:space="preserve">(via semi-annual and annual reports) </w:t>
      </w:r>
      <w:r w:rsidRPr="00B52D53">
        <w:rPr>
          <w:rFonts w:ascii="Calibri" w:hAnsi="Calibri" w:cs="Calibri"/>
          <w:color w:val="auto"/>
          <w:sz w:val="22"/>
          <w:lang w:val="en-US"/>
        </w:rPr>
        <w:t xml:space="preserve">and </w:t>
      </w:r>
      <w:r w:rsidR="00283DF6" w:rsidRPr="00B52D53">
        <w:rPr>
          <w:rFonts w:ascii="Calibri" w:hAnsi="Calibri" w:cs="Calibri"/>
          <w:color w:val="auto"/>
          <w:sz w:val="22"/>
          <w:u w:val="single"/>
          <w:lang w:val="en-US"/>
        </w:rPr>
        <w:t>accrued</w:t>
      </w:r>
      <w:r w:rsidRPr="00B52D53">
        <w:rPr>
          <w:rFonts w:ascii="Calibri" w:hAnsi="Calibri" w:cs="Calibri"/>
          <w:color w:val="auto"/>
          <w:sz w:val="22"/>
          <w:u w:val="single"/>
          <w:lang w:val="en-US"/>
        </w:rPr>
        <w:t xml:space="preserve"> to clients</w:t>
      </w:r>
      <w:r w:rsidRPr="00B52D53">
        <w:rPr>
          <w:rFonts w:ascii="Calibri" w:hAnsi="Calibri" w:cs="Calibri"/>
          <w:color w:val="auto"/>
          <w:sz w:val="22"/>
          <w:lang w:val="en-US"/>
        </w:rPr>
        <w:t>.</w:t>
      </w:r>
    </w:p>
    <w:p w14:paraId="6FEB08C1" w14:textId="78D9345B" w:rsidR="00F24253" w:rsidRPr="00B52D53" w:rsidRDefault="00F24253" w:rsidP="009F73BE">
      <w:pPr>
        <w:pStyle w:val="BodyText"/>
        <w:numPr>
          <w:ilvl w:val="1"/>
          <w:numId w:val="94"/>
        </w:numPr>
        <w:jc w:val="both"/>
        <w:rPr>
          <w:rFonts w:ascii="Calibri" w:hAnsi="Calibri" w:cs="Calibri"/>
          <w:color w:val="auto"/>
          <w:sz w:val="22"/>
          <w:lang w:val="en-US"/>
        </w:rPr>
      </w:pPr>
      <w:r w:rsidRPr="00B52D53">
        <w:rPr>
          <w:rFonts w:ascii="Calibri" w:hAnsi="Calibri" w:cs="Calibri"/>
          <w:color w:val="auto"/>
          <w:sz w:val="22"/>
          <w:lang w:val="en-US"/>
        </w:rPr>
        <w:t xml:space="preserve">Any conflicts of interests must be recorded, managed appropriately and disclosed to the client. </w:t>
      </w:r>
    </w:p>
    <w:p w14:paraId="79002EBB" w14:textId="2004D25D" w:rsidR="003E6C76" w:rsidRPr="00B52D53" w:rsidRDefault="003E6C76" w:rsidP="009F73BE">
      <w:pPr>
        <w:pStyle w:val="BodyText"/>
        <w:numPr>
          <w:ilvl w:val="0"/>
          <w:numId w:val="94"/>
        </w:numPr>
        <w:jc w:val="both"/>
        <w:rPr>
          <w:rFonts w:ascii="Calibri" w:hAnsi="Calibri" w:cs="Calibri"/>
          <w:color w:val="auto"/>
          <w:sz w:val="22"/>
          <w:lang w:val="en-US"/>
        </w:rPr>
      </w:pPr>
      <w:r w:rsidRPr="00B52D53">
        <w:rPr>
          <w:rFonts w:ascii="Calibri" w:hAnsi="Calibri" w:cs="Calibri"/>
          <w:b/>
          <w:bCs/>
          <w:color w:val="auto"/>
          <w:sz w:val="22"/>
          <w:lang w:val="en-US"/>
        </w:rPr>
        <w:t>Asset Custody</w:t>
      </w:r>
      <w:r w:rsidRPr="00B52D53">
        <w:rPr>
          <w:rFonts w:ascii="Calibri" w:hAnsi="Calibri" w:cs="Calibri"/>
          <w:color w:val="auto"/>
          <w:sz w:val="22"/>
          <w:lang w:val="en-US"/>
        </w:rPr>
        <w:t xml:space="preserve">: Fund managers should ensure </w:t>
      </w:r>
      <w:r w:rsidRPr="00B52D53">
        <w:rPr>
          <w:rFonts w:ascii="Calibri" w:hAnsi="Calibri" w:cs="Calibri"/>
          <w:color w:val="auto"/>
          <w:sz w:val="22"/>
          <w:u w:val="single"/>
          <w:lang w:val="en-US"/>
        </w:rPr>
        <w:t>assets entrusted are safeguarded</w:t>
      </w:r>
      <w:r w:rsidRPr="00B52D53">
        <w:rPr>
          <w:rFonts w:ascii="Calibri" w:hAnsi="Calibri" w:cs="Calibri"/>
          <w:color w:val="auto"/>
          <w:sz w:val="22"/>
          <w:lang w:val="en-US"/>
        </w:rPr>
        <w:t xml:space="preserve">. For custodial arrangements, fund managers should ensure that </w:t>
      </w:r>
      <w:r w:rsidRPr="00B52D53">
        <w:rPr>
          <w:rFonts w:ascii="Calibri" w:hAnsi="Calibri" w:cs="Calibri"/>
          <w:color w:val="auto"/>
          <w:sz w:val="22"/>
          <w:u w:val="single"/>
          <w:lang w:val="en-US"/>
        </w:rPr>
        <w:t>custodian is properly qualified</w:t>
      </w:r>
      <w:r w:rsidRPr="00B52D53">
        <w:rPr>
          <w:rFonts w:ascii="Calibri" w:hAnsi="Calibri" w:cs="Calibri"/>
          <w:color w:val="auto"/>
          <w:sz w:val="22"/>
          <w:lang w:val="en-US"/>
        </w:rPr>
        <w:t xml:space="preserve">, and </w:t>
      </w:r>
      <w:r w:rsidRPr="00B52D53">
        <w:rPr>
          <w:rFonts w:ascii="Calibri" w:hAnsi="Calibri" w:cs="Calibri"/>
          <w:color w:val="auto"/>
          <w:sz w:val="22"/>
          <w:u w:val="single"/>
          <w:lang w:val="en-US"/>
        </w:rPr>
        <w:t>client assets are segregated (at each client) in custodian’s books and maintained with the custodian</w:t>
      </w:r>
      <w:r w:rsidRPr="00B52D53">
        <w:rPr>
          <w:rFonts w:ascii="Calibri" w:hAnsi="Calibri" w:cs="Calibri"/>
          <w:color w:val="auto"/>
          <w:sz w:val="22"/>
          <w:lang w:val="en-US"/>
        </w:rPr>
        <w:t xml:space="preserve">. </w:t>
      </w:r>
    </w:p>
    <w:p w14:paraId="30894441" w14:textId="7B67F899" w:rsidR="00C3212E" w:rsidRPr="00B52D53" w:rsidRDefault="003E6C76" w:rsidP="009F73BE">
      <w:pPr>
        <w:pStyle w:val="BodyText"/>
        <w:numPr>
          <w:ilvl w:val="0"/>
          <w:numId w:val="94"/>
        </w:numPr>
        <w:jc w:val="both"/>
        <w:rPr>
          <w:rFonts w:ascii="Calibri" w:hAnsi="Calibri" w:cs="Calibri"/>
          <w:color w:val="auto"/>
          <w:sz w:val="22"/>
          <w:lang w:val="en-US"/>
        </w:rPr>
      </w:pPr>
      <w:r w:rsidRPr="00B52D53">
        <w:rPr>
          <w:rFonts w:ascii="Calibri" w:hAnsi="Calibri" w:cs="Calibri"/>
          <w:b/>
          <w:bCs/>
          <w:color w:val="auto"/>
          <w:sz w:val="22"/>
          <w:lang w:val="en-US"/>
        </w:rPr>
        <w:t>Reporting:</w:t>
      </w:r>
      <w:r w:rsidRPr="00B52D53">
        <w:rPr>
          <w:rFonts w:ascii="Calibri" w:hAnsi="Calibri" w:cs="Calibri"/>
          <w:color w:val="auto"/>
          <w:sz w:val="22"/>
          <w:lang w:val="en-US"/>
        </w:rPr>
        <w:t xml:space="preserve"> Reporting of these assets should be </w:t>
      </w:r>
      <w:r w:rsidRPr="00B52D53">
        <w:rPr>
          <w:rFonts w:ascii="Calibri" w:hAnsi="Calibri" w:cs="Calibri"/>
          <w:color w:val="auto"/>
          <w:sz w:val="22"/>
          <w:u w:val="single"/>
          <w:lang w:val="en-US"/>
        </w:rPr>
        <w:t>fair, timely and accurate</w:t>
      </w:r>
      <w:r w:rsidRPr="00B52D53">
        <w:rPr>
          <w:rFonts w:ascii="Calibri" w:hAnsi="Calibri" w:cs="Calibri"/>
          <w:color w:val="auto"/>
          <w:sz w:val="22"/>
          <w:lang w:val="en-US"/>
        </w:rPr>
        <w:t xml:space="preserve">. The Global Investment Performance Standards (GIPS) sets out the measurement and reporting. </w:t>
      </w:r>
      <w:r w:rsidRPr="00B52D53">
        <w:rPr>
          <w:rFonts w:ascii="Calibri" w:hAnsi="Calibri" w:cs="Calibri"/>
          <w:color w:val="auto"/>
          <w:sz w:val="22"/>
          <w:u w:val="single"/>
          <w:lang w:val="en-US"/>
        </w:rPr>
        <w:t>For unlisted or unquoted securities, fund managers should disclose the basis of valuation</w:t>
      </w:r>
      <w:r w:rsidRPr="00B52D53">
        <w:rPr>
          <w:rFonts w:ascii="Calibri" w:hAnsi="Calibri" w:cs="Calibri"/>
          <w:color w:val="auto"/>
          <w:sz w:val="22"/>
          <w:lang w:val="en-US"/>
        </w:rPr>
        <w:t>.</w:t>
      </w:r>
      <w:r w:rsidR="007B4941" w:rsidRPr="00B52D53">
        <w:rPr>
          <w:rFonts w:ascii="Calibri" w:hAnsi="Calibri" w:cs="Calibri"/>
          <w:color w:val="auto"/>
          <w:sz w:val="22"/>
          <w:lang w:val="en-US"/>
        </w:rPr>
        <w:t xml:space="preserve"> Lastly, </w:t>
      </w:r>
      <w:r w:rsidR="00B72D51">
        <w:rPr>
          <w:rFonts w:ascii="Calibri" w:hAnsi="Calibri" w:cs="Calibri"/>
          <w:color w:val="auto"/>
          <w:sz w:val="22"/>
          <w:u w:val="single"/>
          <w:lang w:val="en-US"/>
        </w:rPr>
        <w:t>LFMC</w:t>
      </w:r>
      <w:r w:rsidR="007B4941" w:rsidRPr="00B52D53">
        <w:rPr>
          <w:rFonts w:ascii="Calibri" w:hAnsi="Calibri" w:cs="Calibri"/>
          <w:color w:val="auto"/>
          <w:sz w:val="22"/>
          <w:u w:val="single"/>
          <w:lang w:val="en-US"/>
        </w:rPr>
        <w:t xml:space="preserve"> should include all the assets that it has agreement to provide fund management services to the client in its reporting</w:t>
      </w:r>
      <w:r w:rsidR="007B4941" w:rsidRPr="00B52D53">
        <w:rPr>
          <w:rFonts w:ascii="Calibri" w:hAnsi="Calibri" w:cs="Calibri"/>
          <w:color w:val="auto"/>
          <w:sz w:val="22"/>
          <w:lang w:val="en-US"/>
        </w:rPr>
        <w:t xml:space="preserve">. For example, if </w:t>
      </w:r>
      <w:r w:rsidR="00B72D51">
        <w:rPr>
          <w:rFonts w:ascii="Calibri" w:hAnsi="Calibri" w:cs="Calibri"/>
          <w:color w:val="auto"/>
          <w:sz w:val="22"/>
          <w:lang w:val="en-US"/>
        </w:rPr>
        <w:t>LFMC</w:t>
      </w:r>
      <w:r w:rsidR="007B4941" w:rsidRPr="00B52D53">
        <w:rPr>
          <w:rFonts w:ascii="Calibri" w:hAnsi="Calibri" w:cs="Calibri"/>
          <w:color w:val="auto"/>
          <w:sz w:val="22"/>
          <w:lang w:val="en-US"/>
        </w:rPr>
        <w:t xml:space="preserve"> is managing $10M of assets for client and part of it (e.g., $3M) is outsourced to other </w:t>
      </w:r>
      <w:r w:rsidR="00B72D51">
        <w:rPr>
          <w:rFonts w:ascii="Calibri" w:hAnsi="Calibri" w:cs="Calibri"/>
          <w:color w:val="auto"/>
          <w:sz w:val="22"/>
          <w:lang w:val="en-US"/>
        </w:rPr>
        <w:t>LFMC</w:t>
      </w:r>
      <w:r w:rsidR="007B4941" w:rsidRPr="00B52D53">
        <w:rPr>
          <w:rFonts w:ascii="Calibri" w:hAnsi="Calibri" w:cs="Calibri"/>
          <w:color w:val="auto"/>
          <w:sz w:val="22"/>
          <w:lang w:val="en-US"/>
        </w:rPr>
        <w:t>s</w:t>
      </w:r>
      <w:r w:rsidR="003421CA">
        <w:rPr>
          <w:rFonts w:ascii="Calibri" w:hAnsi="Calibri" w:cs="Calibri"/>
          <w:color w:val="auto"/>
          <w:sz w:val="22"/>
          <w:lang w:val="en-US"/>
        </w:rPr>
        <w:t>/</w:t>
      </w:r>
      <w:r w:rsidR="007B4941" w:rsidRPr="00B52D53">
        <w:rPr>
          <w:rFonts w:ascii="Calibri" w:hAnsi="Calibri" w:cs="Calibri"/>
          <w:color w:val="auto"/>
          <w:sz w:val="22"/>
          <w:lang w:val="en-US"/>
        </w:rPr>
        <w:t>sub-advisors, it should still include $10M under its AUM reporting.</w:t>
      </w:r>
    </w:p>
    <w:p w14:paraId="2CA3FBC0" w14:textId="61AFFB94" w:rsidR="00AB37A4" w:rsidRDefault="00AB37A4" w:rsidP="009F73BE">
      <w:pPr>
        <w:pStyle w:val="BodyText"/>
        <w:numPr>
          <w:ilvl w:val="0"/>
          <w:numId w:val="94"/>
        </w:numPr>
        <w:jc w:val="both"/>
        <w:rPr>
          <w:rFonts w:ascii="Calibri" w:hAnsi="Calibri" w:cs="Calibri"/>
          <w:color w:val="auto"/>
          <w:sz w:val="22"/>
          <w:lang w:val="en-US"/>
        </w:rPr>
      </w:pPr>
      <w:r w:rsidRPr="00B52D53">
        <w:rPr>
          <w:rFonts w:ascii="Calibri" w:hAnsi="Calibri" w:cs="Calibri"/>
          <w:b/>
          <w:bCs/>
          <w:color w:val="auto"/>
          <w:sz w:val="22"/>
          <w:lang w:val="en-US"/>
        </w:rPr>
        <w:t>Disciplinary actions</w:t>
      </w:r>
      <w:r w:rsidRPr="00B52D53">
        <w:rPr>
          <w:rFonts w:ascii="Calibri" w:hAnsi="Calibri" w:cs="Calibri"/>
          <w:color w:val="auto"/>
          <w:sz w:val="22"/>
          <w:lang w:val="en-US"/>
        </w:rPr>
        <w:t xml:space="preserve">: </w:t>
      </w:r>
      <w:r w:rsidR="00283DF6" w:rsidRPr="00B52D53">
        <w:rPr>
          <w:rFonts w:ascii="Calibri" w:hAnsi="Calibri" w:cs="Calibri"/>
          <w:color w:val="auto"/>
          <w:sz w:val="22"/>
          <w:lang w:val="en-US"/>
        </w:rPr>
        <w:t xml:space="preserve">(i) Stage 1 Improvement Notice (kept on record for 6 months); (ii) Stage 2 – First Warning Letter (kept on record for 1 year); Stage 3 – Final Warning Letter </w:t>
      </w:r>
      <w:r w:rsidR="00283DF6" w:rsidRPr="00B52D53">
        <w:rPr>
          <w:rFonts w:ascii="Calibri" w:hAnsi="Calibri" w:cs="Calibri"/>
          <w:color w:val="auto"/>
          <w:sz w:val="22"/>
          <w:lang w:val="en-US"/>
        </w:rPr>
        <w:lastRenderedPageBreak/>
        <w:t xml:space="preserve">(kept on record for 1 year); Stage 4 Dismissal of Membership (kept on record for 1 year). Any appeals must be lodged within 5 working days. </w:t>
      </w:r>
    </w:p>
    <w:p w14:paraId="3ABF7EE4" w14:textId="77777777" w:rsidR="00EC2BE7" w:rsidRPr="00B52D53" w:rsidRDefault="00EC2BE7" w:rsidP="00EC2BE7">
      <w:pPr>
        <w:pStyle w:val="BodyText"/>
        <w:ind w:left="720"/>
        <w:jc w:val="both"/>
        <w:rPr>
          <w:rFonts w:ascii="Calibri" w:hAnsi="Calibri" w:cs="Calibri"/>
          <w:color w:val="auto"/>
          <w:sz w:val="22"/>
          <w:lang w:val="en-US"/>
        </w:rPr>
      </w:pPr>
    </w:p>
    <w:p w14:paraId="70F0D200" w14:textId="0D18E558" w:rsidR="000B2FF1" w:rsidRDefault="000B2FF1" w:rsidP="009F73BE">
      <w:pPr>
        <w:pStyle w:val="Heading3"/>
        <w:numPr>
          <w:ilvl w:val="0"/>
          <w:numId w:val="91"/>
        </w:numPr>
        <w:jc w:val="both"/>
        <w:rPr>
          <w:rFonts w:ascii="Calibri" w:hAnsi="Calibri" w:cs="Calibri"/>
          <w:color w:val="auto"/>
          <w:lang w:val="en-US"/>
        </w:rPr>
      </w:pPr>
      <w:r>
        <w:rPr>
          <w:rFonts w:ascii="Calibri" w:hAnsi="Calibri" w:cs="Calibri"/>
          <w:color w:val="auto"/>
          <w:lang w:val="en-US"/>
        </w:rPr>
        <w:t xml:space="preserve">IMAS </w:t>
      </w:r>
      <w:r w:rsidR="0054040F">
        <w:rPr>
          <w:rFonts w:ascii="Calibri" w:hAnsi="Calibri" w:cs="Calibri"/>
          <w:color w:val="auto"/>
          <w:lang w:val="en-US"/>
        </w:rPr>
        <w:t>Guidelines on Corporate Governance</w:t>
      </w:r>
    </w:p>
    <w:p w14:paraId="6F0FACF2" w14:textId="2B4695B7" w:rsidR="00616267" w:rsidRPr="00616267" w:rsidRDefault="00480ABC" w:rsidP="003530EE">
      <w:pPr>
        <w:pStyle w:val="BodyText"/>
        <w:numPr>
          <w:ilvl w:val="0"/>
          <w:numId w:val="117"/>
        </w:numPr>
        <w:jc w:val="both"/>
        <w:rPr>
          <w:rFonts w:ascii="Calibri" w:hAnsi="Calibri" w:cs="Calibri"/>
          <w:color w:val="auto"/>
          <w:sz w:val="22"/>
          <w:lang w:val="en-US"/>
        </w:rPr>
      </w:pPr>
      <w:r>
        <w:rPr>
          <w:rFonts w:ascii="Calibri" w:hAnsi="Calibri" w:cs="Calibri"/>
          <w:color w:val="auto"/>
          <w:sz w:val="22"/>
          <w:lang w:val="en-US"/>
        </w:rPr>
        <w:t>Managers should</w:t>
      </w:r>
      <w:r w:rsidR="00616267">
        <w:rPr>
          <w:rFonts w:ascii="Calibri" w:hAnsi="Calibri" w:cs="Calibri"/>
          <w:color w:val="auto"/>
          <w:sz w:val="22"/>
          <w:lang w:val="en-US"/>
        </w:rPr>
        <w:t xml:space="preserve"> </w:t>
      </w:r>
      <w:r w:rsidR="00E81800">
        <w:rPr>
          <w:rFonts w:ascii="Calibri" w:hAnsi="Calibri" w:cs="Calibri"/>
          <w:color w:val="auto"/>
          <w:sz w:val="22"/>
          <w:lang w:val="en-US"/>
        </w:rPr>
        <w:t xml:space="preserve">satisfy to themselves about the </w:t>
      </w:r>
      <w:r w:rsidR="00E81800" w:rsidRPr="00551D66">
        <w:rPr>
          <w:rFonts w:ascii="Calibri" w:hAnsi="Calibri" w:cs="Calibri"/>
          <w:color w:val="auto"/>
          <w:sz w:val="22"/>
          <w:u w:val="single"/>
          <w:lang w:val="en-US"/>
        </w:rPr>
        <w:t>extent of compliance by their investee companies</w:t>
      </w:r>
      <w:r w:rsidR="00E81800">
        <w:rPr>
          <w:rFonts w:ascii="Calibri" w:hAnsi="Calibri" w:cs="Calibri"/>
          <w:color w:val="auto"/>
          <w:sz w:val="22"/>
          <w:lang w:val="en-US"/>
        </w:rPr>
        <w:t xml:space="preserve"> with the recommendations of the Code of Corporate Governance </w:t>
      </w:r>
      <w:r w:rsidR="00551D66">
        <w:rPr>
          <w:rFonts w:ascii="Calibri" w:hAnsi="Calibri" w:cs="Calibri"/>
          <w:color w:val="auto"/>
          <w:sz w:val="22"/>
          <w:lang w:val="en-US"/>
        </w:rPr>
        <w:t>issued by MAS</w:t>
      </w:r>
      <w:r w:rsidR="00616267">
        <w:rPr>
          <w:rFonts w:ascii="Calibri" w:hAnsi="Calibri" w:cs="Calibri"/>
          <w:color w:val="auto"/>
          <w:sz w:val="22"/>
          <w:lang w:val="en-US"/>
        </w:rPr>
        <w:t xml:space="preserve"> –</w:t>
      </w:r>
    </w:p>
    <w:p w14:paraId="5052F87E" w14:textId="3501D5F8" w:rsidR="00AF2DF2" w:rsidRDefault="00B41CCD"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Clear policy on the evaluation</w:t>
      </w:r>
      <w:r w:rsidR="00616267">
        <w:rPr>
          <w:rFonts w:ascii="Calibri" w:hAnsi="Calibri" w:cs="Calibri"/>
          <w:color w:val="auto"/>
          <w:sz w:val="22"/>
          <w:lang w:val="en-US"/>
        </w:rPr>
        <w:t xml:space="preserve"> of</w:t>
      </w:r>
      <w:r>
        <w:rPr>
          <w:rFonts w:ascii="Calibri" w:hAnsi="Calibri" w:cs="Calibri"/>
          <w:color w:val="auto"/>
          <w:sz w:val="22"/>
          <w:lang w:val="en-US"/>
        </w:rPr>
        <w:t xml:space="preserve"> corporate governance activities of investee companies in their written corporate governance policies</w:t>
      </w:r>
    </w:p>
    <w:p w14:paraId="4D98A9D2" w14:textId="1B64CA3F" w:rsidR="00616267" w:rsidRDefault="00616267"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 xml:space="preserve">Exercise </w:t>
      </w:r>
      <w:r w:rsidR="00262FD3">
        <w:rPr>
          <w:rFonts w:ascii="Calibri" w:hAnsi="Calibri" w:cs="Calibri"/>
          <w:color w:val="auto"/>
          <w:sz w:val="22"/>
          <w:lang w:val="en-US"/>
        </w:rPr>
        <w:t>voting rights actively during meetings</w:t>
      </w:r>
    </w:p>
    <w:p w14:paraId="5C71F314" w14:textId="7BC5B6C8" w:rsidR="00262FD3" w:rsidRDefault="00262FD3"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 xml:space="preserve">Clear </w:t>
      </w:r>
      <w:r w:rsidR="005868EF">
        <w:rPr>
          <w:rFonts w:ascii="Calibri" w:hAnsi="Calibri" w:cs="Calibri"/>
          <w:color w:val="auto"/>
          <w:sz w:val="22"/>
          <w:lang w:val="en-US"/>
        </w:rPr>
        <w:t>voting policies and procedures to ensure proxies are voted in the best interest of their clients</w:t>
      </w:r>
    </w:p>
    <w:p w14:paraId="4682124B" w14:textId="77777777" w:rsidR="005868EF" w:rsidRDefault="005868EF" w:rsidP="00432FC5">
      <w:pPr>
        <w:pStyle w:val="BodyText"/>
        <w:jc w:val="both"/>
        <w:rPr>
          <w:rFonts w:ascii="Calibri" w:hAnsi="Calibri" w:cs="Calibri"/>
          <w:color w:val="auto"/>
          <w:sz w:val="22"/>
          <w:lang w:val="en-US"/>
        </w:rPr>
      </w:pPr>
    </w:p>
    <w:p w14:paraId="1DFE7655" w14:textId="05699306" w:rsidR="00432FC5" w:rsidRDefault="00432FC5" w:rsidP="00432FC5">
      <w:pPr>
        <w:pStyle w:val="Heading3"/>
        <w:numPr>
          <w:ilvl w:val="0"/>
          <w:numId w:val="91"/>
        </w:numPr>
        <w:jc w:val="both"/>
        <w:rPr>
          <w:rFonts w:ascii="Calibri" w:hAnsi="Calibri" w:cs="Calibri"/>
          <w:color w:val="auto"/>
          <w:lang w:val="en-US"/>
        </w:rPr>
      </w:pPr>
      <w:r>
        <w:rPr>
          <w:rFonts w:ascii="Calibri" w:hAnsi="Calibri" w:cs="Calibri"/>
          <w:color w:val="auto"/>
          <w:lang w:val="en-US"/>
        </w:rPr>
        <w:t>IMAS Guiding Principles for Investment Risk and Performance Analysis Functions</w:t>
      </w:r>
    </w:p>
    <w:p w14:paraId="241DD121" w14:textId="3D86ABCB" w:rsidR="00DA56A8" w:rsidRDefault="00DA56A8" w:rsidP="003530EE">
      <w:pPr>
        <w:pStyle w:val="BodyText"/>
        <w:numPr>
          <w:ilvl w:val="0"/>
          <w:numId w:val="117"/>
        </w:numPr>
        <w:jc w:val="both"/>
        <w:rPr>
          <w:rFonts w:ascii="Calibri" w:hAnsi="Calibri" w:cs="Calibri"/>
          <w:color w:val="auto"/>
          <w:sz w:val="22"/>
          <w:lang w:val="en-US"/>
        </w:rPr>
      </w:pPr>
      <w:r w:rsidRPr="00DA56A8">
        <w:rPr>
          <w:rFonts w:ascii="Calibri" w:hAnsi="Calibri" w:cs="Calibri"/>
          <w:b/>
          <w:bCs/>
          <w:color w:val="auto"/>
          <w:sz w:val="22"/>
          <w:lang w:val="en-US"/>
        </w:rPr>
        <w:t>Governance</w:t>
      </w:r>
      <w:r>
        <w:rPr>
          <w:rFonts w:ascii="Calibri" w:hAnsi="Calibri" w:cs="Calibri"/>
          <w:color w:val="auto"/>
          <w:sz w:val="22"/>
          <w:lang w:val="en-US"/>
        </w:rPr>
        <w:t xml:space="preserve">: </w:t>
      </w:r>
      <w:r w:rsidR="009F49BB">
        <w:rPr>
          <w:rFonts w:ascii="Calibri" w:hAnsi="Calibri" w:cs="Calibri"/>
          <w:color w:val="auto"/>
          <w:sz w:val="22"/>
          <w:lang w:val="en-US"/>
        </w:rPr>
        <w:t xml:space="preserve">This unit </w:t>
      </w:r>
      <w:r w:rsidR="009F49BB" w:rsidRPr="001055A7">
        <w:rPr>
          <w:rFonts w:ascii="Calibri" w:hAnsi="Calibri" w:cs="Calibri"/>
          <w:color w:val="auto"/>
          <w:sz w:val="22"/>
          <w:u w:val="single"/>
          <w:lang w:val="en-US"/>
        </w:rPr>
        <w:t xml:space="preserve">sits independently from the investment function to </w:t>
      </w:r>
      <w:r w:rsidR="001055A7" w:rsidRPr="001055A7">
        <w:rPr>
          <w:rFonts w:ascii="Calibri" w:hAnsi="Calibri" w:cs="Calibri"/>
          <w:color w:val="auto"/>
          <w:sz w:val="22"/>
          <w:u w:val="single"/>
          <w:lang w:val="en-US"/>
        </w:rPr>
        <w:t>provide information on the investment firm’s exposures, concentrations and strategies</w:t>
      </w:r>
      <w:r w:rsidR="001055A7">
        <w:rPr>
          <w:rFonts w:ascii="Calibri" w:hAnsi="Calibri" w:cs="Calibri"/>
          <w:color w:val="auto"/>
          <w:sz w:val="22"/>
          <w:lang w:val="en-US"/>
        </w:rPr>
        <w:t xml:space="preserve">, which could be used to </w:t>
      </w:r>
      <w:r w:rsidR="00061A83">
        <w:rPr>
          <w:rFonts w:ascii="Calibri" w:hAnsi="Calibri" w:cs="Calibri"/>
          <w:color w:val="auto"/>
          <w:sz w:val="22"/>
          <w:lang w:val="en-US"/>
        </w:rPr>
        <w:t>maintain ongoing policies.</w:t>
      </w:r>
    </w:p>
    <w:p w14:paraId="470EE3C8" w14:textId="1DFB0A9E" w:rsidR="00277DDB" w:rsidRPr="00277DDB" w:rsidRDefault="00061A83" w:rsidP="003530EE">
      <w:pPr>
        <w:pStyle w:val="BodyText"/>
        <w:numPr>
          <w:ilvl w:val="0"/>
          <w:numId w:val="117"/>
        </w:numPr>
        <w:jc w:val="both"/>
        <w:rPr>
          <w:rFonts w:ascii="Calibri" w:hAnsi="Calibri" w:cs="Calibri"/>
          <w:color w:val="auto"/>
          <w:sz w:val="22"/>
          <w:lang w:val="en-US"/>
        </w:rPr>
      </w:pPr>
      <w:r w:rsidRPr="00061A83">
        <w:rPr>
          <w:rFonts w:ascii="Calibri" w:hAnsi="Calibri" w:cs="Calibri"/>
          <w:b/>
          <w:bCs/>
          <w:color w:val="auto"/>
          <w:sz w:val="22"/>
          <w:lang w:val="en-US"/>
        </w:rPr>
        <w:t>Investment Risk Management</w:t>
      </w:r>
      <w:r>
        <w:rPr>
          <w:rFonts w:ascii="Calibri" w:hAnsi="Calibri" w:cs="Calibri"/>
          <w:color w:val="auto"/>
          <w:sz w:val="22"/>
          <w:lang w:val="en-US"/>
        </w:rPr>
        <w:t xml:space="preserve">: </w:t>
      </w:r>
      <w:r w:rsidR="00290872">
        <w:rPr>
          <w:rFonts w:ascii="Calibri" w:hAnsi="Calibri" w:cs="Calibri"/>
          <w:color w:val="auto"/>
          <w:sz w:val="22"/>
          <w:lang w:val="en-US"/>
        </w:rPr>
        <w:t>I</w:t>
      </w:r>
      <w:r w:rsidR="00C47409">
        <w:rPr>
          <w:rFonts w:ascii="Calibri" w:hAnsi="Calibri" w:cs="Calibri"/>
          <w:color w:val="auto"/>
          <w:sz w:val="22"/>
          <w:lang w:val="en-US"/>
        </w:rPr>
        <w:t>ndependently measured and monitored</w:t>
      </w:r>
      <w:r w:rsidR="00277DDB">
        <w:rPr>
          <w:rFonts w:ascii="Calibri" w:hAnsi="Calibri" w:cs="Calibri"/>
          <w:color w:val="auto"/>
          <w:sz w:val="22"/>
          <w:lang w:val="en-US"/>
        </w:rPr>
        <w:t xml:space="preserve"> </w:t>
      </w:r>
      <w:r w:rsidR="00290872">
        <w:rPr>
          <w:rFonts w:ascii="Calibri" w:hAnsi="Calibri" w:cs="Calibri"/>
          <w:color w:val="auto"/>
          <w:sz w:val="22"/>
          <w:lang w:val="en-US"/>
        </w:rPr>
        <w:t xml:space="preserve">for these areas </w:t>
      </w:r>
      <w:r w:rsidR="00277DDB">
        <w:rPr>
          <w:rFonts w:ascii="Calibri" w:hAnsi="Calibri" w:cs="Calibri"/>
          <w:color w:val="auto"/>
          <w:sz w:val="22"/>
          <w:lang w:val="en-US"/>
        </w:rPr>
        <w:t xml:space="preserve">– </w:t>
      </w:r>
    </w:p>
    <w:p w14:paraId="5736058D" w14:textId="77777777" w:rsidR="00612F62" w:rsidRDefault="00116017"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Implement portfolio and execution risk controls</w:t>
      </w:r>
    </w:p>
    <w:p w14:paraId="73AB73B7" w14:textId="77777777" w:rsidR="00612F62" w:rsidRDefault="00612F62"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 xml:space="preserve">Understand risk concentrations </w:t>
      </w:r>
    </w:p>
    <w:p w14:paraId="06ED7ED8" w14:textId="62D4A823" w:rsidR="001055A7" w:rsidRDefault="00612F62"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 xml:space="preserve">Portfolios should </w:t>
      </w:r>
      <w:r w:rsidR="00277DDB">
        <w:rPr>
          <w:rFonts w:ascii="Calibri" w:hAnsi="Calibri" w:cs="Calibri"/>
          <w:color w:val="auto"/>
          <w:sz w:val="22"/>
          <w:lang w:val="en-US"/>
        </w:rPr>
        <w:t>be regularly stress-</w:t>
      </w:r>
      <w:r w:rsidR="00290872">
        <w:rPr>
          <w:rFonts w:ascii="Calibri" w:hAnsi="Calibri" w:cs="Calibri"/>
          <w:color w:val="auto"/>
          <w:sz w:val="22"/>
          <w:lang w:val="en-US"/>
        </w:rPr>
        <w:t>tested,</w:t>
      </w:r>
      <w:r w:rsidR="00277DDB">
        <w:rPr>
          <w:rFonts w:ascii="Calibri" w:hAnsi="Calibri" w:cs="Calibri"/>
          <w:color w:val="auto"/>
          <w:sz w:val="22"/>
          <w:lang w:val="en-US"/>
        </w:rPr>
        <w:t xml:space="preserve"> and scenario analysis should be performed</w:t>
      </w:r>
    </w:p>
    <w:p w14:paraId="4071E924" w14:textId="6BAA1A3A" w:rsidR="00290872" w:rsidRDefault="00290872"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 xml:space="preserve">Portfolio liquidity risks should be measured and monitored </w:t>
      </w:r>
    </w:p>
    <w:p w14:paraId="2A4A70DB" w14:textId="616BBEDB" w:rsidR="00290872" w:rsidRDefault="00FB0AA0" w:rsidP="003530EE">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 xml:space="preserve">Risk models should be </w:t>
      </w:r>
      <w:proofErr w:type="gramStart"/>
      <w:r>
        <w:rPr>
          <w:rFonts w:ascii="Calibri" w:hAnsi="Calibri" w:cs="Calibri"/>
          <w:color w:val="auto"/>
          <w:sz w:val="22"/>
          <w:lang w:val="en-US"/>
        </w:rPr>
        <w:t>back-tested</w:t>
      </w:r>
      <w:proofErr w:type="gramEnd"/>
      <w:r>
        <w:rPr>
          <w:rFonts w:ascii="Calibri" w:hAnsi="Calibri" w:cs="Calibri"/>
          <w:color w:val="auto"/>
          <w:sz w:val="22"/>
          <w:lang w:val="en-US"/>
        </w:rPr>
        <w:t xml:space="preserve"> on a regular basis to ascertain the goodness of fit</w:t>
      </w:r>
      <w:r w:rsidR="000E2145">
        <w:rPr>
          <w:rFonts w:ascii="Calibri" w:hAnsi="Calibri" w:cs="Calibri"/>
          <w:color w:val="auto"/>
          <w:sz w:val="22"/>
          <w:lang w:val="en-US"/>
        </w:rPr>
        <w:t>, and independently reviewed and authorized</w:t>
      </w:r>
    </w:p>
    <w:p w14:paraId="5E26C5DD" w14:textId="77777777" w:rsidR="0037387A" w:rsidRDefault="000E2145" w:rsidP="003530EE">
      <w:pPr>
        <w:pStyle w:val="BodyText"/>
        <w:numPr>
          <w:ilvl w:val="0"/>
          <w:numId w:val="117"/>
        </w:numPr>
        <w:jc w:val="both"/>
        <w:rPr>
          <w:rFonts w:ascii="Calibri" w:hAnsi="Calibri" w:cs="Calibri"/>
          <w:color w:val="auto"/>
          <w:sz w:val="22"/>
          <w:lang w:val="en-US"/>
        </w:rPr>
      </w:pPr>
      <w:r w:rsidRPr="000E2145">
        <w:rPr>
          <w:rFonts w:ascii="Calibri" w:hAnsi="Calibri" w:cs="Calibri"/>
          <w:b/>
          <w:bCs/>
          <w:color w:val="auto"/>
          <w:sz w:val="22"/>
          <w:lang w:val="en-US"/>
        </w:rPr>
        <w:t>Performance Analysis</w:t>
      </w:r>
      <w:r>
        <w:rPr>
          <w:rFonts w:ascii="Calibri" w:hAnsi="Calibri" w:cs="Calibri"/>
          <w:color w:val="auto"/>
          <w:sz w:val="22"/>
          <w:lang w:val="en-US"/>
        </w:rPr>
        <w:t xml:space="preserve">: </w:t>
      </w:r>
    </w:p>
    <w:p w14:paraId="1AD570B6" w14:textId="5284C6C3" w:rsidR="006400B7" w:rsidRDefault="0037387A" w:rsidP="003530EE">
      <w:pPr>
        <w:pStyle w:val="BodyText"/>
        <w:numPr>
          <w:ilvl w:val="1"/>
          <w:numId w:val="117"/>
        </w:numPr>
        <w:jc w:val="both"/>
        <w:rPr>
          <w:rFonts w:ascii="Calibri" w:hAnsi="Calibri" w:cs="Calibri"/>
          <w:color w:val="auto"/>
          <w:sz w:val="22"/>
          <w:lang w:val="en-US"/>
        </w:rPr>
      </w:pPr>
      <w:r w:rsidRPr="009969EE">
        <w:rPr>
          <w:rFonts w:ascii="Calibri" w:hAnsi="Calibri" w:cs="Calibri"/>
          <w:color w:val="auto"/>
          <w:sz w:val="22"/>
          <w:u w:val="single"/>
          <w:lang w:val="en-US"/>
        </w:rPr>
        <w:t>Fund performance should be reviewed regularly with both pure ex-</w:t>
      </w:r>
      <w:proofErr w:type="spellStart"/>
      <w:r w:rsidRPr="009969EE">
        <w:rPr>
          <w:rFonts w:ascii="Calibri" w:hAnsi="Calibri" w:cs="Calibri"/>
          <w:color w:val="auto"/>
          <w:sz w:val="22"/>
          <w:u w:val="single"/>
          <w:lang w:val="en-US"/>
        </w:rPr>
        <w:t xml:space="preserve">post </w:t>
      </w:r>
      <w:r w:rsidR="006400B7" w:rsidRPr="009969EE">
        <w:rPr>
          <w:rFonts w:ascii="Calibri" w:hAnsi="Calibri" w:cs="Calibri"/>
          <w:color w:val="auto"/>
          <w:sz w:val="22"/>
          <w:u w:val="single"/>
          <w:lang w:val="en-US"/>
        </w:rPr>
        <w:t>performance</w:t>
      </w:r>
      <w:proofErr w:type="spellEnd"/>
      <w:r w:rsidR="006400B7">
        <w:rPr>
          <w:rFonts w:ascii="Calibri" w:hAnsi="Calibri" w:cs="Calibri"/>
          <w:color w:val="auto"/>
          <w:sz w:val="22"/>
          <w:lang w:val="en-US"/>
        </w:rPr>
        <w:t xml:space="preserve"> </w:t>
      </w:r>
      <w:r w:rsidR="009969EE" w:rsidRPr="009969EE">
        <w:rPr>
          <w:rFonts w:ascii="Calibri" w:hAnsi="Calibri" w:cs="Calibri"/>
          <w:color w:val="auto"/>
          <w:sz w:val="22"/>
          <w:u w:val="single"/>
          <w:lang w:val="en-US"/>
        </w:rPr>
        <w:t>statistics</w:t>
      </w:r>
      <w:r w:rsidR="009969EE">
        <w:rPr>
          <w:rFonts w:ascii="Calibri" w:hAnsi="Calibri" w:cs="Calibri"/>
          <w:color w:val="auto"/>
          <w:sz w:val="22"/>
          <w:lang w:val="en-US"/>
        </w:rPr>
        <w:t xml:space="preserve"> </w:t>
      </w:r>
      <w:r w:rsidR="005E61D1">
        <w:rPr>
          <w:rFonts w:ascii="Calibri" w:hAnsi="Calibri" w:cs="Calibri"/>
          <w:color w:val="auto"/>
          <w:sz w:val="22"/>
          <w:lang w:val="en-US"/>
        </w:rPr>
        <w:t xml:space="preserve">(i.e., historical) </w:t>
      </w:r>
      <w:r w:rsidR="009969EE" w:rsidRPr="009969EE">
        <w:rPr>
          <w:rFonts w:ascii="Calibri" w:hAnsi="Calibri" w:cs="Calibri"/>
          <w:color w:val="auto"/>
          <w:sz w:val="22"/>
          <w:u w:val="single"/>
          <w:lang w:val="en-US"/>
        </w:rPr>
        <w:t>a</w:t>
      </w:r>
      <w:r w:rsidR="006400B7" w:rsidRPr="009969EE">
        <w:rPr>
          <w:rFonts w:ascii="Calibri" w:hAnsi="Calibri" w:cs="Calibri"/>
          <w:color w:val="auto"/>
          <w:sz w:val="22"/>
          <w:u w:val="single"/>
          <w:lang w:val="en-US"/>
        </w:rPr>
        <w:t>nd ex-ante risk measures</w:t>
      </w:r>
      <w:r w:rsidR="005E61D1">
        <w:rPr>
          <w:rFonts w:ascii="Calibri" w:hAnsi="Calibri" w:cs="Calibri"/>
          <w:color w:val="auto"/>
          <w:sz w:val="22"/>
          <w:lang w:val="en-US"/>
        </w:rPr>
        <w:t xml:space="preserve"> (i.e., based on estimations/predictions using </w:t>
      </w:r>
      <w:r w:rsidR="009969EE">
        <w:rPr>
          <w:rFonts w:ascii="Calibri" w:hAnsi="Calibri" w:cs="Calibri"/>
          <w:color w:val="auto"/>
          <w:sz w:val="22"/>
          <w:lang w:val="en-US"/>
        </w:rPr>
        <w:t>current data and assumptions)</w:t>
      </w:r>
      <w:r w:rsidR="006400B7">
        <w:rPr>
          <w:rFonts w:ascii="Calibri" w:hAnsi="Calibri" w:cs="Calibri"/>
          <w:color w:val="auto"/>
          <w:sz w:val="22"/>
          <w:lang w:val="en-US"/>
        </w:rPr>
        <w:t xml:space="preserve">. </w:t>
      </w:r>
    </w:p>
    <w:p w14:paraId="5605265D" w14:textId="2A566B11" w:rsidR="00283DF6" w:rsidRPr="000053B9" w:rsidRDefault="006400B7" w:rsidP="000053B9">
      <w:pPr>
        <w:pStyle w:val="BodyText"/>
        <w:numPr>
          <w:ilvl w:val="1"/>
          <w:numId w:val="117"/>
        </w:numPr>
        <w:jc w:val="both"/>
        <w:rPr>
          <w:rFonts w:ascii="Calibri" w:hAnsi="Calibri" w:cs="Calibri"/>
          <w:color w:val="auto"/>
          <w:sz w:val="22"/>
          <w:lang w:val="en-US"/>
        </w:rPr>
      </w:pPr>
      <w:r>
        <w:rPr>
          <w:rFonts w:ascii="Calibri" w:hAnsi="Calibri" w:cs="Calibri"/>
          <w:color w:val="auto"/>
          <w:sz w:val="22"/>
          <w:lang w:val="en-US"/>
        </w:rPr>
        <w:t xml:space="preserve">Regular </w:t>
      </w:r>
      <w:r w:rsidRPr="009969EE">
        <w:rPr>
          <w:rFonts w:ascii="Calibri" w:hAnsi="Calibri" w:cs="Calibri"/>
          <w:color w:val="auto"/>
          <w:sz w:val="22"/>
          <w:u w:val="single"/>
          <w:lang w:val="en-US"/>
        </w:rPr>
        <w:t xml:space="preserve">performance attribution </w:t>
      </w:r>
      <w:r w:rsidR="0087213D" w:rsidRPr="009969EE">
        <w:rPr>
          <w:rFonts w:ascii="Calibri" w:hAnsi="Calibri" w:cs="Calibri"/>
          <w:color w:val="auto"/>
          <w:sz w:val="22"/>
          <w:u w:val="single"/>
          <w:lang w:val="en-US"/>
        </w:rPr>
        <w:t xml:space="preserve">to </w:t>
      </w:r>
      <w:r w:rsidR="009969EE">
        <w:rPr>
          <w:rFonts w:ascii="Calibri" w:hAnsi="Calibri" w:cs="Calibri"/>
          <w:color w:val="auto"/>
          <w:sz w:val="22"/>
          <w:u w:val="single"/>
          <w:lang w:val="en-US"/>
        </w:rPr>
        <w:t>identify</w:t>
      </w:r>
      <w:r w:rsidR="0087213D" w:rsidRPr="009969EE">
        <w:rPr>
          <w:rFonts w:ascii="Calibri" w:hAnsi="Calibri" w:cs="Calibri"/>
          <w:color w:val="auto"/>
          <w:sz w:val="22"/>
          <w:u w:val="single"/>
          <w:lang w:val="en-US"/>
        </w:rPr>
        <w:t xml:space="preserve"> over-/under- performance</w:t>
      </w:r>
      <w:r>
        <w:rPr>
          <w:rFonts w:ascii="Calibri" w:hAnsi="Calibri" w:cs="Calibri"/>
          <w:color w:val="auto"/>
          <w:sz w:val="22"/>
          <w:lang w:val="en-US"/>
        </w:rPr>
        <w:t xml:space="preserve"> </w:t>
      </w:r>
      <w:r w:rsidR="000E2145">
        <w:rPr>
          <w:rFonts w:ascii="Calibri" w:hAnsi="Calibri" w:cs="Calibri"/>
          <w:color w:val="auto"/>
          <w:sz w:val="22"/>
          <w:lang w:val="en-US"/>
        </w:rPr>
        <w:t xml:space="preserve"> </w:t>
      </w:r>
    </w:p>
    <w:p w14:paraId="164B7B34" w14:textId="29FDBAF6" w:rsidR="00AB37A4" w:rsidRPr="00B52D53" w:rsidRDefault="00AB37A4" w:rsidP="00283DF6">
      <w:pPr>
        <w:pStyle w:val="BodyText"/>
        <w:ind w:left="720"/>
        <w:jc w:val="both"/>
        <w:rPr>
          <w:rFonts w:ascii="Calibri" w:hAnsi="Calibri" w:cs="Calibri"/>
          <w:color w:val="auto"/>
          <w:sz w:val="22"/>
          <w:lang w:val="en-US"/>
        </w:rPr>
      </w:pPr>
    </w:p>
    <w:p w14:paraId="40500EC0" w14:textId="3FC4ADF0" w:rsidR="008B5FFB" w:rsidRPr="00B52D53" w:rsidRDefault="008B5FFB" w:rsidP="00DA459B">
      <w:pPr>
        <w:pStyle w:val="Heading2"/>
        <w:jc w:val="both"/>
        <w:rPr>
          <w:rFonts w:ascii="Calibri" w:hAnsi="Calibri" w:cs="Calibri"/>
          <w:color w:val="auto"/>
          <w:lang w:val="en-US"/>
        </w:rPr>
      </w:pPr>
      <w:r w:rsidRPr="00B52D53">
        <w:rPr>
          <w:rFonts w:ascii="Calibri" w:hAnsi="Calibri" w:cs="Calibri"/>
          <w:color w:val="auto"/>
          <w:lang w:val="en-US"/>
        </w:rPr>
        <w:t xml:space="preserve">Chapter </w:t>
      </w:r>
      <w:r w:rsidR="00260D71" w:rsidRPr="00B52D53">
        <w:rPr>
          <w:rFonts w:ascii="Calibri" w:hAnsi="Calibri" w:cs="Calibri"/>
          <w:color w:val="auto"/>
          <w:lang w:val="en-US"/>
        </w:rPr>
        <w:t>3</w:t>
      </w:r>
      <w:r w:rsidRPr="00B52D53">
        <w:rPr>
          <w:rFonts w:ascii="Calibri" w:hAnsi="Calibri" w:cs="Calibri"/>
          <w:color w:val="auto"/>
          <w:lang w:val="en-US"/>
        </w:rPr>
        <w:t xml:space="preserve"> – </w:t>
      </w:r>
      <w:r w:rsidR="00260D71" w:rsidRPr="00B52D53">
        <w:rPr>
          <w:rFonts w:ascii="Calibri" w:hAnsi="Calibri" w:cs="Calibri"/>
          <w:color w:val="auto"/>
          <w:lang w:val="en-US"/>
        </w:rPr>
        <w:t xml:space="preserve">Licensing Requirements for </w:t>
      </w:r>
      <w:r w:rsidRPr="00B52D53">
        <w:rPr>
          <w:rFonts w:ascii="Calibri" w:hAnsi="Calibri" w:cs="Calibri"/>
          <w:color w:val="auto"/>
          <w:lang w:val="en-US"/>
        </w:rPr>
        <w:t xml:space="preserve">Fund Management </w:t>
      </w:r>
    </w:p>
    <w:p w14:paraId="7F18C2FE" w14:textId="3086DA16" w:rsidR="007B4941" w:rsidRPr="00B52D53" w:rsidRDefault="00427460" w:rsidP="00427460">
      <w:pPr>
        <w:pStyle w:val="Heading3"/>
        <w:jc w:val="both"/>
        <w:rPr>
          <w:rFonts w:ascii="Calibri" w:hAnsi="Calibri" w:cs="Calibri"/>
          <w:color w:val="auto"/>
          <w:lang w:val="en-US"/>
        </w:rPr>
      </w:pPr>
      <w:r>
        <w:rPr>
          <w:rFonts w:ascii="Calibri" w:hAnsi="Calibri" w:cs="Calibri"/>
          <w:color w:val="auto"/>
          <w:lang w:val="en-US"/>
        </w:rPr>
        <w:t xml:space="preserve">1. </w:t>
      </w:r>
      <w:r w:rsidR="00DF4A67">
        <w:rPr>
          <w:rFonts w:ascii="Calibri" w:hAnsi="Calibri" w:cs="Calibri"/>
          <w:color w:val="auto"/>
          <w:lang w:val="en-US"/>
        </w:rPr>
        <w:t xml:space="preserve">General </w:t>
      </w:r>
      <w:r w:rsidR="007B4941" w:rsidRPr="00B52D53">
        <w:rPr>
          <w:rFonts w:ascii="Calibri" w:hAnsi="Calibri" w:cs="Calibri"/>
          <w:color w:val="auto"/>
          <w:lang w:val="en-US"/>
        </w:rPr>
        <w:t>Licensing Criteria</w:t>
      </w:r>
    </w:p>
    <w:p w14:paraId="39E477FA" w14:textId="2B33B624" w:rsidR="0091137F" w:rsidRPr="00B52D53" w:rsidRDefault="0091137F" w:rsidP="009F73BE">
      <w:pPr>
        <w:pStyle w:val="ListParagraph"/>
        <w:numPr>
          <w:ilvl w:val="1"/>
          <w:numId w:val="95"/>
        </w:numPr>
        <w:jc w:val="both"/>
        <w:rPr>
          <w:rFonts w:ascii="Calibri" w:hAnsi="Calibri" w:cs="Calibri"/>
          <w:color w:val="auto"/>
          <w:sz w:val="22"/>
          <w:lang w:val="en-US"/>
        </w:rPr>
      </w:pPr>
      <w:r w:rsidRPr="00B52D53">
        <w:rPr>
          <w:rFonts w:ascii="Calibri" w:hAnsi="Calibri" w:cs="Calibri"/>
          <w:b/>
          <w:bCs/>
          <w:color w:val="auto"/>
          <w:sz w:val="22"/>
          <w:lang w:val="en-US"/>
        </w:rPr>
        <w:t>Substantive fund management</w:t>
      </w:r>
      <w:r w:rsidRPr="00B52D53">
        <w:rPr>
          <w:rFonts w:ascii="Calibri" w:hAnsi="Calibri" w:cs="Calibri"/>
          <w:color w:val="auto"/>
          <w:sz w:val="22"/>
          <w:lang w:val="en-US"/>
        </w:rPr>
        <w:t>: Must be carrying out substantive fund management activities (i.e., research, portfolio management and</w:t>
      </w:r>
      <w:r w:rsidR="003421CA">
        <w:rPr>
          <w:rFonts w:ascii="Calibri" w:hAnsi="Calibri" w:cs="Calibri"/>
          <w:color w:val="auto"/>
          <w:sz w:val="22"/>
          <w:lang w:val="en-US"/>
        </w:rPr>
        <w:t>/</w:t>
      </w:r>
      <w:r w:rsidRPr="00B52D53">
        <w:rPr>
          <w:rFonts w:ascii="Calibri" w:hAnsi="Calibri" w:cs="Calibri"/>
          <w:color w:val="auto"/>
          <w:sz w:val="22"/>
          <w:lang w:val="en-US"/>
        </w:rPr>
        <w:t>or trading). Note that any companies acting as a conduit would fail the substantive test</w:t>
      </w:r>
      <w:r w:rsidR="006D3B64">
        <w:rPr>
          <w:rFonts w:ascii="Calibri" w:hAnsi="Calibri" w:cs="Calibri"/>
          <w:color w:val="auto"/>
          <w:sz w:val="22"/>
          <w:lang w:val="en-US"/>
        </w:rPr>
        <w:t>.</w:t>
      </w:r>
    </w:p>
    <w:p w14:paraId="257094F5" w14:textId="79DF472F" w:rsidR="007B4941" w:rsidRPr="00B52D53" w:rsidRDefault="0091137F" w:rsidP="009F73BE">
      <w:pPr>
        <w:pStyle w:val="ListParagraph"/>
        <w:numPr>
          <w:ilvl w:val="1"/>
          <w:numId w:val="95"/>
        </w:numPr>
        <w:jc w:val="both"/>
        <w:rPr>
          <w:rFonts w:ascii="Calibri" w:hAnsi="Calibri" w:cs="Calibri"/>
          <w:color w:val="auto"/>
          <w:sz w:val="22"/>
          <w:lang w:val="en-US"/>
        </w:rPr>
      </w:pPr>
      <w:r w:rsidRPr="00B52D53">
        <w:rPr>
          <w:rFonts w:ascii="Calibri" w:hAnsi="Calibri" w:cs="Calibri"/>
          <w:b/>
          <w:bCs/>
          <w:color w:val="auto"/>
          <w:sz w:val="22"/>
          <w:lang w:val="en-US"/>
        </w:rPr>
        <w:t>Legal Structure and Office</w:t>
      </w:r>
      <w:r w:rsidRPr="00B52D53">
        <w:rPr>
          <w:rFonts w:ascii="Calibri" w:hAnsi="Calibri" w:cs="Calibri"/>
          <w:color w:val="auto"/>
          <w:sz w:val="22"/>
          <w:lang w:val="en-US"/>
        </w:rPr>
        <w:t xml:space="preserve">: </w:t>
      </w:r>
      <w:r w:rsidR="007B4941" w:rsidRPr="00B52D53">
        <w:rPr>
          <w:rFonts w:ascii="Calibri" w:hAnsi="Calibri" w:cs="Calibri"/>
          <w:color w:val="auto"/>
          <w:sz w:val="22"/>
          <w:lang w:val="en-US"/>
        </w:rPr>
        <w:t xml:space="preserve">Must be </w:t>
      </w:r>
      <w:r w:rsidR="007B4941" w:rsidRPr="006D3B64">
        <w:rPr>
          <w:rFonts w:ascii="Calibri" w:hAnsi="Calibri" w:cs="Calibri"/>
          <w:color w:val="auto"/>
          <w:sz w:val="22"/>
          <w:u w:val="single"/>
          <w:lang w:val="en-US"/>
        </w:rPr>
        <w:t>incorporated in Singapore</w:t>
      </w:r>
      <w:r w:rsidRPr="00B52D53">
        <w:rPr>
          <w:rFonts w:ascii="Calibri" w:hAnsi="Calibri" w:cs="Calibri"/>
          <w:color w:val="auto"/>
          <w:sz w:val="22"/>
          <w:lang w:val="en-US"/>
        </w:rPr>
        <w:t xml:space="preserve"> and h</w:t>
      </w:r>
      <w:r w:rsidR="007B4941" w:rsidRPr="00B52D53">
        <w:rPr>
          <w:rFonts w:ascii="Calibri" w:hAnsi="Calibri" w:cs="Calibri"/>
          <w:color w:val="auto"/>
          <w:sz w:val="22"/>
          <w:lang w:val="en-US"/>
        </w:rPr>
        <w:t xml:space="preserve">as a </w:t>
      </w:r>
      <w:r w:rsidR="007B4941" w:rsidRPr="006D3B64">
        <w:rPr>
          <w:rFonts w:ascii="Calibri" w:hAnsi="Calibri" w:cs="Calibri"/>
          <w:color w:val="auto"/>
          <w:sz w:val="22"/>
          <w:u w:val="single"/>
          <w:lang w:val="en-US"/>
        </w:rPr>
        <w:t>permanent physical office in Singapore</w:t>
      </w:r>
      <w:r w:rsidR="006D3B64">
        <w:rPr>
          <w:rFonts w:ascii="Calibri" w:hAnsi="Calibri" w:cs="Calibri"/>
          <w:color w:val="auto"/>
          <w:sz w:val="22"/>
          <w:lang w:val="en-US"/>
        </w:rPr>
        <w:t>.</w:t>
      </w:r>
    </w:p>
    <w:p w14:paraId="03FC2FE3" w14:textId="715C67C8" w:rsidR="007B4941" w:rsidRPr="00B52D53" w:rsidRDefault="0091137F" w:rsidP="009F73BE">
      <w:pPr>
        <w:pStyle w:val="ListParagraph"/>
        <w:numPr>
          <w:ilvl w:val="1"/>
          <w:numId w:val="95"/>
        </w:numPr>
        <w:jc w:val="both"/>
        <w:rPr>
          <w:rFonts w:ascii="Calibri" w:hAnsi="Calibri" w:cs="Calibri"/>
          <w:color w:val="auto"/>
          <w:sz w:val="22"/>
          <w:lang w:val="en-US"/>
        </w:rPr>
      </w:pPr>
      <w:r w:rsidRPr="00B52D53">
        <w:rPr>
          <w:rFonts w:ascii="Calibri" w:hAnsi="Calibri" w:cs="Calibri"/>
          <w:b/>
          <w:bCs/>
          <w:color w:val="auto"/>
          <w:sz w:val="22"/>
          <w:lang w:val="en-US"/>
        </w:rPr>
        <w:lastRenderedPageBreak/>
        <w:t>Staffing</w:t>
      </w:r>
      <w:r w:rsidRPr="00B52D53">
        <w:rPr>
          <w:rFonts w:ascii="Calibri" w:hAnsi="Calibri" w:cs="Calibri"/>
          <w:color w:val="auto"/>
          <w:sz w:val="22"/>
          <w:lang w:val="en-US"/>
        </w:rPr>
        <w:t xml:space="preserve">: </w:t>
      </w:r>
      <w:r w:rsidR="00BF0407" w:rsidRPr="00B52D53">
        <w:rPr>
          <w:rFonts w:ascii="Calibri" w:hAnsi="Calibri" w:cs="Calibri"/>
          <w:color w:val="auto"/>
          <w:sz w:val="22"/>
          <w:lang w:val="en-US"/>
        </w:rPr>
        <w:t xml:space="preserve">Office </w:t>
      </w:r>
      <w:r w:rsidR="007B4941" w:rsidRPr="00B52D53">
        <w:rPr>
          <w:rFonts w:ascii="Calibri" w:hAnsi="Calibri" w:cs="Calibri"/>
          <w:color w:val="auto"/>
          <w:sz w:val="22"/>
          <w:lang w:val="en-US"/>
        </w:rPr>
        <w:t xml:space="preserve">must be </w:t>
      </w:r>
      <w:r w:rsidR="00C46D70" w:rsidRPr="006D3B64">
        <w:rPr>
          <w:rFonts w:ascii="Calibri" w:hAnsi="Calibri" w:cs="Calibri"/>
          <w:color w:val="auto"/>
          <w:sz w:val="22"/>
          <w:u w:val="single"/>
          <w:lang w:val="en-US"/>
        </w:rPr>
        <w:t>adequately staffed</w:t>
      </w:r>
      <w:r w:rsidR="007B4941" w:rsidRPr="006D3B64">
        <w:rPr>
          <w:rFonts w:ascii="Calibri" w:hAnsi="Calibri" w:cs="Calibri"/>
          <w:color w:val="auto"/>
          <w:sz w:val="22"/>
          <w:u w:val="single"/>
          <w:lang w:val="en-US"/>
        </w:rPr>
        <w:t xml:space="preserve"> </w:t>
      </w:r>
      <w:r w:rsidR="00BF0407" w:rsidRPr="006D3B64">
        <w:rPr>
          <w:rFonts w:ascii="Calibri" w:hAnsi="Calibri" w:cs="Calibri"/>
          <w:color w:val="auto"/>
          <w:sz w:val="22"/>
          <w:u w:val="single"/>
          <w:lang w:val="en-US"/>
        </w:rPr>
        <w:t>with</w:t>
      </w:r>
      <w:r w:rsidR="007B4941" w:rsidRPr="006D3B64">
        <w:rPr>
          <w:rFonts w:ascii="Calibri" w:hAnsi="Calibri" w:cs="Calibri"/>
          <w:color w:val="auto"/>
          <w:sz w:val="22"/>
          <w:u w:val="single"/>
          <w:lang w:val="en-US"/>
        </w:rPr>
        <w:t xml:space="preserve"> competent</w:t>
      </w:r>
      <w:r w:rsidR="00BF0407" w:rsidRPr="006D3B64">
        <w:rPr>
          <w:rFonts w:ascii="Calibri" w:hAnsi="Calibri" w:cs="Calibri"/>
          <w:color w:val="auto"/>
          <w:sz w:val="22"/>
          <w:u w:val="single"/>
          <w:lang w:val="en-US"/>
        </w:rPr>
        <w:t xml:space="preserve"> key individuals</w:t>
      </w:r>
      <w:r w:rsidRPr="00B52D53">
        <w:rPr>
          <w:rFonts w:ascii="Calibri" w:hAnsi="Calibri" w:cs="Calibri"/>
          <w:color w:val="auto"/>
          <w:sz w:val="22"/>
          <w:lang w:val="en-US"/>
        </w:rPr>
        <w:t xml:space="preserve"> (i.e., collective experience in asset classes, markets, investment strategies, portfolio management, risk management, operations and compliance)</w:t>
      </w:r>
      <w:r w:rsidR="007B4941" w:rsidRPr="00B52D53">
        <w:rPr>
          <w:rFonts w:ascii="Calibri" w:hAnsi="Calibri" w:cs="Calibri"/>
          <w:color w:val="auto"/>
          <w:sz w:val="22"/>
          <w:lang w:val="en-US"/>
        </w:rPr>
        <w:t xml:space="preserve">: </w:t>
      </w:r>
    </w:p>
    <w:p w14:paraId="2D9F0DB3" w14:textId="77777777" w:rsidR="00BF0407" w:rsidRPr="00B52D53" w:rsidRDefault="00BF0407" w:rsidP="00BF0407">
      <w:pPr>
        <w:pStyle w:val="ListParagraph"/>
        <w:ind w:left="1440"/>
        <w:jc w:val="both"/>
        <w:rPr>
          <w:rFonts w:ascii="Calibri" w:hAnsi="Calibri" w:cs="Calibri"/>
          <w:color w:val="auto"/>
          <w:sz w:val="22"/>
          <w:lang w:val="en-US"/>
        </w:rPr>
      </w:pPr>
    </w:p>
    <w:tbl>
      <w:tblPr>
        <w:tblStyle w:val="GridTable1Light-Accent4"/>
        <w:tblW w:w="0" w:type="auto"/>
        <w:tblLook w:val="04A0" w:firstRow="1" w:lastRow="0" w:firstColumn="1" w:lastColumn="0" w:noHBand="0" w:noVBand="1"/>
      </w:tblPr>
      <w:tblGrid>
        <w:gridCol w:w="2405"/>
        <w:gridCol w:w="6020"/>
      </w:tblGrid>
      <w:tr w:rsidR="00B52D53" w:rsidRPr="00B52D53" w14:paraId="000666F5" w14:textId="77777777" w:rsidTr="0052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CCD54E6" w14:textId="4A78D25E" w:rsidR="00BF0407" w:rsidRPr="00B52D53" w:rsidRDefault="00BF0407" w:rsidP="00BF0407">
            <w:pPr>
              <w:pStyle w:val="ListParagraph"/>
              <w:ind w:left="0"/>
              <w:jc w:val="both"/>
              <w:rPr>
                <w:rFonts w:ascii="Calibri" w:hAnsi="Calibri" w:cs="Calibri"/>
                <w:color w:val="auto"/>
                <w:sz w:val="22"/>
                <w:lang w:val="en-US"/>
              </w:rPr>
            </w:pPr>
            <w:r w:rsidRPr="00B52D53">
              <w:rPr>
                <w:rFonts w:ascii="Calibri" w:hAnsi="Calibri" w:cs="Calibri"/>
                <w:color w:val="auto"/>
                <w:sz w:val="22"/>
                <w:lang w:val="en-US"/>
              </w:rPr>
              <w:t>Individuals</w:t>
            </w:r>
          </w:p>
        </w:tc>
        <w:tc>
          <w:tcPr>
            <w:tcW w:w="6020" w:type="dxa"/>
            <w:vAlign w:val="center"/>
          </w:tcPr>
          <w:p w14:paraId="2C3ECB34" w14:textId="4413C16C" w:rsidR="00BF0407" w:rsidRPr="00B52D53" w:rsidRDefault="00BF0407" w:rsidP="00BF0407">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Requirements</w:t>
            </w:r>
          </w:p>
        </w:tc>
      </w:tr>
      <w:tr w:rsidR="00B52D53" w:rsidRPr="00B52D53" w14:paraId="5929CCA0" w14:textId="77777777" w:rsidTr="005204D4">
        <w:tc>
          <w:tcPr>
            <w:cnfStyle w:val="001000000000" w:firstRow="0" w:lastRow="0" w:firstColumn="1" w:lastColumn="0" w:oddVBand="0" w:evenVBand="0" w:oddHBand="0" w:evenHBand="0" w:firstRowFirstColumn="0" w:firstRowLastColumn="0" w:lastRowFirstColumn="0" w:lastRowLastColumn="0"/>
            <w:tcW w:w="2405" w:type="dxa"/>
            <w:vAlign w:val="center"/>
          </w:tcPr>
          <w:p w14:paraId="10A8690C" w14:textId="77788433" w:rsidR="00BF0407" w:rsidRPr="00B52D53" w:rsidRDefault="00BF0407" w:rsidP="00BF0407">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Directors</w:t>
            </w:r>
          </w:p>
        </w:tc>
        <w:tc>
          <w:tcPr>
            <w:tcW w:w="6020" w:type="dxa"/>
            <w:vAlign w:val="center"/>
          </w:tcPr>
          <w:p w14:paraId="68490A0C" w14:textId="77777777" w:rsidR="00BF0407" w:rsidRPr="00B52D53" w:rsidRDefault="00BF0407" w:rsidP="009F73BE">
            <w:pPr>
              <w:pStyle w:val="ListParagraph"/>
              <w:numPr>
                <w:ilvl w:val="0"/>
                <w:numId w:val="99"/>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Total Number (include Executive and exclude nominee) &gt;= 2</w:t>
            </w:r>
          </w:p>
          <w:p w14:paraId="564D13A1" w14:textId="77777777" w:rsidR="00BF0407" w:rsidRPr="00B52D53" w:rsidRDefault="00BF0407" w:rsidP="009F73BE">
            <w:pPr>
              <w:pStyle w:val="ListParagraph"/>
              <w:numPr>
                <w:ilvl w:val="0"/>
                <w:numId w:val="99"/>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Executive Directors and residing in SG &gt;= 1</w:t>
            </w:r>
          </w:p>
          <w:p w14:paraId="27D2B300" w14:textId="4F10364C" w:rsidR="00BF0407" w:rsidRPr="00B52D53" w:rsidRDefault="00BF0407" w:rsidP="009F73BE">
            <w:pPr>
              <w:pStyle w:val="ListParagraph"/>
              <w:numPr>
                <w:ilvl w:val="0"/>
                <w:numId w:val="99"/>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Tenure (excludes VCFM) &gt;= 5</w:t>
            </w:r>
            <w:r w:rsidR="005204D4" w:rsidRPr="00B52D53">
              <w:rPr>
                <w:rFonts w:ascii="Calibri" w:hAnsi="Calibri" w:cs="Calibri"/>
                <w:color w:val="auto"/>
                <w:sz w:val="22"/>
                <w:lang w:val="en-US"/>
              </w:rPr>
              <w:t xml:space="preserve"> years</w:t>
            </w:r>
          </w:p>
        </w:tc>
      </w:tr>
      <w:tr w:rsidR="00B52D53" w:rsidRPr="00B52D53" w14:paraId="3BA07AA2" w14:textId="77777777" w:rsidTr="005204D4">
        <w:tc>
          <w:tcPr>
            <w:cnfStyle w:val="001000000000" w:firstRow="0" w:lastRow="0" w:firstColumn="1" w:lastColumn="0" w:oddVBand="0" w:evenVBand="0" w:oddHBand="0" w:evenHBand="0" w:firstRowFirstColumn="0" w:firstRowLastColumn="0" w:lastRowFirstColumn="0" w:lastRowLastColumn="0"/>
            <w:tcW w:w="2405" w:type="dxa"/>
            <w:vAlign w:val="center"/>
          </w:tcPr>
          <w:p w14:paraId="339C04A5" w14:textId="370FA012" w:rsidR="00BF0407" w:rsidRPr="00B52D53" w:rsidRDefault="005204D4" w:rsidP="00BF0407">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CEO</w:t>
            </w:r>
          </w:p>
        </w:tc>
        <w:tc>
          <w:tcPr>
            <w:tcW w:w="6020" w:type="dxa"/>
            <w:vAlign w:val="center"/>
          </w:tcPr>
          <w:p w14:paraId="5A5C305A" w14:textId="77777777" w:rsidR="005204D4" w:rsidRPr="00B52D53" w:rsidRDefault="005204D4" w:rsidP="005204D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Tenure (excludes VCFM) </w:t>
            </w:r>
          </w:p>
          <w:p w14:paraId="5F111875" w14:textId="7B537F6F" w:rsidR="005204D4" w:rsidRPr="00B52D53" w:rsidRDefault="005204D4" w:rsidP="009F73BE">
            <w:pPr>
              <w:pStyle w:val="ListParagraph"/>
              <w:numPr>
                <w:ilvl w:val="0"/>
                <w:numId w:val="100"/>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Retail </w:t>
            </w:r>
            <w:r w:rsidR="00B72D51">
              <w:rPr>
                <w:rFonts w:ascii="Calibri" w:hAnsi="Calibri" w:cs="Calibri"/>
                <w:color w:val="auto"/>
                <w:sz w:val="22"/>
                <w:lang w:val="en-US"/>
              </w:rPr>
              <w:t>LFMC</w:t>
            </w:r>
            <w:r w:rsidRPr="00B52D53">
              <w:rPr>
                <w:rFonts w:ascii="Calibri" w:hAnsi="Calibri" w:cs="Calibri"/>
                <w:color w:val="auto"/>
                <w:sz w:val="22"/>
                <w:lang w:val="en-US"/>
              </w:rPr>
              <w:t>: &gt;= 10 years</w:t>
            </w:r>
          </w:p>
          <w:p w14:paraId="036B04B6" w14:textId="169E6E12" w:rsidR="00BF0407" w:rsidRPr="00B52D53" w:rsidRDefault="005204D4" w:rsidP="009F73BE">
            <w:pPr>
              <w:pStyle w:val="ListParagraph"/>
              <w:numPr>
                <w:ilvl w:val="0"/>
                <w:numId w:val="100"/>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A/I </w:t>
            </w:r>
            <w:r w:rsidR="00B72D51">
              <w:rPr>
                <w:rFonts w:ascii="Calibri" w:hAnsi="Calibri" w:cs="Calibri"/>
                <w:color w:val="auto"/>
                <w:sz w:val="22"/>
                <w:lang w:val="en-US"/>
              </w:rPr>
              <w:t>LFMC</w:t>
            </w:r>
            <w:r w:rsidRPr="00B52D53">
              <w:rPr>
                <w:rFonts w:ascii="Calibri" w:hAnsi="Calibri" w:cs="Calibri"/>
                <w:color w:val="auto"/>
                <w:sz w:val="22"/>
                <w:lang w:val="en-US"/>
              </w:rPr>
              <w:t>: &gt;= 5 years</w:t>
            </w:r>
          </w:p>
        </w:tc>
      </w:tr>
      <w:tr w:rsidR="00B52D53" w:rsidRPr="00B52D53" w14:paraId="0814A2DB" w14:textId="77777777" w:rsidTr="005204D4">
        <w:tc>
          <w:tcPr>
            <w:cnfStyle w:val="001000000000" w:firstRow="0" w:lastRow="0" w:firstColumn="1" w:lastColumn="0" w:oddVBand="0" w:evenVBand="0" w:oddHBand="0" w:evenHBand="0" w:firstRowFirstColumn="0" w:firstRowLastColumn="0" w:lastRowFirstColumn="0" w:lastRowLastColumn="0"/>
            <w:tcW w:w="2405" w:type="dxa"/>
            <w:vAlign w:val="center"/>
          </w:tcPr>
          <w:p w14:paraId="168D5B64" w14:textId="6E7281AC" w:rsidR="00BF0407" w:rsidRPr="00B52D53" w:rsidRDefault="005204D4" w:rsidP="00BF0407">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Representatives</w:t>
            </w:r>
          </w:p>
        </w:tc>
        <w:tc>
          <w:tcPr>
            <w:tcW w:w="6020" w:type="dxa"/>
            <w:vAlign w:val="center"/>
          </w:tcPr>
          <w:p w14:paraId="388B1B4A" w14:textId="51D77B1E" w:rsidR="005204D4" w:rsidRPr="00B52D53" w:rsidRDefault="005204D4" w:rsidP="005204D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Number of representatives with SG Residence</w:t>
            </w:r>
          </w:p>
          <w:p w14:paraId="0E66BF44" w14:textId="045577C7" w:rsidR="005204D4" w:rsidRPr="00B52D53" w:rsidRDefault="005204D4" w:rsidP="009F73BE">
            <w:pPr>
              <w:pStyle w:val="ListParagraph"/>
              <w:numPr>
                <w:ilvl w:val="0"/>
                <w:numId w:val="10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Retail </w:t>
            </w:r>
            <w:r w:rsidR="00B72D51">
              <w:rPr>
                <w:rFonts w:ascii="Calibri" w:hAnsi="Calibri" w:cs="Calibri"/>
                <w:color w:val="auto"/>
                <w:sz w:val="22"/>
                <w:lang w:val="en-US"/>
              </w:rPr>
              <w:t>LFMC</w:t>
            </w:r>
            <w:r w:rsidRPr="00B52D53">
              <w:rPr>
                <w:rFonts w:ascii="Calibri" w:hAnsi="Calibri" w:cs="Calibri"/>
                <w:color w:val="auto"/>
                <w:sz w:val="22"/>
                <w:lang w:val="en-US"/>
              </w:rPr>
              <w:t>: &gt;=3</w:t>
            </w:r>
          </w:p>
          <w:p w14:paraId="0B2092F3" w14:textId="0F9596AB" w:rsidR="00BF0407" w:rsidRPr="00B52D53" w:rsidRDefault="005204D4" w:rsidP="009F73BE">
            <w:pPr>
              <w:pStyle w:val="ListParagraph"/>
              <w:numPr>
                <w:ilvl w:val="0"/>
                <w:numId w:val="10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A/I </w:t>
            </w:r>
            <w:r w:rsidR="00B72D51">
              <w:rPr>
                <w:rFonts w:ascii="Calibri" w:hAnsi="Calibri" w:cs="Calibri"/>
                <w:color w:val="auto"/>
                <w:sz w:val="22"/>
                <w:lang w:val="en-US"/>
              </w:rPr>
              <w:t>LFMC</w:t>
            </w:r>
            <w:r w:rsidRPr="00B52D53">
              <w:rPr>
                <w:rFonts w:ascii="Calibri" w:hAnsi="Calibri" w:cs="Calibri"/>
                <w:color w:val="auto"/>
                <w:sz w:val="22"/>
                <w:lang w:val="en-US"/>
              </w:rPr>
              <w:t xml:space="preserve"> and VCFM &gt;= 2</w:t>
            </w:r>
          </w:p>
          <w:p w14:paraId="47F7CA31" w14:textId="6F11A624" w:rsidR="005204D4" w:rsidRPr="00B52D53" w:rsidRDefault="005204D4" w:rsidP="009F73BE">
            <w:pPr>
              <w:pStyle w:val="ListParagraph"/>
              <w:numPr>
                <w:ilvl w:val="0"/>
                <w:numId w:val="10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VCFM: &gt;= 2</w:t>
            </w:r>
          </w:p>
        </w:tc>
      </w:tr>
      <w:tr w:rsidR="00B52D53" w:rsidRPr="00B52D53" w14:paraId="0F9BD6F8" w14:textId="77777777" w:rsidTr="005204D4">
        <w:tc>
          <w:tcPr>
            <w:cnfStyle w:val="001000000000" w:firstRow="0" w:lastRow="0" w:firstColumn="1" w:lastColumn="0" w:oddVBand="0" w:evenVBand="0" w:oddHBand="0" w:evenHBand="0" w:firstRowFirstColumn="0" w:firstRowLastColumn="0" w:lastRowFirstColumn="0" w:lastRowLastColumn="0"/>
            <w:tcW w:w="2405" w:type="dxa"/>
            <w:vAlign w:val="center"/>
          </w:tcPr>
          <w:p w14:paraId="1AB85200" w14:textId="19321677" w:rsidR="00BF0407" w:rsidRPr="00B52D53" w:rsidRDefault="005204D4" w:rsidP="00BF0407">
            <w:pPr>
              <w:pStyle w:val="ListParagraph"/>
              <w:ind w:left="0"/>
              <w:jc w:val="both"/>
              <w:rPr>
                <w:rFonts w:ascii="Calibri" w:hAnsi="Calibri" w:cs="Calibri"/>
                <w:b w:val="0"/>
                <w:bCs w:val="0"/>
                <w:color w:val="auto"/>
                <w:sz w:val="22"/>
                <w:lang w:val="en-US"/>
              </w:rPr>
            </w:pPr>
            <w:r w:rsidRPr="00B52D53">
              <w:rPr>
                <w:rFonts w:ascii="Calibri" w:hAnsi="Calibri" w:cs="Calibri"/>
                <w:b w:val="0"/>
                <w:bCs w:val="0"/>
                <w:color w:val="auto"/>
                <w:sz w:val="22"/>
                <w:lang w:val="en-US"/>
              </w:rPr>
              <w:t>Relevant professionals (includes directors, CEO, representatives)</w:t>
            </w:r>
          </w:p>
        </w:tc>
        <w:tc>
          <w:tcPr>
            <w:tcW w:w="6020" w:type="dxa"/>
            <w:vAlign w:val="center"/>
          </w:tcPr>
          <w:p w14:paraId="50181F0E" w14:textId="09262555" w:rsidR="00BF0407" w:rsidRPr="00B52D53" w:rsidRDefault="005204D4" w:rsidP="00BF0407">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Total number (based on numbers above)</w:t>
            </w:r>
          </w:p>
          <w:p w14:paraId="2D10330C" w14:textId="3F19C62D" w:rsidR="005204D4" w:rsidRPr="00B52D53" w:rsidRDefault="005204D4" w:rsidP="009F73BE">
            <w:pPr>
              <w:pStyle w:val="ListParagraph"/>
              <w:numPr>
                <w:ilvl w:val="0"/>
                <w:numId w:val="10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Retail </w:t>
            </w:r>
            <w:r w:rsidR="00B72D51">
              <w:rPr>
                <w:rFonts w:ascii="Calibri" w:hAnsi="Calibri" w:cs="Calibri"/>
                <w:color w:val="auto"/>
                <w:sz w:val="22"/>
                <w:lang w:val="en-US"/>
              </w:rPr>
              <w:t>LFMC</w:t>
            </w:r>
            <w:r w:rsidRPr="00B52D53">
              <w:rPr>
                <w:rFonts w:ascii="Calibri" w:hAnsi="Calibri" w:cs="Calibri"/>
                <w:color w:val="auto"/>
                <w:sz w:val="22"/>
                <w:lang w:val="en-US"/>
              </w:rPr>
              <w:t>: &gt;=3</w:t>
            </w:r>
          </w:p>
          <w:p w14:paraId="618312AC" w14:textId="25D674FE" w:rsidR="005204D4" w:rsidRPr="00B52D53" w:rsidRDefault="005204D4" w:rsidP="009F73BE">
            <w:pPr>
              <w:pStyle w:val="ListParagraph"/>
              <w:numPr>
                <w:ilvl w:val="0"/>
                <w:numId w:val="101"/>
              </w:num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 xml:space="preserve">A/I </w:t>
            </w:r>
            <w:r w:rsidR="00B72D51">
              <w:rPr>
                <w:rFonts w:ascii="Calibri" w:hAnsi="Calibri" w:cs="Calibri"/>
                <w:color w:val="auto"/>
                <w:sz w:val="22"/>
                <w:lang w:val="en-US"/>
              </w:rPr>
              <w:t>LFMC</w:t>
            </w:r>
            <w:r w:rsidRPr="00B52D53">
              <w:rPr>
                <w:rFonts w:ascii="Calibri" w:hAnsi="Calibri" w:cs="Calibri"/>
                <w:color w:val="auto"/>
                <w:sz w:val="22"/>
                <w:lang w:val="en-US"/>
              </w:rPr>
              <w:t xml:space="preserve"> and VCFM: &gt;= 2</w:t>
            </w:r>
          </w:p>
          <w:p w14:paraId="711AEB3A" w14:textId="77777777" w:rsidR="005204D4" w:rsidRPr="00B52D53" w:rsidRDefault="005204D4" w:rsidP="005204D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p>
          <w:p w14:paraId="2C2E8472" w14:textId="057D0FD6" w:rsidR="005204D4" w:rsidRPr="00B52D53" w:rsidRDefault="005204D4" w:rsidP="005204D4">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lang w:val="en-US"/>
              </w:rPr>
            </w:pPr>
            <w:r w:rsidRPr="00B52D53">
              <w:rPr>
                <w:rFonts w:ascii="Calibri" w:hAnsi="Calibri" w:cs="Calibri"/>
                <w:color w:val="auto"/>
                <w:sz w:val="22"/>
                <w:lang w:val="en-US"/>
              </w:rPr>
              <w:t>Tenure (excludes VCFM) &gt; = 5</w:t>
            </w:r>
          </w:p>
        </w:tc>
      </w:tr>
    </w:tbl>
    <w:p w14:paraId="4C99F2D4" w14:textId="77777777" w:rsidR="00BF0407" w:rsidRPr="00B52D53" w:rsidRDefault="00BF0407" w:rsidP="00BF0407">
      <w:pPr>
        <w:pStyle w:val="ListParagraph"/>
        <w:ind w:left="1440"/>
        <w:jc w:val="both"/>
        <w:rPr>
          <w:rFonts w:ascii="Calibri" w:hAnsi="Calibri" w:cs="Calibri"/>
          <w:color w:val="auto"/>
          <w:sz w:val="22"/>
          <w:lang w:val="en-US"/>
        </w:rPr>
      </w:pPr>
    </w:p>
    <w:p w14:paraId="539EEC73" w14:textId="68E49C2C" w:rsidR="0091137F" w:rsidRPr="00B52D53" w:rsidRDefault="00916E81" w:rsidP="009F73BE">
      <w:pPr>
        <w:pStyle w:val="ListParagraph"/>
        <w:numPr>
          <w:ilvl w:val="1"/>
          <w:numId w:val="95"/>
        </w:numPr>
        <w:jc w:val="both"/>
        <w:rPr>
          <w:rFonts w:ascii="Calibri" w:hAnsi="Calibri" w:cs="Calibri"/>
          <w:color w:val="auto"/>
          <w:sz w:val="22"/>
          <w:lang w:val="en-US"/>
        </w:rPr>
      </w:pPr>
      <w:r w:rsidRPr="00B52D53">
        <w:rPr>
          <w:rFonts w:ascii="Calibri" w:hAnsi="Calibri" w:cs="Calibri"/>
          <w:b/>
          <w:bCs/>
          <w:color w:val="auto"/>
          <w:sz w:val="22"/>
          <w:lang w:val="en-US"/>
        </w:rPr>
        <w:t>B</w:t>
      </w:r>
      <w:r w:rsidR="00EB5993" w:rsidRPr="00B52D53">
        <w:rPr>
          <w:rFonts w:ascii="Calibri" w:hAnsi="Calibri" w:cs="Calibri"/>
          <w:b/>
          <w:bCs/>
          <w:color w:val="auto"/>
          <w:sz w:val="22"/>
          <w:lang w:val="en-US"/>
        </w:rPr>
        <w:t>ase capital</w:t>
      </w:r>
      <w:r w:rsidR="0091137F" w:rsidRPr="00B52D53">
        <w:rPr>
          <w:rFonts w:ascii="Calibri" w:hAnsi="Calibri" w:cs="Calibri"/>
          <w:b/>
          <w:bCs/>
          <w:color w:val="auto"/>
          <w:sz w:val="22"/>
          <w:lang w:val="en-US"/>
        </w:rPr>
        <w:t xml:space="preserve"> threshold</w:t>
      </w:r>
      <w:r w:rsidR="00197A97">
        <w:rPr>
          <w:rFonts w:ascii="Calibri" w:hAnsi="Calibri" w:cs="Calibri"/>
          <w:b/>
          <w:bCs/>
          <w:color w:val="auto"/>
          <w:sz w:val="22"/>
          <w:lang w:val="en-US"/>
        </w:rPr>
        <w:t>:</w:t>
      </w:r>
    </w:p>
    <w:p w14:paraId="4B7A4B28" w14:textId="77777777" w:rsidR="0091137F" w:rsidRPr="00B52D53" w:rsidRDefault="005204D4" w:rsidP="009F73BE">
      <w:pPr>
        <w:pStyle w:val="ListParagraph"/>
        <w:numPr>
          <w:ilvl w:val="2"/>
          <w:numId w:val="95"/>
        </w:numPr>
        <w:jc w:val="both"/>
        <w:rPr>
          <w:rFonts w:ascii="Calibri" w:hAnsi="Calibri" w:cs="Calibri"/>
          <w:color w:val="auto"/>
          <w:sz w:val="22"/>
          <w:lang w:val="en-US"/>
        </w:rPr>
      </w:pPr>
      <w:r w:rsidRPr="006D3B64">
        <w:rPr>
          <w:rFonts w:ascii="Calibri" w:hAnsi="Calibri" w:cs="Calibri"/>
          <w:b/>
          <w:bCs/>
          <w:color w:val="auto"/>
          <w:sz w:val="22"/>
          <w:lang w:val="en-US"/>
        </w:rPr>
        <w:t>CIS</w:t>
      </w:r>
      <w:r w:rsidR="0091137F" w:rsidRPr="006D3B64">
        <w:rPr>
          <w:rFonts w:ascii="Calibri" w:hAnsi="Calibri" w:cs="Calibri"/>
          <w:b/>
          <w:bCs/>
          <w:color w:val="auto"/>
          <w:sz w:val="22"/>
          <w:lang w:val="en-US"/>
        </w:rPr>
        <w:t xml:space="preserve"> offered to retail investors</w:t>
      </w:r>
      <w:r w:rsidRPr="00B52D53">
        <w:rPr>
          <w:rFonts w:ascii="Calibri" w:hAnsi="Calibri" w:cs="Calibri"/>
          <w:color w:val="auto"/>
          <w:sz w:val="22"/>
          <w:lang w:val="en-US"/>
        </w:rPr>
        <w:t xml:space="preserve">: </w:t>
      </w:r>
      <w:r w:rsidR="00EB5993" w:rsidRPr="00B52D53">
        <w:rPr>
          <w:rFonts w:ascii="Calibri" w:hAnsi="Calibri" w:cs="Calibri"/>
          <w:color w:val="auto"/>
          <w:sz w:val="22"/>
          <w:lang w:val="en-US"/>
        </w:rPr>
        <w:t>$1M</w:t>
      </w:r>
    </w:p>
    <w:p w14:paraId="17E86382" w14:textId="77777777" w:rsidR="0091137F" w:rsidRPr="00B52D53" w:rsidRDefault="005204D4" w:rsidP="009F73BE">
      <w:pPr>
        <w:pStyle w:val="ListParagraph"/>
        <w:numPr>
          <w:ilvl w:val="2"/>
          <w:numId w:val="95"/>
        </w:numPr>
        <w:jc w:val="both"/>
        <w:rPr>
          <w:rFonts w:ascii="Calibri" w:hAnsi="Calibri" w:cs="Calibri"/>
          <w:color w:val="auto"/>
          <w:sz w:val="22"/>
          <w:lang w:val="en-US"/>
        </w:rPr>
      </w:pPr>
      <w:r w:rsidRPr="006D3B64">
        <w:rPr>
          <w:rFonts w:ascii="Calibri" w:hAnsi="Calibri" w:cs="Calibri"/>
          <w:b/>
          <w:bCs/>
          <w:color w:val="auto"/>
          <w:sz w:val="22"/>
          <w:lang w:val="en-US"/>
        </w:rPr>
        <w:t>Non-CIS</w:t>
      </w:r>
      <w:r w:rsidR="0091137F" w:rsidRPr="006D3B64">
        <w:rPr>
          <w:rFonts w:ascii="Calibri" w:hAnsi="Calibri" w:cs="Calibri"/>
          <w:b/>
          <w:bCs/>
          <w:color w:val="auto"/>
          <w:sz w:val="22"/>
          <w:lang w:val="en-US"/>
        </w:rPr>
        <w:t xml:space="preserve"> offered to retail investors</w:t>
      </w:r>
      <w:r w:rsidRPr="00B52D53">
        <w:rPr>
          <w:rFonts w:ascii="Calibri" w:hAnsi="Calibri" w:cs="Calibri"/>
          <w:color w:val="auto"/>
          <w:sz w:val="22"/>
          <w:lang w:val="en-US"/>
        </w:rPr>
        <w:t>:</w:t>
      </w:r>
      <w:r w:rsidR="0091137F" w:rsidRPr="00B52D53">
        <w:rPr>
          <w:rFonts w:ascii="Calibri" w:hAnsi="Calibri" w:cs="Calibri"/>
          <w:color w:val="auto"/>
          <w:sz w:val="22"/>
          <w:lang w:val="en-US"/>
        </w:rPr>
        <w:t xml:space="preserve"> </w:t>
      </w:r>
      <w:r w:rsidRPr="00B52D53">
        <w:rPr>
          <w:rFonts w:ascii="Calibri" w:hAnsi="Calibri" w:cs="Calibri"/>
          <w:color w:val="auto"/>
          <w:sz w:val="22"/>
          <w:lang w:val="en-US"/>
        </w:rPr>
        <w:t>$500K</w:t>
      </w:r>
    </w:p>
    <w:p w14:paraId="078C4785" w14:textId="7200C786" w:rsidR="00EB5993" w:rsidRPr="00B52D53" w:rsidRDefault="0091137F" w:rsidP="009F73BE">
      <w:pPr>
        <w:pStyle w:val="ListParagraph"/>
        <w:numPr>
          <w:ilvl w:val="2"/>
          <w:numId w:val="95"/>
        </w:numPr>
        <w:jc w:val="both"/>
        <w:rPr>
          <w:rFonts w:ascii="Calibri" w:hAnsi="Calibri" w:cs="Calibri"/>
          <w:color w:val="auto"/>
          <w:sz w:val="22"/>
          <w:lang w:val="en-US"/>
        </w:rPr>
      </w:pPr>
      <w:r w:rsidRPr="006D3B64">
        <w:rPr>
          <w:rFonts w:ascii="Calibri" w:hAnsi="Calibri" w:cs="Calibri"/>
          <w:b/>
          <w:bCs/>
          <w:color w:val="auto"/>
          <w:sz w:val="22"/>
          <w:lang w:val="en-US"/>
        </w:rPr>
        <w:t>Fund management activities outside of (i) and (ii), e.g., VCFM</w:t>
      </w:r>
      <w:r w:rsidRPr="00B52D53">
        <w:rPr>
          <w:rFonts w:ascii="Calibri" w:hAnsi="Calibri" w:cs="Calibri"/>
          <w:color w:val="auto"/>
          <w:sz w:val="22"/>
          <w:lang w:val="en-US"/>
        </w:rPr>
        <w:t xml:space="preserve">: $200K </w:t>
      </w:r>
      <w:r w:rsidR="00EB5993" w:rsidRPr="00B52D53">
        <w:rPr>
          <w:rFonts w:ascii="Calibri" w:hAnsi="Calibri" w:cs="Calibri"/>
          <w:color w:val="auto"/>
          <w:sz w:val="22"/>
          <w:lang w:val="en-US"/>
        </w:rPr>
        <w:t xml:space="preserve"> </w:t>
      </w:r>
    </w:p>
    <w:p w14:paraId="655CC36A" w14:textId="78C0C903" w:rsidR="00EF1D07" w:rsidRPr="00B52D53" w:rsidRDefault="00EF1D07" w:rsidP="009F73BE">
      <w:pPr>
        <w:pStyle w:val="ListParagraph"/>
        <w:numPr>
          <w:ilvl w:val="2"/>
          <w:numId w:val="95"/>
        </w:numPr>
        <w:jc w:val="both"/>
        <w:rPr>
          <w:rFonts w:ascii="Calibri" w:hAnsi="Calibri" w:cs="Calibri"/>
          <w:color w:val="auto"/>
          <w:sz w:val="22"/>
          <w:lang w:val="en-US"/>
        </w:rPr>
      </w:pPr>
      <w:r w:rsidRPr="00B52D53">
        <w:rPr>
          <w:rFonts w:ascii="Calibri" w:hAnsi="Calibri" w:cs="Calibri"/>
          <w:color w:val="auto"/>
          <w:sz w:val="22"/>
          <w:lang w:val="en-US"/>
        </w:rPr>
        <w:t>Base Capital = Paid-up Common Shares + Preference Shares + Unappropriated P/L – Distributions (or losses for recent period)</w:t>
      </w:r>
    </w:p>
    <w:p w14:paraId="4D21FF65" w14:textId="5EF1BBB9" w:rsidR="00916E81" w:rsidRPr="00B52D53" w:rsidRDefault="00916E81" w:rsidP="009F73BE">
      <w:pPr>
        <w:pStyle w:val="ListParagraph"/>
        <w:numPr>
          <w:ilvl w:val="2"/>
          <w:numId w:val="95"/>
        </w:numPr>
        <w:jc w:val="both"/>
        <w:rPr>
          <w:rFonts w:ascii="Calibri" w:hAnsi="Calibri" w:cs="Calibri"/>
          <w:color w:val="auto"/>
          <w:sz w:val="22"/>
          <w:lang w:val="en-US"/>
        </w:rPr>
      </w:pPr>
      <w:r w:rsidRPr="00633621">
        <w:rPr>
          <w:rFonts w:ascii="Calibri" w:hAnsi="Calibri" w:cs="Calibri"/>
          <w:color w:val="auto"/>
          <w:sz w:val="22"/>
          <w:u w:val="single"/>
          <w:lang w:val="en-US"/>
        </w:rPr>
        <w:t xml:space="preserve">If </w:t>
      </w:r>
      <w:r w:rsidR="00B72D51">
        <w:rPr>
          <w:rFonts w:ascii="Calibri" w:hAnsi="Calibri" w:cs="Calibri"/>
          <w:color w:val="auto"/>
          <w:sz w:val="22"/>
          <w:u w:val="single"/>
          <w:lang w:val="en-US"/>
        </w:rPr>
        <w:t>LFMC</w:t>
      </w:r>
      <w:r w:rsidRPr="00633621">
        <w:rPr>
          <w:rFonts w:ascii="Calibri" w:hAnsi="Calibri" w:cs="Calibri"/>
          <w:color w:val="auto"/>
          <w:sz w:val="22"/>
          <w:u w:val="single"/>
          <w:lang w:val="en-US"/>
        </w:rPr>
        <w:t xml:space="preserve"> fails to maintain its base capital, it must notify MAS immediately</w:t>
      </w:r>
      <w:r w:rsidRPr="00B52D53">
        <w:rPr>
          <w:rFonts w:ascii="Calibri" w:hAnsi="Calibri" w:cs="Calibri"/>
          <w:color w:val="auto"/>
          <w:sz w:val="22"/>
          <w:lang w:val="en-US"/>
        </w:rPr>
        <w:t xml:space="preserve">. MAS may get </w:t>
      </w:r>
      <w:r w:rsidR="00B72D51">
        <w:rPr>
          <w:rFonts w:ascii="Calibri" w:hAnsi="Calibri" w:cs="Calibri"/>
          <w:color w:val="auto"/>
          <w:sz w:val="22"/>
          <w:lang w:val="en-US"/>
        </w:rPr>
        <w:t>LFMC</w:t>
      </w:r>
      <w:r w:rsidRPr="00B52D53">
        <w:rPr>
          <w:rFonts w:ascii="Calibri" w:hAnsi="Calibri" w:cs="Calibri"/>
          <w:color w:val="auto"/>
          <w:sz w:val="22"/>
          <w:lang w:val="en-US"/>
        </w:rPr>
        <w:t xml:space="preserve"> to (</w:t>
      </w:r>
      <w:proofErr w:type="spellStart"/>
      <w:r w:rsidRPr="00B52D53">
        <w:rPr>
          <w:rFonts w:ascii="Calibri" w:hAnsi="Calibri" w:cs="Calibri"/>
          <w:color w:val="auto"/>
          <w:sz w:val="22"/>
          <w:lang w:val="en-US"/>
        </w:rPr>
        <w:t>i</w:t>
      </w:r>
      <w:proofErr w:type="spellEnd"/>
      <w:r w:rsidRPr="00B52D53">
        <w:rPr>
          <w:rFonts w:ascii="Calibri" w:hAnsi="Calibri" w:cs="Calibri"/>
          <w:color w:val="auto"/>
          <w:sz w:val="22"/>
          <w:lang w:val="en-US"/>
        </w:rPr>
        <w:t xml:space="preserve">) cease any increase in positions or business until it complies with base capital requirement; (ii) transfer its positions to other unrelated </w:t>
      </w:r>
      <w:r w:rsidR="00B72D51">
        <w:rPr>
          <w:rFonts w:ascii="Calibri" w:hAnsi="Calibri" w:cs="Calibri"/>
          <w:color w:val="auto"/>
          <w:sz w:val="22"/>
          <w:lang w:val="en-US"/>
        </w:rPr>
        <w:t>LFMC</w:t>
      </w:r>
      <w:r w:rsidRPr="00B52D53">
        <w:rPr>
          <w:rFonts w:ascii="Calibri" w:hAnsi="Calibri" w:cs="Calibri"/>
          <w:color w:val="auto"/>
          <w:sz w:val="22"/>
          <w:lang w:val="en-US"/>
        </w:rPr>
        <w:t>s, or (iii) revoke its license.</w:t>
      </w:r>
    </w:p>
    <w:p w14:paraId="6A2B9B74" w14:textId="2FD17803" w:rsidR="0091137F" w:rsidRPr="00B52D53" w:rsidRDefault="00916E81" w:rsidP="009F73BE">
      <w:pPr>
        <w:pStyle w:val="ListParagraph"/>
        <w:numPr>
          <w:ilvl w:val="1"/>
          <w:numId w:val="95"/>
        </w:numPr>
        <w:jc w:val="both"/>
        <w:rPr>
          <w:rFonts w:ascii="Calibri" w:hAnsi="Calibri" w:cs="Calibri"/>
          <w:color w:val="auto"/>
          <w:sz w:val="22"/>
          <w:lang w:val="en-US"/>
        </w:rPr>
      </w:pPr>
      <w:r w:rsidRPr="00B52D53">
        <w:rPr>
          <w:rFonts w:ascii="Calibri" w:hAnsi="Calibri" w:cs="Calibri"/>
          <w:b/>
          <w:bCs/>
          <w:color w:val="auto"/>
          <w:sz w:val="22"/>
          <w:lang w:val="en-US"/>
        </w:rPr>
        <w:t>Risk-Based Capital</w:t>
      </w:r>
      <w:r w:rsidRPr="00B52D53">
        <w:rPr>
          <w:rFonts w:ascii="Calibri" w:hAnsi="Calibri" w:cs="Calibri"/>
          <w:color w:val="auto"/>
          <w:sz w:val="22"/>
          <w:lang w:val="en-US"/>
        </w:rPr>
        <w:t xml:space="preserve">: </w:t>
      </w:r>
      <w:r w:rsidR="008D33E2" w:rsidRPr="00B52D53">
        <w:rPr>
          <w:rFonts w:ascii="Calibri" w:hAnsi="Calibri" w:cs="Calibri"/>
          <w:color w:val="auto"/>
          <w:sz w:val="22"/>
          <w:lang w:val="en-US"/>
        </w:rPr>
        <w:t xml:space="preserve">All </w:t>
      </w:r>
      <w:r w:rsidR="00B72D51">
        <w:rPr>
          <w:rFonts w:ascii="Calibri" w:hAnsi="Calibri" w:cs="Calibri"/>
          <w:color w:val="auto"/>
          <w:sz w:val="22"/>
          <w:lang w:val="en-US"/>
        </w:rPr>
        <w:t>LFMC</w:t>
      </w:r>
      <w:r w:rsidR="008D33E2" w:rsidRPr="00B52D53">
        <w:rPr>
          <w:rFonts w:ascii="Calibri" w:hAnsi="Calibri" w:cs="Calibri"/>
          <w:color w:val="auto"/>
          <w:sz w:val="22"/>
          <w:lang w:val="en-US"/>
        </w:rPr>
        <w:t xml:space="preserve">s shall always </w:t>
      </w:r>
      <w:r w:rsidR="0091137F" w:rsidRPr="00B52D53">
        <w:rPr>
          <w:rFonts w:ascii="Calibri" w:hAnsi="Calibri" w:cs="Calibri"/>
          <w:color w:val="auto"/>
          <w:sz w:val="22"/>
          <w:u w:val="single"/>
          <w:lang w:val="en-US"/>
        </w:rPr>
        <w:t>meet the Risk-Based Capital</w:t>
      </w:r>
      <w:r w:rsidR="0091137F" w:rsidRPr="00B52D53">
        <w:rPr>
          <w:rFonts w:ascii="Calibri" w:hAnsi="Calibri" w:cs="Calibri"/>
          <w:color w:val="auto"/>
          <w:sz w:val="22"/>
          <w:lang w:val="en-US"/>
        </w:rPr>
        <w:t xml:space="preserve"> (RBC; aka </w:t>
      </w:r>
      <w:r w:rsidR="008D33E2" w:rsidRPr="00B52D53">
        <w:rPr>
          <w:rFonts w:ascii="Calibri" w:hAnsi="Calibri" w:cs="Calibri"/>
          <w:color w:val="auto"/>
          <w:sz w:val="22"/>
          <w:lang w:val="en-US"/>
        </w:rPr>
        <w:t>T</w:t>
      </w:r>
      <w:r w:rsidR="0091137F" w:rsidRPr="00B52D53">
        <w:rPr>
          <w:rFonts w:ascii="Calibri" w:hAnsi="Calibri" w:cs="Calibri"/>
          <w:color w:val="auto"/>
          <w:sz w:val="22"/>
          <w:lang w:val="en-US"/>
        </w:rPr>
        <w:t xml:space="preserve">otal </w:t>
      </w:r>
      <w:r w:rsidR="008D33E2" w:rsidRPr="00B52D53">
        <w:rPr>
          <w:rFonts w:ascii="Calibri" w:hAnsi="Calibri" w:cs="Calibri"/>
          <w:color w:val="auto"/>
          <w:sz w:val="22"/>
          <w:lang w:val="en-US"/>
        </w:rPr>
        <w:t>R</w:t>
      </w:r>
      <w:r w:rsidR="0091137F" w:rsidRPr="00B52D53">
        <w:rPr>
          <w:rFonts w:ascii="Calibri" w:hAnsi="Calibri" w:cs="Calibri"/>
          <w:color w:val="auto"/>
          <w:sz w:val="22"/>
          <w:lang w:val="en-US"/>
        </w:rPr>
        <w:t xml:space="preserve">isk </w:t>
      </w:r>
      <w:r w:rsidR="008D33E2" w:rsidRPr="00B52D53">
        <w:rPr>
          <w:rFonts w:ascii="Calibri" w:hAnsi="Calibri" w:cs="Calibri"/>
          <w:color w:val="auto"/>
          <w:sz w:val="22"/>
          <w:lang w:val="en-US"/>
        </w:rPr>
        <w:t>R</w:t>
      </w:r>
      <w:r w:rsidR="0091137F" w:rsidRPr="00B52D53">
        <w:rPr>
          <w:rFonts w:ascii="Calibri" w:hAnsi="Calibri" w:cs="Calibri"/>
          <w:color w:val="auto"/>
          <w:sz w:val="22"/>
          <w:lang w:val="en-US"/>
        </w:rPr>
        <w:t>equirement</w:t>
      </w:r>
      <w:r w:rsidR="008D33E2" w:rsidRPr="00B52D53">
        <w:rPr>
          <w:rFonts w:ascii="Calibri" w:hAnsi="Calibri" w:cs="Calibri"/>
          <w:color w:val="auto"/>
          <w:sz w:val="22"/>
          <w:lang w:val="en-US"/>
        </w:rPr>
        <w:t xml:space="preserve"> or TRR</w:t>
      </w:r>
      <w:r w:rsidR="0091137F" w:rsidRPr="00B52D53">
        <w:rPr>
          <w:rFonts w:ascii="Calibri" w:hAnsi="Calibri" w:cs="Calibri"/>
          <w:color w:val="auto"/>
          <w:sz w:val="22"/>
          <w:lang w:val="en-US"/>
        </w:rPr>
        <w:t>)</w:t>
      </w:r>
      <w:r w:rsidRPr="00B52D53">
        <w:rPr>
          <w:rFonts w:ascii="Calibri" w:hAnsi="Calibri" w:cs="Calibri"/>
          <w:color w:val="auto"/>
          <w:sz w:val="22"/>
          <w:lang w:val="en-US"/>
        </w:rPr>
        <w:t xml:space="preserve"> threshold</w:t>
      </w:r>
      <w:r w:rsidR="008D33E2" w:rsidRPr="00B52D53">
        <w:rPr>
          <w:rFonts w:ascii="Calibri" w:hAnsi="Calibri" w:cs="Calibri"/>
          <w:color w:val="auto"/>
          <w:sz w:val="22"/>
          <w:lang w:val="en-US"/>
        </w:rPr>
        <w:t xml:space="preserve">, by having </w:t>
      </w:r>
      <w:r w:rsidR="008D33E2" w:rsidRPr="00B52D53">
        <w:rPr>
          <w:rFonts w:ascii="Calibri" w:hAnsi="Calibri" w:cs="Calibri"/>
          <w:color w:val="auto"/>
          <w:sz w:val="22"/>
          <w:u w:val="single"/>
          <w:lang w:val="en-US"/>
        </w:rPr>
        <w:t>Financial Resource that are at least 120% of TRR</w:t>
      </w:r>
      <w:r w:rsidRPr="00B52D53">
        <w:rPr>
          <w:rFonts w:ascii="Calibri" w:hAnsi="Calibri" w:cs="Calibri"/>
          <w:color w:val="auto"/>
          <w:sz w:val="22"/>
          <w:lang w:val="en-US"/>
        </w:rPr>
        <w:t xml:space="preserve"> (Note that Calculation of TRR would not be discussed here)</w:t>
      </w:r>
      <w:r w:rsidR="0091137F" w:rsidRPr="00B52D53">
        <w:rPr>
          <w:rFonts w:ascii="Calibri" w:hAnsi="Calibri" w:cs="Calibri"/>
          <w:color w:val="auto"/>
          <w:sz w:val="22"/>
          <w:lang w:val="en-US"/>
        </w:rPr>
        <w:t>.</w:t>
      </w:r>
      <w:r w:rsidR="008D33E2" w:rsidRPr="00B52D53">
        <w:rPr>
          <w:rFonts w:ascii="Calibri" w:hAnsi="Calibri" w:cs="Calibri"/>
          <w:color w:val="auto"/>
          <w:sz w:val="22"/>
          <w:lang w:val="en-US"/>
        </w:rPr>
        <w:t xml:space="preserve"> If </w:t>
      </w:r>
      <w:r w:rsidR="00B72D51">
        <w:rPr>
          <w:rFonts w:ascii="Calibri" w:hAnsi="Calibri" w:cs="Calibri"/>
          <w:color w:val="auto"/>
          <w:sz w:val="22"/>
          <w:lang w:val="en-US"/>
        </w:rPr>
        <w:t>LFMC</w:t>
      </w:r>
      <w:r w:rsidR="008D33E2" w:rsidRPr="00B52D53">
        <w:rPr>
          <w:rFonts w:ascii="Calibri" w:hAnsi="Calibri" w:cs="Calibri"/>
          <w:color w:val="auto"/>
          <w:sz w:val="22"/>
          <w:lang w:val="en-US"/>
        </w:rPr>
        <w:t xml:space="preserve"> is not subject to RBC</w:t>
      </w:r>
      <w:r w:rsidR="003421CA">
        <w:rPr>
          <w:rFonts w:ascii="Calibri" w:hAnsi="Calibri" w:cs="Calibri"/>
          <w:color w:val="auto"/>
          <w:sz w:val="22"/>
          <w:lang w:val="en-US"/>
        </w:rPr>
        <w:t>/</w:t>
      </w:r>
      <w:r w:rsidR="008D33E2" w:rsidRPr="00B52D53">
        <w:rPr>
          <w:rFonts w:ascii="Calibri" w:hAnsi="Calibri" w:cs="Calibri"/>
          <w:color w:val="auto"/>
          <w:sz w:val="22"/>
          <w:lang w:val="en-US"/>
        </w:rPr>
        <w:t xml:space="preserve">TRR, then it would be subject to </w:t>
      </w:r>
      <w:r w:rsidR="00562C86" w:rsidRPr="00B52D53">
        <w:rPr>
          <w:rFonts w:ascii="Calibri" w:hAnsi="Calibri" w:cs="Calibri"/>
          <w:color w:val="auto"/>
          <w:sz w:val="22"/>
          <w:lang w:val="en-US"/>
        </w:rPr>
        <w:t xml:space="preserve">ORR (aka </w:t>
      </w:r>
      <w:r w:rsidR="008D33E2" w:rsidRPr="00B52D53">
        <w:rPr>
          <w:rFonts w:ascii="Calibri" w:hAnsi="Calibri" w:cs="Calibri"/>
          <w:color w:val="auto"/>
          <w:sz w:val="22"/>
          <w:lang w:val="en-US"/>
        </w:rPr>
        <w:t>Operational Risk Requirement</w:t>
      </w:r>
      <w:r w:rsidR="00562C86" w:rsidRPr="00B52D53">
        <w:rPr>
          <w:rFonts w:ascii="Calibri" w:hAnsi="Calibri" w:cs="Calibri"/>
          <w:color w:val="auto"/>
          <w:sz w:val="22"/>
          <w:lang w:val="en-US"/>
        </w:rPr>
        <w:t>)</w:t>
      </w:r>
      <w:r w:rsidR="008D33E2" w:rsidRPr="00B52D53">
        <w:rPr>
          <w:rFonts w:ascii="Calibri" w:hAnsi="Calibri" w:cs="Calibri"/>
          <w:color w:val="auto"/>
          <w:sz w:val="22"/>
          <w:lang w:val="en-US"/>
        </w:rPr>
        <w:t>.</w:t>
      </w:r>
    </w:p>
    <w:p w14:paraId="461544B4" w14:textId="75E4EF2A" w:rsidR="00562C86" w:rsidRPr="00B52D53" w:rsidRDefault="00562C86" w:rsidP="009F73BE">
      <w:pPr>
        <w:pStyle w:val="ListParagraph"/>
        <w:numPr>
          <w:ilvl w:val="2"/>
          <w:numId w:val="95"/>
        </w:numPr>
        <w:jc w:val="both"/>
        <w:rPr>
          <w:rFonts w:ascii="Calibri" w:hAnsi="Calibri" w:cs="Calibri"/>
          <w:color w:val="auto"/>
          <w:sz w:val="22"/>
          <w:lang w:val="en-US"/>
        </w:rPr>
      </w:pPr>
      <w:r w:rsidRPr="00B52D53">
        <w:rPr>
          <w:rFonts w:ascii="Calibri" w:hAnsi="Calibri" w:cs="Calibri"/>
          <w:color w:val="auto"/>
          <w:sz w:val="22"/>
          <w:lang w:val="en-US"/>
        </w:rPr>
        <w:t>TRR covers operational risk, counterparty risk, position risk, underwriting risk, exposure risk.</w:t>
      </w:r>
    </w:p>
    <w:p w14:paraId="0012152D" w14:textId="50C23919" w:rsidR="00EF1D07" w:rsidRPr="00B52D53" w:rsidRDefault="00EF1D07" w:rsidP="009F73BE">
      <w:pPr>
        <w:pStyle w:val="ListParagraph"/>
        <w:numPr>
          <w:ilvl w:val="2"/>
          <w:numId w:val="95"/>
        </w:numPr>
        <w:jc w:val="both"/>
        <w:rPr>
          <w:rFonts w:ascii="Calibri" w:hAnsi="Calibri" w:cs="Calibri"/>
          <w:color w:val="auto"/>
          <w:sz w:val="22"/>
          <w:lang w:val="en-US"/>
        </w:rPr>
      </w:pPr>
      <w:r w:rsidRPr="00B52D53">
        <w:rPr>
          <w:rFonts w:ascii="Calibri" w:hAnsi="Calibri" w:cs="Calibri"/>
          <w:color w:val="auto"/>
          <w:sz w:val="22"/>
          <w:lang w:val="en-US"/>
        </w:rPr>
        <w:t>Financial Resource = Base Capital + Other Capital</w:t>
      </w:r>
      <w:r w:rsidR="008D33E2" w:rsidRPr="00B52D53">
        <w:rPr>
          <w:rFonts w:ascii="Calibri" w:hAnsi="Calibri" w:cs="Calibri"/>
          <w:color w:val="auto"/>
          <w:sz w:val="22"/>
          <w:lang w:val="en-US"/>
        </w:rPr>
        <w:t xml:space="preserve"> (e.g., revaluation reserves)</w:t>
      </w:r>
      <w:r w:rsidRPr="00B52D53">
        <w:rPr>
          <w:rFonts w:ascii="Calibri" w:hAnsi="Calibri" w:cs="Calibri"/>
          <w:color w:val="auto"/>
          <w:sz w:val="22"/>
          <w:lang w:val="en-US"/>
        </w:rPr>
        <w:t xml:space="preserve"> </w:t>
      </w:r>
      <w:r w:rsidR="008D33E2" w:rsidRPr="00B52D53">
        <w:rPr>
          <w:rFonts w:ascii="Calibri" w:hAnsi="Calibri" w:cs="Calibri"/>
          <w:color w:val="auto"/>
          <w:sz w:val="22"/>
          <w:lang w:val="en-US"/>
        </w:rPr>
        <w:t>–</w:t>
      </w:r>
      <w:r w:rsidRPr="00B52D53">
        <w:rPr>
          <w:rFonts w:ascii="Calibri" w:hAnsi="Calibri" w:cs="Calibri"/>
          <w:color w:val="auto"/>
          <w:sz w:val="22"/>
          <w:lang w:val="en-US"/>
        </w:rPr>
        <w:t xml:space="preserve"> deductibles</w:t>
      </w:r>
      <w:r w:rsidR="008D33E2" w:rsidRPr="00B52D53">
        <w:rPr>
          <w:rFonts w:ascii="Calibri" w:hAnsi="Calibri" w:cs="Calibri"/>
          <w:color w:val="auto"/>
          <w:sz w:val="22"/>
          <w:lang w:val="en-US"/>
        </w:rPr>
        <w:t xml:space="preserve"> (e.g., intangibles or non-current assets)</w:t>
      </w:r>
    </w:p>
    <w:p w14:paraId="0F3D357D" w14:textId="070B040C" w:rsidR="00EB5993" w:rsidRPr="00B52D53" w:rsidRDefault="00EB5993" w:rsidP="009F73BE">
      <w:pPr>
        <w:pStyle w:val="ListParagraph"/>
        <w:numPr>
          <w:ilvl w:val="2"/>
          <w:numId w:val="95"/>
        </w:numPr>
        <w:jc w:val="both"/>
        <w:rPr>
          <w:rFonts w:ascii="Calibri" w:hAnsi="Calibri" w:cs="Calibri"/>
          <w:color w:val="auto"/>
          <w:sz w:val="22"/>
          <w:lang w:val="en-US"/>
        </w:rPr>
      </w:pPr>
      <w:r w:rsidRPr="00B52D53">
        <w:rPr>
          <w:rFonts w:ascii="Calibri" w:hAnsi="Calibri" w:cs="Calibri"/>
          <w:color w:val="auto"/>
          <w:sz w:val="22"/>
          <w:lang w:val="en-US"/>
        </w:rPr>
        <w:t xml:space="preserve">Average </w:t>
      </w:r>
      <w:r w:rsidR="008D33E2" w:rsidRPr="00B52D53">
        <w:rPr>
          <w:rFonts w:ascii="Calibri" w:hAnsi="Calibri" w:cs="Calibri"/>
          <w:color w:val="auto"/>
          <w:sz w:val="22"/>
          <w:lang w:val="en-US"/>
        </w:rPr>
        <w:t>Adjusted Asset</w:t>
      </w:r>
      <w:r w:rsidRPr="00B52D53">
        <w:rPr>
          <w:rFonts w:ascii="Calibri" w:hAnsi="Calibri" w:cs="Calibri"/>
          <w:color w:val="auto"/>
          <w:sz w:val="22"/>
          <w:lang w:val="en-US"/>
        </w:rPr>
        <w:t xml:space="preserve"> = (AM1 + AM2 + AM3)</w:t>
      </w:r>
      <w:r w:rsidR="003421CA">
        <w:rPr>
          <w:rFonts w:ascii="Calibri" w:hAnsi="Calibri" w:cs="Calibri"/>
          <w:color w:val="auto"/>
          <w:sz w:val="22"/>
          <w:lang w:val="en-US"/>
        </w:rPr>
        <w:t>/</w:t>
      </w:r>
      <w:r w:rsidRPr="00B52D53">
        <w:rPr>
          <w:rFonts w:ascii="Calibri" w:hAnsi="Calibri" w:cs="Calibri"/>
          <w:color w:val="auto"/>
          <w:sz w:val="22"/>
          <w:lang w:val="en-US"/>
        </w:rPr>
        <w:t xml:space="preserve">3, where AM </w:t>
      </w:r>
      <w:r w:rsidR="008D33E2" w:rsidRPr="00B52D53">
        <w:rPr>
          <w:rFonts w:ascii="Calibri" w:hAnsi="Calibri" w:cs="Calibri"/>
          <w:color w:val="auto"/>
          <w:sz w:val="22"/>
          <w:lang w:val="en-US"/>
        </w:rPr>
        <w:t>(aka Asset Measure)</w:t>
      </w:r>
      <w:r w:rsidRPr="00B52D53">
        <w:rPr>
          <w:rFonts w:ascii="Calibri" w:hAnsi="Calibri" w:cs="Calibri"/>
          <w:color w:val="auto"/>
          <w:sz w:val="22"/>
          <w:lang w:val="en-US"/>
        </w:rPr>
        <w:t xml:space="preserve"> </w:t>
      </w:r>
      <w:r w:rsidR="008D33E2" w:rsidRPr="00B52D53">
        <w:rPr>
          <w:rFonts w:ascii="Calibri" w:hAnsi="Calibri" w:cs="Calibri"/>
          <w:color w:val="auto"/>
          <w:sz w:val="22"/>
          <w:lang w:val="en-US"/>
        </w:rPr>
        <w:t>= O</w:t>
      </w:r>
      <w:r w:rsidRPr="00B52D53">
        <w:rPr>
          <w:rFonts w:ascii="Calibri" w:hAnsi="Calibri" w:cs="Calibri"/>
          <w:color w:val="auto"/>
          <w:sz w:val="22"/>
          <w:lang w:val="en-US"/>
        </w:rPr>
        <w:t xml:space="preserve">n balance sheet assets + </w:t>
      </w:r>
      <w:r w:rsidR="008D33E2" w:rsidRPr="00B52D53">
        <w:rPr>
          <w:rFonts w:ascii="Calibri" w:hAnsi="Calibri" w:cs="Calibri"/>
          <w:color w:val="auto"/>
          <w:sz w:val="22"/>
          <w:lang w:val="en-US"/>
        </w:rPr>
        <w:t>O</w:t>
      </w:r>
      <w:r w:rsidRPr="00B52D53">
        <w:rPr>
          <w:rFonts w:ascii="Calibri" w:hAnsi="Calibri" w:cs="Calibri"/>
          <w:color w:val="auto"/>
          <w:sz w:val="22"/>
          <w:lang w:val="en-US"/>
        </w:rPr>
        <w:t>ff balance sheet assets - deductibles</w:t>
      </w:r>
    </w:p>
    <w:p w14:paraId="39C357C5" w14:textId="6E652C1C" w:rsidR="008D33E2" w:rsidRPr="00B52D53" w:rsidRDefault="00EB5993" w:rsidP="009F73BE">
      <w:pPr>
        <w:pStyle w:val="ListParagraph"/>
        <w:numPr>
          <w:ilvl w:val="2"/>
          <w:numId w:val="95"/>
        </w:numPr>
        <w:jc w:val="both"/>
        <w:rPr>
          <w:rFonts w:ascii="Calibri" w:hAnsi="Calibri" w:cs="Calibri"/>
          <w:color w:val="auto"/>
          <w:sz w:val="22"/>
          <w:lang w:val="en-US"/>
        </w:rPr>
      </w:pPr>
      <w:r w:rsidRPr="00B52D53">
        <w:rPr>
          <w:rFonts w:ascii="Calibri" w:hAnsi="Calibri" w:cs="Calibri"/>
          <w:color w:val="auto"/>
          <w:sz w:val="22"/>
          <w:lang w:val="en-US"/>
        </w:rPr>
        <w:t>If Average A</w:t>
      </w:r>
      <w:r w:rsidR="008D33E2" w:rsidRPr="00B52D53">
        <w:rPr>
          <w:rFonts w:ascii="Calibri" w:hAnsi="Calibri" w:cs="Calibri"/>
          <w:color w:val="auto"/>
          <w:sz w:val="22"/>
          <w:lang w:val="en-US"/>
        </w:rPr>
        <w:t>djusted Asset</w:t>
      </w:r>
      <w:r w:rsidRPr="00B52D53">
        <w:rPr>
          <w:rFonts w:ascii="Calibri" w:hAnsi="Calibri" w:cs="Calibri"/>
          <w:color w:val="auto"/>
          <w:sz w:val="22"/>
          <w:lang w:val="en-US"/>
        </w:rPr>
        <w:t xml:space="preserve"> exceeds the m</w:t>
      </w:r>
      <w:r w:rsidR="00EF1D07" w:rsidRPr="00B52D53">
        <w:rPr>
          <w:rFonts w:ascii="Calibri" w:hAnsi="Calibri" w:cs="Calibri"/>
          <w:color w:val="auto"/>
          <w:sz w:val="22"/>
          <w:lang w:val="en-US"/>
        </w:rPr>
        <w:t>in</w:t>
      </w:r>
      <w:r w:rsidRPr="00B52D53">
        <w:rPr>
          <w:rFonts w:ascii="Calibri" w:hAnsi="Calibri" w:cs="Calibri"/>
          <w:color w:val="auto"/>
          <w:sz w:val="22"/>
          <w:lang w:val="en-US"/>
        </w:rPr>
        <w:t xml:space="preserve"> ($10M, 5 * Financial Resource), then it is subject to RBC</w:t>
      </w:r>
      <w:r w:rsidR="003421CA">
        <w:rPr>
          <w:rFonts w:ascii="Calibri" w:hAnsi="Calibri" w:cs="Calibri"/>
          <w:color w:val="auto"/>
          <w:sz w:val="22"/>
          <w:lang w:val="en-US"/>
        </w:rPr>
        <w:t>/</w:t>
      </w:r>
      <w:r w:rsidR="00562C86" w:rsidRPr="00B52D53">
        <w:rPr>
          <w:rFonts w:ascii="Calibri" w:hAnsi="Calibri" w:cs="Calibri"/>
          <w:color w:val="auto"/>
          <w:sz w:val="22"/>
          <w:lang w:val="en-US"/>
        </w:rPr>
        <w:t>TRR</w:t>
      </w:r>
      <w:r w:rsidR="00EF1D07" w:rsidRPr="00B52D53">
        <w:rPr>
          <w:rFonts w:ascii="Calibri" w:hAnsi="Calibri" w:cs="Calibri"/>
          <w:color w:val="auto"/>
          <w:sz w:val="22"/>
          <w:lang w:val="en-US"/>
        </w:rPr>
        <w:t xml:space="preserve">. Otherwise, it is only subject to </w:t>
      </w:r>
      <w:r w:rsidR="00562C86" w:rsidRPr="00B52D53">
        <w:rPr>
          <w:rFonts w:ascii="Calibri" w:hAnsi="Calibri" w:cs="Calibri"/>
          <w:color w:val="auto"/>
          <w:sz w:val="22"/>
          <w:lang w:val="en-US"/>
        </w:rPr>
        <w:t xml:space="preserve">ORR, which is </w:t>
      </w:r>
      <w:r w:rsidR="008D33E2" w:rsidRPr="00B52D53">
        <w:rPr>
          <w:rFonts w:ascii="Calibri" w:hAnsi="Calibri" w:cs="Calibri"/>
          <w:color w:val="auto"/>
          <w:sz w:val="22"/>
          <w:lang w:val="en-US"/>
        </w:rPr>
        <w:t xml:space="preserve">max (X% applied to </w:t>
      </w:r>
      <w:r w:rsidR="00760218">
        <w:rPr>
          <w:rFonts w:ascii="Calibri" w:hAnsi="Calibri" w:cs="Calibri"/>
          <w:color w:val="auto"/>
          <w:sz w:val="22"/>
          <w:lang w:val="en-US"/>
        </w:rPr>
        <w:t xml:space="preserve">average </w:t>
      </w:r>
      <w:r w:rsidR="008D33E2" w:rsidRPr="00B52D53">
        <w:rPr>
          <w:rFonts w:ascii="Calibri" w:hAnsi="Calibri" w:cs="Calibri"/>
          <w:color w:val="auto"/>
          <w:sz w:val="22"/>
          <w:lang w:val="en-US"/>
        </w:rPr>
        <w:t xml:space="preserve">gross income in last 3 years, $100K) </w:t>
      </w:r>
    </w:p>
    <w:p w14:paraId="0F114D89" w14:textId="18D6F56F" w:rsidR="00916E81" w:rsidRPr="00B52D53" w:rsidRDefault="008D33E2" w:rsidP="009F73BE">
      <w:pPr>
        <w:pStyle w:val="ListParagraph"/>
        <w:numPr>
          <w:ilvl w:val="4"/>
          <w:numId w:val="95"/>
        </w:numPr>
        <w:jc w:val="both"/>
        <w:rPr>
          <w:rFonts w:ascii="Calibri" w:hAnsi="Calibri" w:cs="Calibri"/>
          <w:color w:val="auto"/>
          <w:sz w:val="22"/>
          <w:lang w:val="en-US"/>
        </w:rPr>
      </w:pPr>
      <w:r w:rsidRPr="00B52D53">
        <w:rPr>
          <w:rFonts w:ascii="Calibri" w:hAnsi="Calibri" w:cs="Calibri"/>
          <w:color w:val="auto"/>
          <w:sz w:val="22"/>
          <w:lang w:val="en-US"/>
        </w:rPr>
        <w:lastRenderedPageBreak/>
        <w:t xml:space="preserve">5% if </w:t>
      </w:r>
      <w:r w:rsidR="00916E81" w:rsidRPr="00B52D53">
        <w:rPr>
          <w:rFonts w:ascii="Calibri" w:hAnsi="Calibri" w:cs="Calibri"/>
          <w:color w:val="auto"/>
          <w:sz w:val="22"/>
          <w:lang w:val="en-US"/>
        </w:rPr>
        <w:t xml:space="preserve">any </w:t>
      </w:r>
      <w:r w:rsidR="00490302">
        <w:rPr>
          <w:rFonts w:ascii="Calibri" w:hAnsi="Calibri" w:cs="Calibri"/>
          <w:color w:val="auto"/>
          <w:sz w:val="22"/>
          <w:lang w:val="en-US"/>
        </w:rPr>
        <w:t xml:space="preserve">average </w:t>
      </w:r>
      <w:r w:rsidRPr="00B52D53">
        <w:rPr>
          <w:rFonts w:ascii="Calibri" w:hAnsi="Calibri" w:cs="Calibri"/>
          <w:color w:val="auto"/>
          <w:sz w:val="22"/>
          <w:lang w:val="en-US"/>
        </w:rPr>
        <w:t>g</w:t>
      </w:r>
      <w:r w:rsidR="00EF1D07" w:rsidRPr="00B52D53">
        <w:rPr>
          <w:rFonts w:ascii="Calibri" w:hAnsi="Calibri" w:cs="Calibri"/>
          <w:color w:val="auto"/>
          <w:sz w:val="22"/>
          <w:lang w:val="en-US"/>
        </w:rPr>
        <w:t xml:space="preserve">ross </w:t>
      </w:r>
      <w:r w:rsidRPr="00B52D53">
        <w:rPr>
          <w:rFonts w:ascii="Calibri" w:hAnsi="Calibri" w:cs="Calibri"/>
          <w:color w:val="auto"/>
          <w:sz w:val="22"/>
          <w:lang w:val="en-US"/>
        </w:rPr>
        <w:t>i</w:t>
      </w:r>
      <w:r w:rsidR="00EF1D07" w:rsidRPr="00B52D53">
        <w:rPr>
          <w:rFonts w:ascii="Calibri" w:hAnsi="Calibri" w:cs="Calibri"/>
          <w:color w:val="auto"/>
          <w:sz w:val="22"/>
          <w:lang w:val="en-US"/>
        </w:rPr>
        <w:t>ncome in last 3 years &lt;= $10M</w:t>
      </w:r>
    </w:p>
    <w:p w14:paraId="6769E71A" w14:textId="7A63E59A" w:rsidR="00EF1D07" w:rsidRPr="00B52D53" w:rsidRDefault="00EF1D07" w:rsidP="009F73BE">
      <w:pPr>
        <w:pStyle w:val="ListParagraph"/>
        <w:numPr>
          <w:ilvl w:val="4"/>
          <w:numId w:val="95"/>
        </w:numPr>
        <w:jc w:val="both"/>
        <w:rPr>
          <w:rFonts w:ascii="Calibri" w:hAnsi="Calibri" w:cs="Calibri"/>
          <w:color w:val="auto"/>
          <w:sz w:val="22"/>
          <w:lang w:val="en-US"/>
        </w:rPr>
      </w:pPr>
      <w:r w:rsidRPr="00B52D53">
        <w:rPr>
          <w:rFonts w:ascii="Calibri" w:hAnsi="Calibri" w:cs="Calibri"/>
          <w:color w:val="auto"/>
          <w:sz w:val="22"/>
          <w:lang w:val="en-US"/>
        </w:rPr>
        <w:t xml:space="preserve">2% </w:t>
      </w:r>
      <w:r w:rsidR="00916E81" w:rsidRPr="00B52D53">
        <w:rPr>
          <w:rFonts w:ascii="Calibri" w:hAnsi="Calibri" w:cs="Calibri"/>
          <w:color w:val="auto"/>
          <w:sz w:val="22"/>
          <w:lang w:val="en-US"/>
        </w:rPr>
        <w:t xml:space="preserve">if any </w:t>
      </w:r>
      <w:r w:rsidR="00E705B4">
        <w:rPr>
          <w:rFonts w:ascii="Calibri" w:hAnsi="Calibri" w:cs="Calibri"/>
          <w:color w:val="auto"/>
          <w:sz w:val="22"/>
          <w:lang w:val="en-US"/>
        </w:rPr>
        <w:t xml:space="preserve">average </w:t>
      </w:r>
      <w:r w:rsidR="00916E81" w:rsidRPr="00B52D53">
        <w:rPr>
          <w:rFonts w:ascii="Calibri" w:hAnsi="Calibri" w:cs="Calibri"/>
          <w:color w:val="auto"/>
          <w:sz w:val="22"/>
          <w:lang w:val="en-US"/>
        </w:rPr>
        <w:t>gross income in last 3 years &gt; $10M</w:t>
      </w:r>
    </w:p>
    <w:p w14:paraId="43D8F000" w14:textId="7EA2F20A" w:rsidR="00F517D2" w:rsidRPr="00B52D53" w:rsidRDefault="00F517D2" w:rsidP="009F73BE">
      <w:pPr>
        <w:pStyle w:val="BodyText"/>
        <w:numPr>
          <w:ilvl w:val="1"/>
          <w:numId w:val="95"/>
        </w:numPr>
        <w:jc w:val="both"/>
        <w:rPr>
          <w:rFonts w:ascii="Calibri" w:hAnsi="Calibri" w:cs="Calibri"/>
          <w:b/>
          <w:bCs/>
          <w:color w:val="auto"/>
          <w:sz w:val="22"/>
          <w:lang w:val="en-US"/>
        </w:rPr>
      </w:pPr>
      <w:r w:rsidRPr="00B52D53">
        <w:rPr>
          <w:rFonts w:ascii="Calibri" w:hAnsi="Calibri" w:cs="Calibri"/>
          <w:b/>
          <w:bCs/>
          <w:color w:val="auto"/>
          <w:sz w:val="22"/>
          <w:lang w:val="en-US"/>
        </w:rPr>
        <w:t>R</w:t>
      </w:r>
      <w:r w:rsidR="00562C86" w:rsidRPr="00B52D53">
        <w:rPr>
          <w:rFonts w:ascii="Calibri" w:hAnsi="Calibri" w:cs="Calibri"/>
          <w:b/>
          <w:bCs/>
          <w:color w:val="auto"/>
          <w:sz w:val="22"/>
          <w:lang w:val="en-US"/>
        </w:rPr>
        <w:t>isk management framewor</w:t>
      </w:r>
      <w:r w:rsidRPr="00B52D53">
        <w:rPr>
          <w:rFonts w:ascii="Calibri" w:hAnsi="Calibri" w:cs="Calibri"/>
          <w:b/>
          <w:bCs/>
          <w:color w:val="auto"/>
          <w:sz w:val="22"/>
          <w:lang w:val="en-US"/>
        </w:rPr>
        <w:t>k</w:t>
      </w:r>
      <w:r w:rsidRPr="00B52D53">
        <w:rPr>
          <w:rFonts w:ascii="Calibri" w:hAnsi="Calibri" w:cs="Calibri"/>
          <w:color w:val="auto"/>
          <w:sz w:val="22"/>
          <w:lang w:val="en-US"/>
        </w:rPr>
        <w:t>:</w:t>
      </w:r>
      <w:r w:rsidRPr="00B52D53">
        <w:rPr>
          <w:rFonts w:ascii="Calibri" w:hAnsi="Calibri" w:cs="Calibri"/>
          <w:b/>
          <w:bCs/>
          <w:color w:val="auto"/>
          <w:sz w:val="22"/>
          <w:lang w:val="en-US"/>
        </w:rPr>
        <w:t xml:space="preserve"> </w:t>
      </w:r>
      <w:r w:rsidRPr="00B52D53">
        <w:rPr>
          <w:rFonts w:ascii="Calibri" w:hAnsi="Calibri" w:cs="Calibri"/>
          <w:color w:val="auto"/>
          <w:sz w:val="22"/>
          <w:lang w:val="en-US"/>
        </w:rPr>
        <w:t>Supported by sound governance and</w:t>
      </w:r>
      <w:r w:rsidR="00567AB2" w:rsidRPr="00B52D53">
        <w:rPr>
          <w:rFonts w:ascii="Calibri" w:hAnsi="Calibri" w:cs="Calibri"/>
          <w:color w:val="auto"/>
          <w:sz w:val="22"/>
          <w:lang w:val="en-US"/>
        </w:rPr>
        <w:t xml:space="preserve"> has l</w:t>
      </w:r>
      <w:r w:rsidRPr="00B52D53">
        <w:rPr>
          <w:rFonts w:ascii="Calibri" w:hAnsi="Calibri" w:cs="Calibri"/>
          <w:color w:val="auto"/>
          <w:sz w:val="22"/>
          <w:lang w:val="en-US"/>
        </w:rPr>
        <w:t>iquidity risk management function</w:t>
      </w:r>
      <w:r w:rsidR="003421CA">
        <w:rPr>
          <w:rFonts w:ascii="Calibri" w:hAnsi="Calibri" w:cs="Calibri"/>
          <w:color w:val="auto"/>
          <w:sz w:val="22"/>
          <w:lang w:val="en-US"/>
        </w:rPr>
        <w:t>/</w:t>
      </w:r>
      <w:r w:rsidRPr="00B52D53">
        <w:rPr>
          <w:rFonts w:ascii="Calibri" w:hAnsi="Calibri" w:cs="Calibri"/>
          <w:color w:val="auto"/>
          <w:sz w:val="22"/>
          <w:lang w:val="en-US"/>
        </w:rPr>
        <w:t>framework</w:t>
      </w:r>
      <w:r w:rsidR="00567AB2" w:rsidRPr="00B52D53">
        <w:rPr>
          <w:rFonts w:ascii="Calibri" w:hAnsi="Calibri" w:cs="Calibri"/>
          <w:color w:val="auto"/>
          <w:sz w:val="22"/>
          <w:lang w:val="en-US"/>
        </w:rPr>
        <w:t xml:space="preserve"> to manage CIS liquidity on an ongoing basis (based on investment strategy, dealing frequency, redemption policy, aggregated fund flows etc.).</w:t>
      </w:r>
    </w:p>
    <w:p w14:paraId="401359A9" w14:textId="1306372B" w:rsidR="00562C86" w:rsidRPr="00B52D53" w:rsidRDefault="00562C86" w:rsidP="009F73BE">
      <w:pPr>
        <w:pStyle w:val="BodyText"/>
        <w:numPr>
          <w:ilvl w:val="1"/>
          <w:numId w:val="95"/>
        </w:numPr>
        <w:jc w:val="both"/>
        <w:rPr>
          <w:rFonts w:ascii="Calibri" w:hAnsi="Calibri" w:cs="Calibri"/>
          <w:b/>
          <w:bCs/>
          <w:color w:val="auto"/>
          <w:sz w:val="22"/>
          <w:lang w:val="en-US"/>
        </w:rPr>
      </w:pPr>
      <w:r w:rsidRPr="00B52D53">
        <w:rPr>
          <w:rFonts w:ascii="Calibri" w:hAnsi="Calibri" w:cs="Calibri"/>
          <w:b/>
          <w:bCs/>
          <w:color w:val="auto"/>
          <w:sz w:val="22"/>
          <w:lang w:val="en-US"/>
        </w:rPr>
        <w:t>Audits</w:t>
      </w:r>
      <w:r w:rsidRPr="00B52D53">
        <w:rPr>
          <w:rFonts w:ascii="Calibri" w:hAnsi="Calibri" w:cs="Calibri"/>
          <w:color w:val="auto"/>
          <w:sz w:val="22"/>
          <w:lang w:val="en-US"/>
        </w:rPr>
        <w:t xml:space="preserve">: Subject to adequate </w:t>
      </w:r>
      <w:r w:rsidRPr="00B52D53">
        <w:rPr>
          <w:rFonts w:ascii="Calibri" w:hAnsi="Calibri" w:cs="Calibri"/>
          <w:color w:val="auto"/>
          <w:sz w:val="22"/>
          <w:u w:val="single"/>
          <w:lang w:val="en-US"/>
        </w:rPr>
        <w:t>internal audits</w:t>
      </w:r>
      <w:r w:rsidRPr="00B52D53">
        <w:rPr>
          <w:rFonts w:ascii="Calibri" w:hAnsi="Calibri" w:cs="Calibri"/>
          <w:color w:val="auto"/>
          <w:sz w:val="22"/>
          <w:lang w:val="en-US"/>
        </w:rPr>
        <w:t xml:space="preserve"> and arrange for </w:t>
      </w:r>
      <w:r w:rsidRPr="00B52D53">
        <w:rPr>
          <w:rFonts w:ascii="Calibri" w:hAnsi="Calibri" w:cs="Calibri"/>
          <w:color w:val="auto"/>
          <w:sz w:val="22"/>
          <w:u w:val="single"/>
          <w:lang w:val="en-US"/>
        </w:rPr>
        <w:t>annual external audits of assets</w:t>
      </w:r>
      <w:r w:rsidRPr="00B52D53">
        <w:rPr>
          <w:rFonts w:ascii="Calibri" w:hAnsi="Calibri" w:cs="Calibri"/>
          <w:color w:val="auto"/>
          <w:sz w:val="22"/>
          <w:lang w:val="en-US"/>
        </w:rPr>
        <w:t xml:space="preserve"> and </w:t>
      </w:r>
      <w:r w:rsidRPr="00B52D53">
        <w:rPr>
          <w:rFonts w:ascii="Calibri" w:hAnsi="Calibri" w:cs="Calibri"/>
          <w:color w:val="auto"/>
          <w:sz w:val="22"/>
          <w:u w:val="single"/>
          <w:lang w:val="en-US"/>
        </w:rPr>
        <w:t>provide audit reports to clients</w:t>
      </w:r>
      <w:r w:rsidRPr="00B52D53">
        <w:rPr>
          <w:rFonts w:ascii="Calibri" w:hAnsi="Calibri" w:cs="Calibri"/>
          <w:b/>
          <w:bCs/>
          <w:color w:val="auto"/>
          <w:sz w:val="22"/>
          <w:lang w:val="en-US"/>
        </w:rPr>
        <w:t xml:space="preserve"> </w:t>
      </w:r>
    </w:p>
    <w:p w14:paraId="12AC0C96" w14:textId="1E87F0BA" w:rsidR="00CC75AD" w:rsidRDefault="00C92B49" w:rsidP="009F73BE">
      <w:pPr>
        <w:pStyle w:val="ListParagraph"/>
        <w:numPr>
          <w:ilvl w:val="1"/>
          <w:numId w:val="95"/>
        </w:numPr>
        <w:jc w:val="both"/>
        <w:rPr>
          <w:rFonts w:ascii="Calibri" w:hAnsi="Calibri" w:cs="Calibri"/>
          <w:color w:val="auto"/>
          <w:sz w:val="22"/>
          <w:lang w:val="en-US"/>
        </w:rPr>
      </w:pPr>
      <w:r w:rsidRPr="00CC75AD">
        <w:rPr>
          <w:rFonts w:ascii="Calibri" w:hAnsi="Calibri" w:cs="Calibri"/>
          <w:b/>
          <w:bCs/>
          <w:color w:val="auto"/>
          <w:sz w:val="22"/>
          <w:lang w:val="en-US"/>
        </w:rPr>
        <w:t xml:space="preserve">Retail </w:t>
      </w:r>
      <w:r w:rsidR="00B72D51">
        <w:rPr>
          <w:rFonts w:ascii="Calibri" w:hAnsi="Calibri" w:cs="Calibri"/>
          <w:b/>
          <w:bCs/>
          <w:color w:val="auto"/>
          <w:sz w:val="22"/>
          <w:lang w:val="en-US"/>
        </w:rPr>
        <w:t>LFMC</w:t>
      </w:r>
      <w:r w:rsidRPr="00CC75AD">
        <w:rPr>
          <w:rFonts w:ascii="Calibri" w:hAnsi="Calibri" w:cs="Calibri"/>
          <w:b/>
          <w:bCs/>
          <w:color w:val="auto"/>
          <w:sz w:val="22"/>
          <w:lang w:val="en-US"/>
        </w:rPr>
        <w:t xml:space="preserve"> Requirements</w:t>
      </w:r>
      <w:r w:rsidR="00CC75AD" w:rsidRPr="00CC75AD">
        <w:rPr>
          <w:rFonts w:ascii="Calibri" w:hAnsi="Calibri" w:cs="Calibri"/>
          <w:b/>
          <w:bCs/>
          <w:color w:val="auto"/>
          <w:sz w:val="22"/>
          <w:lang w:val="en-US"/>
        </w:rPr>
        <w:t xml:space="preserve"> (in addition to above)</w:t>
      </w:r>
      <w:r w:rsidR="00CC75AD" w:rsidRPr="00CC75AD">
        <w:rPr>
          <w:rFonts w:ascii="Calibri" w:hAnsi="Calibri" w:cs="Calibri"/>
          <w:color w:val="auto"/>
          <w:sz w:val="22"/>
          <w:lang w:val="en-US"/>
        </w:rPr>
        <w:t xml:space="preserve">: </w:t>
      </w:r>
    </w:p>
    <w:p w14:paraId="628F73C4" w14:textId="5539D0EB" w:rsidR="00EF1D07" w:rsidRPr="00B52D53" w:rsidRDefault="00EF1D07" w:rsidP="00CC75AD">
      <w:pPr>
        <w:pStyle w:val="ListParagraph"/>
        <w:numPr>
          <w:ilvl w:val="2"/>
          <w:numId w:val="95"/>
        </w:numPr>
        <w:jc w:val="both"/>
        <w:rPr>
          <w:rFonts w:ascii="Calibri" w:hAnsi="Calibri" w:cs="Calibri"/>
          <w:color w:val="auto"/>
          <w:sz w:val="22"/>
          <w:lang w:val="en-US"/>
        </w:rPr>
      </w:pPr>
      <w:r w:rsidRPr="00B52D53">
        <w:rPr>
          <w:rFonts w:ascii="Calibri" w:hAnsi="Calibri" w:cs="Calibri"/>
          <w:color w:val="auto"/>
          <w:sz w:val="22"/>
          <w:lang w:val="en-US"/>
        </w:rPr>
        <w:t xml:space="preserve">All Retail </w:t>
      </w:r>
      <w:r w:rsidR="00B72D51">
        <w:rPr>
          <w:rFonts w:ascii="Calibri" w:hAnsi="Calibri" w:cs="Calibri"/>
          <w:color w:val="auto"/>
          <w:sz w:val="22"/>
          <w:lang w:val="en-US"/>
        </w:rPr>
        <w:t>LFMC</w:t>
      </w:r>
      <w:r w:rsidRPr="00B52D53">
        <w:rPr>
          <w:rFonts w:ascii="Calibri" w:hAnsi="Calibri" w:cs="Calibri"/>
          <w:color w:val="auto"/>
          <w:sz w:val="22"/>
          <w:lang w:val="en-US"/>
        </w:rPr>
        <w:t xml:space="preserve">s must </w:t>
      </w:r>
      <w:r w:rsidR="003D306A" w:rsidRPr="00B52D53">
        <w:rPr>
          <w:rFonts w:ascii="Calibri" w:hAnsi="Calibri" w:cs="Calibri"/>
          <w:color w:val="auto"/>
          <w:sz w:val="22"/>
          <w:lang w:val="en-US"/>
        </w:rPr>
        <w:t xml:space="preserve">have </w:t>
      </w:r>
      <w:r w:rsidR="003D306A" w:rsidRPr="00614BCB">
        <w:rPr>
          <w:rFonts w:ascii="Calibri" w:hAnsi="Calibri" w:cs="Calibri"/>
          <w:color w:val="auto"/>
          <w:sz w:val="22"/>
          <w:u w:val="single"/>
          <w:lang w:val="en-US"/>
        </w:rPr>
        <w:t>at least 5-year track record and have at least $1B AUM</w:t>
      </w:r>
      <w:r w:rsidR="00562C86" w:rsidRPr="00B52D53">
        <w:rPr>
          <w:rFonts w:ascii="Calibri" w:hAnsi="Calibri" w:cs="Calibri"/>
          <w:color w:val="auto"/>
          <w:sz w:val="22"/>
          <w:lang w:val="en-US"/>
        </w:rPr>
        <w:t xml:space="preserve"> (through the </w:t>
      </w:r>
      <w:r w:rsidR="00B72D51">
        <w:rPr>
          <w:rFonts w:ascii="Calibri" w:hAnsi="Calibri" w:cs="Calibri"/>
          <w:color w:val="auto"/>
          <w:sz w:val="22"/>
          <w:lang w:val="en-US"/>
        </w:rPr>
        <w:t>LFMC</w:t>
      </w:r>
      <w:r w:rsidR="00562C86" w:rsidRPr="00B52D53">
        <w:rPr>
          <w:rFonts w:ascii="Calibri" w:hAnsi="Calibri" w:cs="Calibri"/>
          <w:color w:val="auto"/>
          <w:sz w:val="22"/>
          <w:lang w:val="en-US"/>
        </w:rPr>
        <w:t xml:space="preserve"> and its related corporations)</w:t>
      </w:r>
      <w:r w:rsidR="003D306A" w:rsidRPr="00B52D53">
        <w:rPr>
          <w:rFonts w:ascii="Calibri" w:hAnsi="Calibri" w:cs="Calibri"/>
          <w:color w:val="auto"/>
          <w:sz w:val="22"/>
          <w:lang w:val="en-US"/>
        </w:rPr>
        <w:t>.</w:t>
      </w:r>
    </w:p>
    <w:p w14:paraId="182AEEE9" w14:textId="66532E4E" w:rsidR="003D306A" w:rsidRPr="00B52D53" w:rsidRDefault="003D306A" w:rsidP="00CC75AD">
      <w:pPr>
        <w:pStyle w:val="ListParagraph"/>
        <w:numPr>
          <w:ilvl w:val="2"/>
          <w:numId w:val="95"/>
        </w:numPr>
        <w:jc w:val="both"/>
        <w:rPr>
          <w:rFonts w:ascii="Calibri" w:hAnsi="Calibri" w:cs="Calibri"/>
          <w:color w:val="auto"/>
          <w:sz w:val="22"/>
          <w:lang w:val="en-US"/>
        </w:rPr>
      </w:pPr>
      <w:r w:rsidRPr="00B52D53">
        <w:rPr>
          <w:rFonts w:ascii="Calibri" w:hAnsi="Calibri" w:cs="Calibri"/>
          <w:color w:val="auto"/>
          <w:sz w:val="22"/>
          <w:lang w:val="en-US"/>
        </w:rPr>
        <w:t xml:space="preserve">For Digital Advisors applying to be Retail </w:t>
      </w:r>
      <w:r w:rsidR="00B72D51">
        <w:rPr>
          <w:rFonts w:ascii="Calibri" w:hAnsi="Calibri" w:cs="Calibri"/>
          <w:color w:val="auto"/>
          <w:sz w:val="22"/>
          <w:lang w:val="en-US"/>
        </w:rPr>
        <w:t>LFMC</w:t>
      </w:r>
      <w:r w:rsidRPr="00B52D53">
        <w:rPr>
          <w:rFonts w:ascii="Calibri" w:hAnsi="Calibri" w:cs="Calibri"/>
          <w:color w:val="auto"/>
          <w:sz w:val="22"/>
          <w:lang w:val="en-US"/>
        </w:rPr>
        <w:t>s,</w:t>
      </w:r>
      <w:r w:rsidR="00562C86" w:rsidRPr="00B52D53">
        <w:rPr>
          <w:rFonts w:ascii="Calibri" w:hAnsi="Calibri" w:cs="Calibri"/>
          <w:color w:val="auto"/>
          <w:sz w:val="22"/>
          <w:lang w:val="en-US"/>
        </w:rPr>
        <w:t xml:space="preserve"> the</w:t>
      </w:r>
      <w:r w:rsidR="00AC360D">
        <w:rPr>
          <w:rFonts w:ascii="Calibri" w:hAnsi="Calibri" w:cs="Calibri"/>
          <w:color w:val="auto"/>
          <w:sz w:val="22"/>
          <w:lang w:val="en-US"/>
        </w:rPr>
        <w:t xml:space="preserve"> company</w:t>
      </w:r>
      <w:r w:rsidR="00562C86" w:rsidRPr="00B52D53">
        <w:rPr>
          <w:rFonts w:ascii="Calibri" w:hAnsi="Calibri" w:cs="Calibri"/>
          <w:color w:val="auto"/>
          <w:sz w:val="22"/>
          <w:lang w:val="en-US"/>
        </w:rPr>
        <w:t xml:space="preserve"> can be exempted from 5-year track record and $1B AUM requirements, subject to the following safeguards:</w:t>
      </w:r>
    </w:p>
    <w:p w14:paraId="7AC58CC0" w14:textId="4C305F4B" w:rsidR="003D306A" w:rsidRPr="00B52D53" w:rsidRDefault="003D306A" w:rsidP="00CC75AD">
      <w:pPr>
        <w:pStyle w:val="ListParagraph"/>
        <w:numPr>
          <w:ilvl w:val="3"/>
          <w:numId w:val="95"/>
        </w:numPr>
        <w:jc w:val="both"/>
        <w:rPr>
          <w:rFonts w:ascii="Calibri" w:hAnsi="Calibri" w:cs="Calibri"/>
          <w:color w:val="auto"/>
          <w:sz w:val="22"/>
          <w:lang w:val="en-US"/>
        </w:rPr>
      </w:pPr>
      <w:r w:rsidRPr="00B52D53">
        <w:rPr>
          <w:rFonts w:ascii="Calibri" w:hAnsi="Calibri" w:cs="Calibri"/>
          <w:color w:val="auto"/>
          <w:sz w:val="22"/>
          <w:lang w:val="en-US"/>
        </w:rPr>
        <w:t>All key personnels (CEO, directors) must have experience in fund management and technology</w:t>
      </w:r>
      <w:r w:rsidR="000C6146">
        <w:rPr>
          <w:rFonts w:ascii="Calibri" w:hAnsi="Calibri" w:cs="Calibri"/>
          <w:color w:val="auto"/>
          <w:sz w:val="22"/>
          <w:lang w:val="en-US"/>
        </w:rPr>
        <w:t xml:space="preserve"> to ensure </w:t>
      </w:r>
      <w:r w:rsidR="00AC360D">
        <w:rPr>
          <w:rFonts w:ascii="Calibri" w:hAnsi="Calibri" w:cs="Calibri"/>
          <w:color w:val="auto"/>
          <w:sz w:val="22"/>
          <w:lang w:val="en-US"/>
        </w:rPr>
        <w:t xml:space="preserve">sound risk management culture (e.g., policies, review/approval processes, controls etc.) </w:t>
      </w:r>
      <w:r w:rsidR="000C6146">
        <w:rPr>
          <w:rFonts w:ascii="Calibri" w:hAnsi="Calibri" w:cs="Calibri"/>
          <w:color w:val="auto"/>
          <w:sz w:val="22"/>
          <w:lang w:val="en-US"/>
        </w:rPr>
        <w:t>and</w:t>
      </w:r>
      <w:r w:rsidR="00AC360D">
        <w:rPr>
          <w:rFonts w:ascii="Calibri" w:hAnsi="Calibri" w:cs="Calibri"/>
          <w:color w:val="auto"/>
          <w:sz w:val="22"/>
          <w:lang w:val="en-US"/>
        </w:rPr>
        <w:t xml:space="preserve"> effective oversight and governance of their client-facing tools.</w:t>
      </w:r>
    </w:p>
    <w:p w14:paraId="502CA936" w14:textId="77777777" w:rsidR="00682C7C" w:rsidRDefault="003D306A" w:rsidP="00614BCB">
      <w:pPr>
        <w:pStyle w:val="ListParagraph"/>
        <w:numPr>
          <w:ilvl w:val="3"/>
          <w:numId w:val="95"/>
        </w:numPr>
        <w:jc w:val="both"/>
        <w:rPr>
          <w:rFonts w:ascii="Calibri" w:hAnsi="Calibri" w:cs="Calibri"/>
          <w:color w:val="auto"/>
          <w:sz w:val="22"/>
          <w:lang w:val="en-US"/>
        </w:rPr>
      </w:pPr>
      <w:r w:rsidRPr="00682C7C">
        <w:rPr>
          <w:rFonts w:ascii="Calibri" w:hAnsi="Calibri" w:cs="Calibri"/>
          <w:b/>
          <w:bCs/>
          <w:color w:val="auto"/>
          <w:sz w:val="22"/>
          <w:lang w:val="en-US"/>
        </w:rPr>
        <w:t>CIS offered to retail clients</w:t>
      </w:r>
      <w:r w:rsidR="00682C7C" w:rsidRPr="00682C7C">
        <w:rPr>
          <w:rFonts w:ascii="Calibri" w:hAnsi="Calibri" w:cs="Calibri"/>
          <w:color w:val="auto"/>
          <w:sz w:val="22"/>
          <w:lang w:val="en-US"/>
        </w:rPr>
        <w:t>:</w:t>
      </w:r>
      <w:r w:rsidRPr="00682C7C">
        <w:rPr>
          <w:rFonts w:ascii="Calibri" w:hAnsi="Calibri" w:cs="Calibri"/>
          <w:color w:val="auto"/>
          <w:sz w:val="22"/>
          <w:lang w:val="en-US"/>
        </w:rPr>
        <w:t xml:space="preserve"> </w:t>
      </w:r>
    </w:p>
    <w:p w14:paraId="1BF83A0D" w14:textId="77777777" w:rsidR="000C7984" w:rsidRPr="00B52D53" w:rsidRDefault="000C7984" w:rsidP="000C7984">
      <w:pPr>
        <w:pStyle w:val="ListParagraph"/>
        <w:numPr>
          <w:ilvl w:val="4"/>
          <w:numId w:val="95"/>
        </w:numPr>
        <w:jc w:val="both"/>
        <w:rPr>
          <w:rFonts w:ascii="Calibri" w:hAnsi="Calibri" w:cs="Calibri"/>
          <w:color w:val="auto"/>
          <w:sz w:val="22"/>
          <w:lang w:val="en-US"/>
        </w:rPr>
      </w:pPr>
      <w:r w:rsidRPr="00194CC6">
        <w:rPr>
          <w:rFonts w:ascii="Calibri" w:hAnsi="Calibri" w:cs="Calibri"/>
          <w:color w:val="auto"/>
          <w:sz w:val="22"/>
          <w:u w:val="single"/>
          <w:lang w:val="en-US"/>
        </w:rPr>
        <w:t>Units in a CIS that is constituted as a trust</w:t>
      </w:r>
      <w:r w:rsidRPr="00B52D53">
        <w:rPr>
          <w:rFonts w:ascii="Calibri" w:hAnsi="Calibri" w:cs="Calibri"/>
          <w:color w:val="auto"/>
          <w:sz w:val="22"/>
          <w:lang w:val="en-US"/>
        </w:rPr>
        <w:t xml:space="preserve"> </w:t>
      </w:r>
    </w:p>
    <w:p w14:paraId="35DDE072" w14:textId="120768A0" w:rsidR="000C7984" w:rsidRPr="000C7984" w:rsidRDefault="000C7984" w:rsidP="000C7984">
      <w:pPr>
        <w:pStyle w:val="ListParagraph"/>
        <w:numPr>
          <w:ilvl w:val="4"/>
          <w:numId w:val="95"/>
        </w:numPr>
        <w:jc w:val="both"/>
        <w:rPr>
          <w:rFonts w:ascii="Calibri" w:hAnsi="Calibri" w:cs="Calibri"/>
          <w:color w:val="auto"/>
          <w:sz w:val="22"/>
          <w:lang w:val="en-US"/>
        </w:rPr>
      </w:pPr>
      <w:r w:rsidRPr="00B52D53">
        <w:rPr>
          <w:rFonts w:ascii="Calibri" w:hAnsi="Calibri" w:cs="Calibri"/>
          <w:color w:val="auto"/>
          <w:sz w:val="22"/>
          <w:lang w:val="en-US"/>
        </w:rPr>
        <w:t xml:space="preserve">CIS is </w:t>
      </w:r>
      <w:r w:rsidRPr="00194CC6">
        <w:rPr>
          <w:rFonts w:ascii="Calibri" w:hAnsi="Calibri" w:cs="Calibri"/>
          <w:color w:val="auto"/>
          <w:sz w:val="22"/>
          <w:u w:val="single"/>
          <w:lang w:val="en-US"/>
        </w:rPr>
        <w:t>not allowed to participate in any securities lending/repurchase (unless for EPM purposes)</w:t>
      </w:r>
      <w:r>
        <w:rPr>
          <w:rFonts w:ascii="Calibri" w:hAnsi="Calibri" w:cs="Calibri"/>
          <w:color w:val="auto"/>
          <w:sz w:val="22"/>
          <w:lang w:val="en-US"/>
        </w:rPr>
        <w:t>.</w:t>
      </w:r>
    </w:p>
    <w:p w14:paraId="1FBB0C69" w14:textId="77EE6755" w:rsidR="000C7984" w:rsidRPr="0060370A" w:rsidRDefault="0060370A" w:rsidP="0060370A">
      <w:pPr>
        <w:pStyle w:val="ListParagraph"/>
        <w:numPr>
          <w:ilvl w:val="4"/>
          <w:numId w:val="95"/>
        </w:numPr>
        <w:jc w:val="both"/>
        <w:rPr>
          <w:rFonts w:ascii="Calibri" w:hAnsi="Calibri" w:cs="Calibri"/>
          <w:color w:val="auto"/>
          <w:sz w:val="22"/>
          <w:lang w:val="en-US"/>
        </w:rPr>
      </w:pPr>
      <w:r>
        <w:rPr>
          <w:rFonts w:ascii="Calibri" w:hAnsi="Calibri" w:cs="Calibri"/>
          <w:color w:val="auto"/>
          <w:sz w:val="22"/>
          <w:u w:val="single"/>
          <w:lang w:val="en-US"/>
        </w:rPr>
        <w:t>Can only invest in</w:t>
      </w:r>
      <w:r w:rsidR="003D306A" w:rsidRPr="00740852">
        <w:rPr>
          <w:rFonts w:ascii="Calibri" w:hAnsi="Calibri" w:cs="Calibri"/>
          <w:color w:val="auto"/>
          <w:sz w:val="22"/>
          <w:u w:val="single"/>
          <w:lang w:val="en-US"/>
        </w:rPr>
        <w:t xml:space="preserve"> </w:t>
      </w:r>
      <w:r>
        <w:rPr>
          <w:rFonts w:ascii="Calibri" w:hAnsi="Calibri" w:cs="Calibri"/>
          <w:color w:val="auto"/>
          <w:sz w:val="22"/>
          <w:u w:val="single"/>
          <w:lang w:val="en-US"/>
        </w:rPr>
        <w:t>(</w:t>
      </w:r>
      <w:proofErr w:type="spellStart"/>
      <w:r>
        <w:rPr>
          <w:rFonts w:ascii="Calibri" w:hAnsi="Calibri" w:cs="Calibri"/>
          <w:color w:val="auto"/>
          <w:sz w:val="22"/>
          <w:u w:val="single"/>
          <w:lang w:val="en-US"/>
        </w:rPr>
        <w:t>i</w:t>
      </w:r>
      <w:proofErr w:type="spellEnd"/>
      <w:r>
        <w:rPr>
          <w:rFonts w:ascii="Calibri" w:hAnsi="Calibri" w:cs="Calibri"/>
          <w:color w:val="auto"/>
          <w:sz w:val="22"/>
          <w:u w:val="single"/>
          <w:lang w:val="en-US"/>
        </w:rPr>
        <w:t xml:space="preserve">) </w:t>
      </w:r>
      <w:r w:rsidR="003D306A" w:rsidRPr="00740852">
        <w:rPr>
          <w:rFonts w:ascii="Calibri" w:hAnsi="Calibri" w:cs="Calibri"/>
          <w:color w:val="auto"/>
          <w:sz w:val="22"/>
          <w:u w:val="single"/>
          <w:lang w:val="en-US"/>
        </w:rPr>
        <w:t>Excluded Investment Products</w:t>
      </w:r>
      <w:r w:rsidR="003D306A" w:rsidRPr="00B52D53">
        <w:rPr>
          <w:rFonts w:ascii="Calibri" w:hAnsi="Calibri" w:cs="Calibri"/>
          <w:color w:val="auto"/>
          <w:sz w:val="22"/>
          <w:lang w:val="en-US"/>
        </w:rPr>
        <w:t xml:space="preserve"> (</w:t>
      </w:r>
      <w:r w:rsidR="00FA2608">
        <w:rPr>
          <w:rFonts w:ascii="Calibri" w:hAnsi="Calibri" w:cs="Calibri"/>
          <w:color w:val="auto"/>
          <w:sz w:val="22"/>
          <w:lang w:val="en-US"/>
        </w:rPr>
        <w:t>stocks / shares</w:t>
      </w:r>
      <w:r w:rsidR="00C83353">
        <w:rPr>
          <w:rFonts w:ascii="Calibri" w:hAnsi="Calibri" w:cs="Calibri"/>
          <w:color w:val="auto"/>
          <w:sz w:val="22"/>
          <w:lang w:val="en-US"/>
        </w:rPr>
        <w:t xml:space="preserve"> by listed corporations, business unit trust, </w:t>
      </w:r>
      <w:r w:rsidR="00194CC6">
        <w:rPr>
          <w:rFonts w:ascii="Calibri" w:hAnsi="Calibri" w:cs="Calibri"/>
          <w:color w:val="auto"/>
          <w:sz w:val="22"/>
          <w:lang w:val="en-US"/>
        </w:rPr>
        <w:t xml:space="preserve">other </w:t>
      </w:r>
      <w:r w:rsidR="00C83353">
        <w:rPr>
          <w:rFonts w:ascii="Calibri" w:hAnsi="Calibri" w:cs="Calibri"/>
          <w:color w:val="auto"/>
          <w:sz w:val="22"/>
          <w:lang w:val="en-US"/>
        </w:rPr>
        <w:t xml:space="preserve">CIS units, </w:t>
      </w:r>
      <w:r w:rsidR="0044611E">
        <w:rPr>
          <w:rFonts w:ascii="Calibri" w:hAnsi="Calibri" w:cs="Calibri"/>
          <w:color w:val="auto"/>
          <w:sz w:val="22"/>
          <w:lang w:val="en-US"/>
        </w:rPr>
        <w:t>real estate and related assets, debenture</w:t>
      </w:r>
      <w:r w:rsidR="003A18C4">
        <w:rPr>
          <w:rFonts w:ascii="Calibri" w:hAnsi="Calibri" w:cs="Calibri"/>
          <w:color w:val="auto"/>
          <w:sz w:val="22"/>
          <w:lang w:val="en-US"/>
        </w:rPr>
        <w:t>s excluding ABS</w:t>
      </w:r>
      <w:r w:rsidR="00A4177F">
        <w:rPr>
          <w:rFonts w:ascii="Calibri" w:hAnsi="Calibri" w:cs="Calibri"/>
          <w:color w:val="auto"/>
          <w:sz w:val="22"/>
          <w:lang w:val="en-US"/>
        </w:rPr>
        <w:t>/structured notes</w:t>
      </w:r>
      <w:r w:rsidR="003D306A" w:rsidRPr="00B52D53">
        <w:rPr>
          <w:rFonts w:ascii="Calibri" w:hAnsi="Calibri" w:cs="Calibri"/>
          <w:color w:val="auto"/>
          <w:sz w:val="22"/>
          <w:lang w:val="en-US"/>
        </w:rPr>
        <w:t>)</w:t>
      </w:r>
      <w:r>
        <w:rPr>
          <w:rFonts w:ascii="Calibri" w:hAnsi="Calibri" w:cs="Calibri"/>
          <w:color w:val="auto"/>
          <w:sz w:val="22"/>
          <w:lang w:val="en-US"/>
        </w:rPr>
        <w:t xml:space="preserve">, (ii) </w:t>
      </w:r>
      <w:r w:rsidR="000C7984" w:rsidRPr="0060370A">
        <w:rPr>
          <w:rFonts w:ascii="Calibri" w:hAnsi="Calibri" w:cs="Calibri"/>
          <w:color w:val="auto"/>
          <w:sz w:val="22"/>
          <w:lang w:val="en-US"/>
        </w:rPr>
        <w:t xml:space="preserve">deposits, </w:t>
      </w:r>
      <w:r>
        <w:rPr>
          <w:rFonts w:ascii="Calibri" w:hAnsi="Calibri" w:cs="Calibri"/>
          <w:color w:val="auto"/>
          <w:sz w:val="22"/>
          <w:lang w:val="en-US"/>
        </w:rPr>
        <w:t xml:space="preserve">and (iii) </w:t>
      </w:r>
      <w:r w:rsidR="000C7984" w:rsidRPr="0060370A">
        <w:rPr>
          <w:rFonts w:ascii="Calibri" w:hAnsi="Calibri" w:cs="Calibri"/>
          <w:color w:val="auto"/>
          <w:sz w:val="22"/>
          <w:lang w:val="en-US"/>
        </w:rPr>
        <w:t>gold.</w:t>
      </w:r>
    </w:p>
    <w:p w14:paraId="6CBF41D5" w14:textId="5EDC0DCA" w:rsidR="00562C86" w:rsidRPr="00B52D53" w:rsidRDefault="00AC360D" w:rsidP="00DF4A67">
      <w:pPr>
        <w:pStyle w:val="ListParagraph"/>
        <w:numPr>
          <w:ilvl w:val="3"/>
          <w:numId w:val="95"/>
        </w:numPr>
        <w:jc w:val="both"/>
        <w:rPr>
          <w:rFonts w:ascii="Calibri" w:hAnsi="Calibri" w:cs="Calibri"/>
          <w:color w:val="auto"/>
          <w:sz w:val="22"/>
          <w:lang w:val="en-US"/>
        </w:rPr>
      </w:pPr>
      <w:r>
        <w:rPr>
          <w:rFonts w:ascii="Calibri" w:hAnsi="Calibri" w:cs="Calibri"/>
          <w:color w:val="auto"/>
          <w:sz w:val="22"/>
          <w:lang w:val="en-US"/>
        </w:rPr>
        <w:t>The company s</w:t>
      </w:r>
      <w:r w:rsidR="00562C86" w:rsidRPr="00B52D53">
        <w:rPr>
          <w:rFonts w:ascii="Calibri" w:hAnsi="Calibri" w:cs="Calibri"/>
          <w:color w:val="auto"/>
          <w:sz w:val="22"/>
          <w:lang w:val="en-US"/>
        </w:rPr>
        <w:t>hould not manufacture the underlying CIS used to build the model portfolios offered on their digital advisory platforms</w:t>
      </w:r>
      <w:r w:rsidR="00F517D2" w:rsidRPr="00B52D53">
        <w:rPr>
          <w:rFonts w:ascii="Calibri" w:hAnsi="Calibri" w:cs="Calibri"/>
          <w:color w:val="auto"/>
          <w:sz w:val="22"/>
          <w:lang w:val="en-US"/>
        </w:rPr>
        <w:t>.</w:t>
      </w:r>
    </w:p>
    <w:p w14:paraId="62D5838C" w14:textId="441FFB0A" w:rsidR="007B4941" w:rsidRDefault="00F517D2" w:rsidP="00DF4A67">
      <w:pPr>
        <w:pStyle w:val="ListParagraph"/>
        <w:numPr>
          <w:ilvl w:val="3"/>
          <w:numId w:val="95"/>
        </w:numPr>
        <w:jc w:val="both"/>
        <w:rPr>
          <w:rFonts w:ascii="Calibri" w:hAnsi="Calibri" w:cs="Calibri"/>
          <w:color w:val="auto"/>
          <w:sz w:val="22"/>
          <w:lang w:val="en-US"/>
        </w:rPr>
      </w:pPr>
      <w:r w:rsidRPr="00B52D53">
        <w:rPr>
          <w:rFonts w:ascii="Calibri" w:hAnsi="Calibri" w:cs="Calibri"/>
          <w:color w:val="auto"/>
          <w:sz w:val="22"/>
          <w:lang w:val="en-US"/>
        </w:rPr>
        <w:t>All client-facing tools should be fully automated to eliminate any undue influence</w:t>
      </w:r>
      <w:r w:rsidR="00AC360D">
        <w:rPr>
          <w:rFonts w:ascii="Calibri" w:hAnsi="Calibri" w:cs="Calibri"/>
          <w:color w:val="auto"/>
          <w:sz w:val="22"/>
          <w:lang w:val="en-US"/>
        </w:rPr>
        <w:t>. Any methodology of the algorithm should be robust, documented and rigorously tested on an ongoing basis to ensure sanity</w:t>
      </w:r>
      <w:r w:rsidRPr="00B52D53">
        <w:rPr>
          <w:rFonts w:ascii="Calibri" w:hAnsi="Calibri" w:cs="Calibri"/>
          <w:color w:val="auto"/>
          <w:sz w:val="22"/>
          <w:lang w:val="en-US"/>
        </w:rPr>
        <w:t>.</w:t>
      </w:r>
    </w:p>
    <w:p w14:paraId="0D5DC839" w14:textId="2D792516" w:rsidR="003F08B4" w:rsidRPr="003F08B4" w:rsidRDefault="003F08B4" w:rsidP="003F08B4">
      <w:pPr>
        <w:pStyle w:val="ListParagraph"/>
        <w:numPr>
          <w:ilvl w:val="1"/>
          <w:numId w:val="95"/>
        </w:numPr>
        <w:jc w:val="both"/>
        <w:rPr>
          <w:rFonts w:ascii="Calibri" w:hAnsi="Calibri" w:cs="Calibri"/>
          <w:b/>
          <w:bCs/>
          <w:color w:val="auto"/>
          <w:sz w:val="22"/>
          <w:lang w:val="en-US"/>
        </w:rPr>
      </w:pPr>
      <w:r w:rsidRPr="003F08B4">
        <w:rPr>
          <w:rFonts w:ascii="Calibri" w:hAnsi="Calibri" w:cs="Calibri"/>
          <w:b/>
          <w:bCs/>
          <w:color w:val="auto"/>
          <w:sz w:val="22"/>
          <w:lang w:val="en-US"/>
        </w:rPr>
        <w:t xml:space="preserve">A/I </w:t>
      </w:r>
      <w:r w:rsidR="00B72D51">
        <w:rPr>
          <w:rFonts w:ascii="Calibri" w:hAnsi="Calibri" w:cs="Calibri"/>
          <w:b/>
          <w:bCs/>
          <w:color w:val="auto"/>
          <w:sz w:val="22"/>
          <w:lang w:val="en-US"/>
        </w:rPr>
        <w:t>LFMC</w:t>
      </w:r>
      <w:r w:rsidRPr="003F08B4">
        <w:rPr>
          <w:rFonts w:ascii="Calibri" w:hAnsi="Calibri" w:cs="Calibri"/>
          <w:b/>
          <w:bCs/>
          <w:color w:val="auto"/>
          <w:sz w:val="22"/>
          <w:lang w:val="en-US"/>
        </w:rPr>
        <w:t xml:space="preserve"> </w:t>
      </w:r>
      <w:r>
        <w:rPr>
          <w:rFonts w:ascii="Calibri" w:hAnsi="Calibri" w:cs="Calibri"/>
          <w:b/>
          <w:bCs/>
          <w:color w:val="auto"/>
          <w:sz w:val="22"/>
          <w:lang w:val="en-US"/>
        </w:rPr>
        <w:t xml:space="preserve">Requirements to be </w:t>
      </w:r>
      <w:r w:rsidRPr="003F08B4">
        <w:rPr>
          <w:rFonts w:ascii="Calibri" w:hAnsi="Calibri" w:cs="Calibri"/>
          <w:b/>
          <w:bCs/>
          <w:color w:val="auto"/>
          <w:sz w:val="22"/>
          <w:lang w:val="en-US"/>
        </w:rPr>
        <w:t>involved in retail customers/funds</w:t>
      </w:r>
      <w:r w:rsidR="00197A97">
        <w:rPr>
          <w:rFonts w:ascii="Calibri" w:hAnsi="Calibri" w:cs="Calibri"/>
          <w:b/>
          <w:bCs/>
          <w:color w:val="auto"/>
          <w:sz w:val="22"/>
          <w:lang w:val="en-US"/>
        </w:rPr>
        <w:t>:</w:t>
      </w:r>
    </w:p>
    <w:p w14:paraId="14354B64" w14:textId="1114A7CD" w:rsidR="009208BA" w:rsidRPr="00B52D53" w:rsidRDefault="009208BA" w:rsidP="009208BA">
      <w:pPr>
        <w:pStyle w:val="BodyText"/>
        <w:numPr>
          <w:ilvl w:val="2"/>
          <w:numId w:val="95"/>
        </w:numPr>
        <w:jc w:val="both"/>
        <w:rPr>
          <w:rFonts w:ascii="Calibri" w:hAnsi="Calibri" w:cs="Calibri"/>
          <w:color w:val="auto"/>
          <w:sz w:val="22"/>
          <w:lang w:val="en-US"/>
        </w:rPr>
      </w:pPr>
      <w:r w:rsidRPr="00B52D53">
        <w:rPr>
          <w:rFonts w:ascii="Calibri" w:hAnsi="Calibri" w:cs="Calibri"/>
          <w:color w:val="auto"/>
          <w:sz w:val="22"/>
          <w:lang w:val="en-US"/>
        </w:rPr>
        <w:t xml:space="preserve">Where the A/I </w:t>
      </w:r>
      <w:r w:rsidR="00B72D51">
        <w:rPr>
          <w:rFonts w:ascii="Calibri" w:hAnsi="Calibri" w:cs="Calibri"/>
          <w:color w:val="auto"/>
          <w:sz w:val="22"/>
          <w:lang w:val="en-US"/>
        </w:rPr>
        <w:t>LFMC</w:t>
      </w:r>
      <w:r w:rsidRPr="00B52D53">
        <w:rPr>
          <w:rFonts w:ascii="Calibri" w:hAnsi="Calibri" w:cs="Calibri"/>
          <w:color w:val="auto"/>
          <w:sz w:val="22"/>
          <w:lang w:val="en-US"/>
        </w:rPr>
        <w:t xml:space="preserve"> acts as a sub-manager/advisor to another regulated fund manager who meets the definition of A/I is licensed to manage retail funds</w:t>
      </w:r>
    </w:p>
    <w:p w14:paraId="5B99F1A6" w14:textId="2E412F9B" w:rsidR="009208BA" w:rsidRPr="00B52D53" w:rsidRDefault="009208BA" w:rsidP="009208BA">
      <w:pPr>
        <w:pStyle w:val="BodyText"/>
        <w:numPr>
          <w:ilvl w:val="2"/>
          <w:numId w:val="95"/>
        </w:numPr>
        <w:jc w:val="both"/>
        <w:rPr>
          <w:rFonts w:ascii="Calibri" w:hAnsi="Calibri" w:cs="Calibri"/>
          <w:color w:val="auto"/>
          <w:sz w:val="22"/>
          <w:lang w:val="en-US"/>
        </w:rPr>
      </w:pPr>
      <w:r w:rsidRPr="00B52D53">
        <w:rPr>
          <w:rFonts w:ascii="Calibri" w:hAnsi="Calibri" w:cs="Calibri"/>
          <w:color w:val="auto"/>
          <w:sz w:val="22"/>
          <w:lang w:val="en-US"/>
        </w:rPr>
        <w:t xml:space="preserve">Where the A/I </w:t>
      </w:r>
      <w:r w:rsidR="00B72D51">
        <w:rPr>
          <w:rFonts w:ascii="Calibri" w:hAnsi="Calibri" w:cs="Calibri"/>
          <w:color w:val="auto"/>
          <w:sz w:val="22"/>
          <w:lang w:val="en-US"/>
        </w:rPr>
        <w:t>LFMC</w:t>
      </w:r>
      <w:r w:rsidRPr="00B52D53">
        <w:rPr>
          <w:rFonts w:ascii="Calibri" w:hAnsi="Calibri" w:cs="Calibri"/>
          <w:color w:val="auto"/>
          <w:sz w:val="22"/>
          <w:lang w:val="en-US"/>
        </w:rPr>
        <w:t xml:space="preserve"> acts as a sub-manager/advisor to a fund which another pension fund or fund-of-funds invests in. The latter must be managed by another fund manager who meets the definition of A/I and is licensed to manage retail funds</w:t>
      </w:r>
    </w:p>
    <w:p w14:paraId="3BD86198" w14:textId="508B9691" w:rsidR="009208BA" w:rsidRPr="00B52D53" w:rsidRDefault="009208BA" w:rsidP="009208BA">
      <w:pPr>
        <w:pStyle w:val="BodyText"/>
        <w:numPr>
          <w:ilvl w:val="2"/>
          <w:numId w:val="95"/>
        </w:numPr>
        <w:jc w:val="both"/>
        <w:rPr>
          <w:rFonts w:ascii="Calibri" w:hAnsi="Calibri" w:cs="Calibri"/>
          <w:color w:val="auto"/>
          <w:sz w:val="22"/>
          <w:lang w:val="en-US"/>
        </w:rPr>
      </w:pPr>
      <w:r w:rsidRPr="00B52D53">
        <w:rPr>
          <w:rFonts w:ascii="Calibri" w:hAnsi="Calibri" w:cs="Calibri"/>
          <w:color w:val="auto"/>
          <w:sz w:val="22"/>
          <w:lang w:val="en-US"/>
        </w:rPr>
        <w:t xml:space="preserve">Where the A/I </w:t>
      </w:r>
      <w:r w:rsidR="00B72D51">
        <w:rPr>
          <w:rFonts w:ascii="Calibri" w:hAnsi="Calibri" w:cs="Calibri"/>
          <w:color w:val="auto"/>
          <w:sz w:val="22"/>
          <w:lang w:val="en-US"/>
        </w:rPr>
        <w:t>LFMC</w:t>
      </w:r>
      <w:r w:rsidRPr="00B52D53">
        <w:rPr>
          <w:rFonts w:ascii="Calibri" w:hAnsi="Calibri" w:cs="Calibri"/>
          <w:color w:val="auto"/>
          <w:sz w:val="22"/>
          <w:lang w:val="en-US"/>
        </w:rPr>
        <w:t xml:space="preserve"> wishes to manage investment funds which are authorized by a foreign regulator to be offered to retail investors in a foreign jurisdiction</w:t>
      </w:r>
    </w:p>
    <w:p w14:paraId="0732B775" w14:textId="77777777" w:rsidR="00F517D2" w:rsidRPr="00B52D53" w:rsidRDefault="00F517D2" w:rsidP="00F517D2">
      <w:pPr>
        <w:pStyle w:val="ListParagraph"/>
        <w:ind w:left="1080"/>
        <w:jc w:val="both"/>
        <w:rPr>
          <w:rFonts w:ascii="Calibri" w:hAnsi="Calibri" w:cs="Calibri"/>
          <w:color w:val="auto"/>
          <w:sz w:val="22"/>
          <w:lang w:val="en-US"/>
        </w:rPr>
      </w:pPr>
    </w:p>
    <w:p w14:paraId="2B075D0D" w14:textId="05FE30F4" w:rsidR="007B4941" w:rsidRPr="00B52D53" w:rsidRDefault="00427460" w:rsidP="00427460">
      <w:pPr>
        <w:pStyle w:val="Heading3"/>
        <w:jc w:val="both"/>
        <w:rPr>
          <w:rFonts w:ascii="Calibri" w:hAnsi="Calibri" w:cs="Calibri"/>
          <w:color w:val="auto"/>
          <w:lang w:val="en-US"/>
        </w:rPr>
      </w:pPr>
      <w:r>
        <w:rPr>
          <w:rFonts w:ascii="Calibri" w:hAnsi="Calibri" w:cs="Calibri"/>
          <w:color w:val="auto"/>
          <w:lang w:val="en-US"/>
        </w:rPr>
        <w:lastRenderedPageBreak/>
        <w:t xml:space="preserve">2. </w:t>
      </w:r>
      <w:r w:rsidR="00EF1D07" w:rsidRPr="00B52D53">
        <w:rPr>
          <w:rFonts w:ascii="Calibri" w:hAnsi="Calibri" w:cs="Calibri"/>
          <w:color w:val="auto"/>
          <w:lang w:val="en-US"/>
        </w:rPr>
        <w:t>Other take-aways</w:t>
      </w:r>
    </w:p>
    <w:p w14:paraId="01B1E9D5" w14:textId="3A893188" w:rsidR="00B629F7" w:rsidRPr="00B52D53" w:rsidRDefault="00B629F7" w:rsidP="009F73BE">
      <w:pPr>
        <w:pStyle w:val="BodyText"/>
        <w:numPr>
          <w:ilvl w:val="0"/>
          <w:numId w:val="96"/>
        </w:numPr>
        <w:jc w:val="both"/>
        <w:rPr>
          <w:rFonts w:ascii="Calibri" w:hAnsi="Calibri" w:cs="Calibri"/>
          <w:color w:val="auto"/>
          <w:sz w:val="22"/>
          <w:lang w:val="en-US"/>
        </w:rPr>
      </w:pPr>
      <w:r w:rsidRPr="009F5E62">
        <w:rPr>
          <w:rFonts w:ascii="Calibri" w:hAnsi="Calibri" w:cs="Calibri"/>
          <w:b/>
          <w:bCs/>
          <w:color w:val="auto"/>
          <w:sz w:val="22"/>
          <w:lang w:val="en-US"/>
        </w:rPr>
        <w:t>Representative Notification Framework</w:t>
      </w:r>
      <w:r w:rsidR="009F5E62">
        <w:rPr>
          <w:rFonts w:ascii="Calibri" w:hAnsi="Calibri" w:cs="Calibri"/>
          <w:color w:val="auto"/>
          <w:sz w:val="22"/>
          <w:lang w:val="en-US"/>
        </w:rPr>
        <w:t>:</w:t>
      </w:r>
      <w:r w:rsidRPr="00B52D53">
        <w:rPr>
          <w:rFonts w:ascii="Calibri" w:hAnsi="Calibri" w:cs="Calibri"/>
          <w:color w:val="auto"/>
          <w:sz w:val="22"/>
          <w:lang w:val="en-US"/>
        </w:rPr>
        <w:t xml:space="preserve"> </w:t>
      </w:r>
    </w:p>
    <w:p w14:paraId="4731BDA1" w14:textId="1F74CFC2" w:rsidR="00B92B03" w:rsidRPr="00B52D53" w:rsidRDefault="00B629F7"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Any individual intending to conduct fund management must be an appointed representative, temporary representative or provisional representative. Failure to comply is a criminal offence.</w:t>
      </w:r>
    </w:p>
    <w:p w14:paraId="123E7F9A" w14:textId="67C8B75C" w:rsidR="00B629F7" w:rsidRPr="00B52D53" w:rsidRDefault="00B629F7"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The representative can only act for </w:t>
      </w:r>
      <w:r w:rsidRPr="009D597E">
        <w:rPr>
          <w:rFonts w:ascii="Calibri" w:hAnsi="Calibri" w:cs="Calibri"/>
          <w:color w:val="auto"/>
          <w:sz w:val="22"/>
          <w:u w:val="single"/>
          <w:lang w:val="en-US"/>
        </w:rPr>
        <w:t>one principal or multiple principals for related corporations</w:t>
      </w:r>
      <w:r w:rsidRPr="00B52D53">
        <w:rPr>
          <w:rFonts w:ascii="Calibri" w:hAnsi="Calibri" w:cs="Calibri"/>
          <w:color w:val="auto"/>
          <w:sz w:val="22"/>
          <w:lang w:val="en-US"/>
        </w:rPr>
        <w:t xml:space="preserve">. Related corporations </w:t>
      </w:r>
      <w:r w:rsidRPr="009D597E">
        <w:rPr>
          <w:rFonts w:ascii="Calibri" w:hAnsi="Calibri" w:cs="Calibri"/>
          <w:color w:val="auto"/>
          <w:sz w:val="22"/>
          <w:u w:val="single"/>
          <w:lang w:val="en-US"/>
        </w:rPr>
        <w:t>include (</w:t>
      </w:r>
      <w:proofErr w:type="spellStart"/>
      <w:r w:rsidRPr="009D597E">
        <w:rPr>
          <w:rFonts w:ascii="Calibri" w:hAnsi="Calibri" w:cs="Calibri"/>
          <w:color w:val="auto"/>
          <w:sz w:val="22"/>
          <w:u w:val="single"/>
          <w:lang w:val="en-US"/>
        </w:rPr>
        <w:t>i</w:t>
      </w:r>
      <w:proofErr w:type="spellEnd"/>
      <w:r w:rsidRPr="009D597E">
        <w:rPr>
          <w:rFonts w:ascii="Calibri" w:hAnsi="Calibri" w:cs="Calibri"/>
          <w:color w:val="auto"/>
          <w:sz w:val="22"/>
          <w:u w:val="single"/>
          <w:lang w:val="en-US"/>
        </w:rPr>
        <w:t xml:space="preserve">) </w:t>
      </w:r>
      <w:r w:rsidR="00B72D51">
        <w:rPr>
          <w:rFonts w:ascii="Calibri" w:hAnsi="Calibri" w:cs="Calibri"/>
          <w:color w:val="auto"/>
          <w:sz w:val="22"/>
          <w:u w:val="single"/>
          <w:lang w:val="en-US"/>
        </w:rPr>
        <w:t>LFMC</w:t>
      </w:r>
      <w:r w:rsidRPr="009D597E">
        <w:rPr>
          <w:rFonts w:ascii="Calibri" w:hAnsi="Calibri" w:cs="Calibri"/>
          <w:color w:val="auto"/>
          <w:sz w:val="22"/>
          <w:u w:val="single"/>
          <w:lang w:val="en-US"/>
        </w:rPr>
        <w:t xml:space="preserve">’s subsidiaries, (ii) </w:t>
      </w:r>
      <w:r w:rsidR="00B72D51">
        <w:rPr>
          <w:rFonts w:ascii="Calibri" w:hAnsi="Calibri" w:cs="Calibri"/>
          <w:color w:val="auto"/>
          <w:sz w:val="22"/>
          <w:u w:val="single"/>
          <w:lang w:val="en-US"/>
        </w:rPr>
        <w:t>LFMC</w:t>
      </w:r>
      <w:r w:rsidRPr="009D597E">
        <w:rPr>
          <w:rFonts w:ascii="Calibri" w:hAnsi="Calibri" w:cs="Calibri"/>
          <w:color w:val="auto"/>
          <w:sz w:val="22"/>
          <w:u w:val="single"/>
          <w:lang w:val="en-US"/>
        </w:rPr>
        <w:t>’s holding companies (&gt;50% voting shares</w:t>
      </w:r>
      <w:r w:rsidR="00706903" w:rsidRPr="009D597E">
        <w:rPr>
          <w:rFonts w:ascii="Calibri" w:hAnsi="Calibri" w:cs="Calibri"/>
          <w:color w:val="auto"/>
          <w:sz w:val="22"/>
          <w:u w:val="single"/>
          <w:lang w:val="en-US"/>
        </w:rPr>
        <w:t>, thus effective control</w:t>
      </w:r>
      <w:r w:rsidRPr="009D597E">
        <w:rPr>
          <w:rFonts w:ascii="Calibri" w:hAnsi="Calibri" w:cs="Calibri"/>
          <w:color w:val="auto"/>
          <w:sz w:val="22"/>
          <w:u w:val="single"/>
          <w:lang w:val="en-US"/>
        </w:rPr>
        <w:t xml:space="preserve">), (iii) subsidiaries of </w:t>
      </w:r>
      <w:r w:rsidR="00B72D51">
        <w:rPr>
          <w:rFonts w:ascii="Calibri" w:hAnsi="Calibri" w:cs="Calibri"/>
          <w:color w:val="auto"/>
          <w:sz w:val="22"/>
          <w:u w:val="single"/>
          <w:lang w:val="en-US"/>
        </w:rPr>
        <w:t>LFMC</w:t>
      </w:r>
      <w:r w:rsidRPr="009D597E">
        <w:rPr>
          <w:rFonts w:ascii="Calibri" w:hAnsi="Calibri" w:cs="Calibri"/>
          <w:color w:val="auto"/>
          <w:sz w:val="22"/>
          <w:u w:val="single"/>
          <w:lang w:val="en-US"/>
        </w:rPr>
        <w:t>’s holding companies</w:t>
      </w:r>
      <w:r w:rsidRPr="00B52D53">
        <w:rPr>
          <w:rFonts w:ascii="Calibri" w:hAnsi="Calibri" w:cs="Calibri"/>
          <w:color w:val="auto"/>
          <w:sz w:val="22"/>
          <w:lang w:val="en-US"/>
        </w:rPr>
        <w:t>.</w:t>
      </w:r>
    </w:p>
    <w:p w14:paraId="63D54E81" w14:textId="195129F9" w:rsidR="00B629F7" w:rsidRPr="00B52D53" w:rsidRDefault="00B629F7"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The representative must be at least (i) 21 years of age, (ii) attain 4 GCE O Level credit passes (or 2 GCE O Level credit passes with 3 continuous years of experience in a 5 year-period before 1980), (iii) pass CMFAS RES 3, (iv) be a fit and proper person</w:t>
      </w:r>
    </w:p>
    <w:p w14:paraId="4E85005F" w14:textId="728FF57D" w:rsidR="00B629F7" w:rsidRPr="00B52D53" w:rsidRDefault="00B629F7"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u w:val="single"/>
          <w:lang w:val="en-US"/>
        </w:rPr>
        <w:t xml:space="preserve">Any change </w:t>
      </w:r>
      <w:r w:rsidR="00CA6D3C" w:rsidRPr="00B52D53">
        <w:rPr>
          <w:rFonts w:ascii="Calibri" w:hAnsi="Calibri" w:cs="Calibri"/>
          <w:color w:val="auto"/>
          <w:sz w:val="22"/>
          <w:u w:val="single"/>
          <w:lang w:val="en-US"/>
        </w:rPr>
        <w:t xml:space="preserve">in personal particulars of representative must be made to the </w:t>
      </w:r>
      <w:r w:rsidR="00B72D51">
        <w:rPr>
          <w:rFonts w:ascii="Calibri" w:hAnsi="Calibri" w:cs="Calibri"/>
          <w:color w:val="auto"/>
          <w:sz w:val="22"/>
          <w:u w:val="single"/>
          <w:lang w:val="en-US"/>
        </w:rPr>
        <w:t>LFMC</w:t>
      </w:r>
      <w:r w:rsidR="00CA6D3C" w:rsidRPr="00B52D53">
        <w:rPr>
          <w:rFonts w:ascii="Calibri" w:hAnsi="Calibri" w:cs="Calibri"/>
          <w:color w:val="auto"/>
          <w:sz w:val="22"/>
          <w:u w:val="single"/>
          <w:lang w:val="en-US"/>
        </w:rPr>
        <w:t xml:space="preserve"> within 7 days of the change</w:t>
      </w:r>
      <w:r w:rsidR="00CA6D3C" w:rsidRPr="00B52D53">
        <w:rPr>
          <w:rFonts w:ascii="Calibri" w:hAnsi="Calibri" w:cs="Calibri"/>
          <w:color w:val="auto"/>
          <w:sz w:val="22"/>
          <w:lang w:val="en-US"/>
        </w:rPr>
        <w:t xml:space="preserve">. The </w:t>
      </w:r>
      <w:r w:rsidR="00B72D51">
        <w:rPr>
          <w:rFonts w:ascii="Calibri" w:hAnsi="Calibri" w:cs="Calibri"/>
          <w:color w:val="auto"/>
          <w:sz w:val="22"/>
          <w:u w:val="single"/>
          <w:lang w:val="en-US"/>
        </w:rPr>
        <w:t>LFMC</w:t>
      </w:r>
      <w:r w:rsidR="00CA6D3C" w:rsidRPr="00B52D53">
        <w:rPr>
          <w:rFonts w:ascii="Calibri" w:hAnsi="Calibri" w:cs="Calibri"/>
          <w:color w:val="auto"/>
          <w:sz w:val="22"/>
          <w:u w:val="single"/>
          <w:lang w:val="en-US"/>
        </w:rPr>
        <w:t xml:space="preserve"> must lodge the change with MAS within 14 days of the change</w:t>
      </w:r>
      <w:r w:rsidR="00706903" w:rsidRPr="00B52D53">
        <w:rPr>
          <w:rFonts w:ascii="Calibri" w:hAnsi="Calibri" w:cs="Calibri"/>
          <w:color w:val="auto"/>
          <w:sz w:val="22"/>
          <w:lang w:val="en-US"/>
        </w:rPr>
        <w:t>.</w:t>
      </w:r>
    </w:p>
    <w:p w14:paraId="338C50C3" w14:textId="20E3B094" w:rsidR="004F0DD4" w:rsidRDefault="004F0DD4" w:rsidP="009F73BE">
      <w:pPr>
        <w:pStyle w:val="BodyText"/>
        <w:numPr>
          <w:ilvl w:val="0"/>
          <w:numId w:val="96"/>
        </w:numPr>
        <w:jc w:val="both"/>
        <w:rPr>
          <w:rFonts w:ascii="Calibri" w:hAnsi="Calibri" w:cs="Calibri"/>
          <w:color w:val="auto"/>
          <w:sz w:val="22"/>
          <w:lang w:val="en-US"/>
        </w:rPr>
      </w:pPr>
      <w:r w:rsidRPr="004F0DD4">
        <w:rPr>
          <w:rFonts w:ascii="Calibri" w:hAnsi="Calibri" w:cs="Calibri"/>
          <w:b/>
          <w:bCs/>
          <w:color w:val="auto"/>
          <w:sz w:val="22"/>
          <w:lang w:val="en-US"/>
        </w:rPr>
        <w:t>Effects Doctrine and Exemptions</w:t>
      </w:r>
      <w:r>
        <w:rPr>
          <w:rFonts w:ascii="Calibri" w:hAnsi="Calibri" w:cs="Calibri"/>
          <w:color w:val="auto"/>
          <w:sz w:val="22"/>
          <w:lang w:val="en-US"/>
        </w:rPr>
        <w:t>:</w:t>
      </w:r>
    </w:p>
    <w:p w14:paraId="7117A3DD" w14:textId="29C63281" w:rsidR="00CA6D3C" w:rsidRPr="00B52D53" w:rsidRDefault="00993B25" w:rsidP="004F0DD4">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To facilitate the regulation of cross-border financial services to persons in SG, the </w:t>
      </w:r>
      <w:r w:rsidR="00CA6D3C" w:rsidRPr="00B52D53">
        <w:rPr>
          <w:rFonts w:ascii="Calibri" w:hAnsi="Calibri" w:cs="Calibri"/>
          <w:color w:val="auto"/>
          <w:sz w:val="22"/>
          <w:lang w:val="en-US"/>
        </w:rPr>
        <w:t>Effects Doctrine</w:t>
      </w:r>
      <w:r w:rsidRPr="00B52D53">
        <w:rPr>
          <w:rFonts w:ascii="Calibri" w:hAnsi="Calibri" w:cs="Calibri"/>
          <w:color w:val="auto"/>
          <w:sz w:val="22"/>
          <w:lang w:val="en-US"/>
        </w:rPr>
        <w:t xml:space="preserve"> governs that</w:t>
      </w:r>
      <w:r w:rsidR="00CA6D3C" w:rsidRPr="00B52D53">
        <w:rPr>
          <w:rFonts w:ascii="Calibri" w:hAnsi="Calibri" w:cs="Calibri"/>
          <w:color w:val="auto"/>
          <w:sz w:val="22"/>
          <w:lang w:val="en-US"/>
        </w:rPr>
        <w:t xml:space="preserve"> </w:t>
      </w:r>
      <w:r w:rsidRPr="00B52D53">
        <w:rPr>
          <w:rFonts w:ascii="Calibri" w:hAnsi="Calibri" w:cs="Calibri"/>
          <w:color w:val="auto"/>
          <w:sz w:val="22"/>
          <w:lang w:val="en-US"/>
        </w:rPr>
        <w:t>f</w:t>
      </w:r>
      <w:r w:rsidR="00CA6D3C" w:rsidRPr="00B52D53">
        <w:rPr>
          <w:rFonts w:ascii="Calibri" w:hAnsi="Calibri" w:cs="Calibri"/>
          <w:color w:val="auto"/>
          <w:sz w:val="22"/>
          <w:lang w:val="en-US"/>
        </w:rPr>
        <w:t xml:space="preserve">or acts </w:t>
      </w:r>
      <w:r w:rsidR="00CA6D3C" w:rsidRPr="00B52D53">
        <w:rPr>
          <w:rFonts w:ascii="Calibri" w:hAnsi="Calibri" w:cs="Calibri"/>
          <w:color w:val="auto"/>
          <w:sz w:val="22"/>
          <w:u w:val="single"/>
          <w:lang w:val="en-US"/>
        </w:rPr>
        <w:t>taking place wholly outside Singapore</w:t>
      </w:r>
      <w:r w:rsidR="00CA6D3C" w:rsidRPr="00B52D53">
        <w:rPr>
          <w:rFonts w:ascii="Calibri" w:hAnsi="Calibri" w:cs="Calibri"/>
          <w:color w:val="auto"/>
          <w:sz w:val="22"/>
          <w:lang w:val="en-US"/>
        </w:rPr>
        <w:t xml:space="preserve">, the </w:t>
      </w:r>
      <w:r w:rsidR="00CA6D3C" w:rsidRPr="00B52D53">
        <w:rPr>
          <w:rFonts w:ascii="Calibri" w:hAnsi="Calibri" w:cs="Calibri"/>
          <w:color w:val="auto"/>
          <w:sz w:val="22"/>
          <w:u w:val="single"/>
          <w:lang w:val="en-US"/>
        </w:rPr>
        <w:t>effect of the act in Singapore</w:t>
      </w:r>
      <w:r w:rsidR="00CA6D3C" w:rsidRPr="00B52D53">
        <w:rPr>
          <w:rFonts w:ascii="Calibri" w:hAnsi="Calibri" w:cs="Calibri"/>
          <w:color w:val="auto"/>
          <w:sz w:val="22"/>
          <w:lang w:val="en-US"/>
        </w:rPr>
        <w:t xml:space="preserve"> would have to be both </w:t>
      </w:r>
      <w:r w:rsidR="00CA6D3C" w:rsidRPr="00B52D53">
        <w:rPr>
          <w:rFonts w:ascii="Calibri" w:hAnsi="Calibri" w:cs="Calibri"/>
          <w:color w:val="auto"/>
          <w:sz w:val="22"/>
          <w:u w:val="single"/>
          <w:lang w:val="en-US"/>
        </w:rPr>
        <w:t>substantia</w:t>
      </w:r>
      <w:r w:rsidR="00CA6D3C" w:rsidRPr="00B52D53">
        <w:rPr>
          <w:rFonts w:ascii="Calibri" w:hAnsi="Calibri" w:cs="Calibri"/>
          <w:color w:val="auto"/>
          <w:sz w:val="22"/>
          <w:lang w:val="en-US"/>
        </w:rPr>
        <w:t xml:space="preserve">l (e.g., affecting a large number of people in Singapore; have adverse effects on the financial stability of SG) and </w:t>
      </w:r>
      <w:r w:rsidR="00CA6D3C" w:rsidRPr="00B52D53">
        <w:rPr>
          <w:rFonts w:ascii="Calibri" w:hAnsi="Calibri" w:cs="Calibri"/>
          <w:color w:val="auto"/>
          <w:sz w:val="22"/>
          <w:u w:val="single"/>
          <w:lang w:val="en-US"/>
        </w:rPr>
        <w:t>reasonably foreseeable</w:t>
      </w:r>
      <w:r w:rsidR="00CA6D3C" w:rsidRPr="00B52D53">
        <w:rPr>
          <w:rFonts w:ascii="Calibri" w:hAnsi="Calibri" w:cs="Calibri"/>
          <w:color w:val="auto"/>
          <w:sz w:val="22"/>
          <w:lang w:val="en-US"/>
        </w:rPr>
        <w:t xml:space="preserve"> (e.g., targeting persons in SG</w:t>
      </w:r>
      <w:r w:rsidRPr="00B52D53">
        <w:rPr>
          <w:rFonts w:ascii="Calibri" w:hAnsi="Calibri" w:cs="Calibri"/>
          <w:color w:val="auto"/>
          <w:sz w:val="22"/>
          <w:lang w:val="en-US"/>
        </w:rPr>
        <w:t>;</w:t>
      </w:r>
      <w:r w:rsidR="00CA6D3C" w:rsidRPr="00B52D53">
        <w:rPr>
          <w:rFonts w:ascii="Calibri" w:hAnsi="Calibri" w:cs="Calibri"/>
          <w:color w:val="auto"/>
          <w:sz w:val="22"/>
          <w:lang w:val="en-US"/>
        </w:rPr>
        <w:t xml:space="preserve"> entering contractual relationships with persons in SG</w:t>
      </w:r>
      <w:r w:rsidRPr="00B52D53">
        <w:rPr>
          <w:rFonts w:ascii="Calibri" w:hAnsi="Calibri" w:cs="Calibri"/>
          <w:color w:val="auto"/>
          <w:sz w:val="22"/>
          <w:lang w:val="en-US"/>
        </w:rPr>
        <w:t>;</w:t>
      </w:r>
      <w:r w:rsidR="00CA6D3C" w:rsidRPr="00B52D53">
        <w:rPr>
          <w:rFonts w:ascii="Calibri" w:hAnsi="Calibri" w:cs="Calibri"/>
          <w:color w:val="auto"/>
          <w:sz w:val="22"/>
          <w:lang w:val="en-US"/>
        </w:rPr>
        <w:t xml:space="preserve"> </w:t>
      </w:r>
      <w:r w:rsidRPr="00B52D53">
        <w:rPr>
          <w:rFonts w:ascii="Calibri" w:hAnsi="Calibri" w:cs="Calibri"/>
          <w:color w:val="auto"/>
          <w:sz w:val="22"/>
          <w:lang w:val="en-US"/>
        </w:rPr>
        <w:t>accepting SGD</w:t>
      </w:r>
      <w:r w:rsidR="00CA6D3C" w:rsidRPr="00B52D53">
        <w:rPr>
          <w:rFonts w:ascii="Calibri" w:hAnsi="Calibri" w:cs="Calibri"/>
          <w:color w:val="auto"/>
          <w:sz w:val="22"/>
          <w:lang w:val="en-US"/>
        </w:rPr>
        <w:t xml:space="preserve"> orders from persons in SG). </w:t>
      </w:r>
      <w:r w:rsidRPr="00B52D53">
        <w:rPr>
          <w:rFonts w:ascii="Calibri" w:hAnsi="Calibri" w:cs="Calibri"/>
          <w:color w:val="auto"/>
          <w:sz w:val="22"/>
          <w:lang w:val="en-US"/>
        </w:rPr>
        <w:t xml:space="preserve">Once the </w:t>
      </w:r>
      <w:r w:rsidRPr="00B52D53">
        <w:rPr>
          <w:rFonts w:ascii="Calibri" w:hAnsi="Calibri" w:cs="Calibri"/>
          <w:color w:val="auto"/>
          <w:sz w:val="22"/>
          <w:u w:val="single"/>
          <w:lang w:val="en-US"/>
        </w:rPr>
        <w:t>Effects Doctrine is established</w:t>
      </w:r>
      <w:r w:rsidRPr="00B52D53">
        <w:rPr>
          <w:rFonts w:ascii="Calibri" w:hAnsi="Calibri" w:cs="Calibri"/>
          <w:color w:val="auto"/>
          <w:sz w:val="22"/>
          <w:lang w:val="en-US"/>
        </w:rPr>
        <w:t xml:space="preserve">, the </w:t>
      </w:r>
      <w:r w:rsidRPr="00B52D53">
        <w:rPr>
          <w:rFonts w:ascii="Calibri" w:hAnsi="Calibri" w:cs="Calibri"/>
          <w:color w:val="auto"/>
          <w:sz w:val="22"/>
          <w:u w:val="single"/>
          <w:lang w:val="en-US"/>
        </w:rPr>
        <w:t>foreign entity would fall under MAS regulatory scope</w:t>
      </w:r>
      <w:r w:rsidRPr="00B52D53">
        <w:rPr>
          <w:rFonts w:ascii="Calibri" w:hAnsi="Calibri" w:cs="Calibri"/>
          <w:color w:val="auto"/>
          <w:sz w:val="22"/>
          <w:lang w:val="en-US"/>
        </w:rPr>
        <w:t xml:space="preserve">. </w:t>
      </w:r>
    </w:p>
    <w:p w14:paraId="60BCA9C8" w14:textId="77777777" w:rsidR="00CA6D3C" w:rsidRPr="00B52D53" w:rsidRDefault="00CA6D3C" w:rsidP="004F0DD4">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For business dealings between a foreign branch and its related SG entity, MAS has allowed this under its </w:t>
      </w:r>
      <w:r w:rsidRPr="00B52D53">
        <w:rPr>
          <w:rFonts w:ascii="Calibri" w:hAnsi="Calibri" w:cs="Calibri"/>
          <w:color w:val="auto"/>
          <w:sz w:val="22"/>
          <w:u w:val="single"/>
          <w:lang w:val="en-US"/>
        </w:rPr>
        <w:t>Exemption Framework, i.e., not subject to Effects Doctrine</w:t>
      </w:r>
      <w:r w:rsidRPr="00B52D53">
        <w:rPr>
          <w:rFonts w:ascii="Calibri" w:hAnsi="Calibri" w:cs="Calibri"/>
          <w:color w:val="auto"/>
          <w:sz w:val="22"/>
          <w:lang w:val="en-US"/>
        </w:rPr>
        <w:t xml:space="preserve">. The SG entity is requirement to notify MAS of this arrangement within 14 days. Also, </w:t>
      </w:r>
    </w:p>
    <w:p w14:paraId="08FAC8D9" w14:textId="18B2AB12" w:rsidR="00CA6D3C" w:rsidRPr="00B52D53" w:rsidRDefault="00CA6D3C" w:rsidP="004F0DD4">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SG entity must be licensed</w:t>
      </w:r>
    </w:p>
    <w:p w14:paraId="1E1690AD" w14:textId="4740FC3B" w:rsidR="00CA6D3C" w:rsidRPr="00B52D53" w:rsidRDefault="00CA6D3C" w:rsidP="004F0DD4">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Foreign branch must be licensed in the country that it is operating from</w:t>
      </w:r>
    </w:p>
    <w:p w14:paraId="1B280E68" w14:textId="52E61A45" w:rsidR="00CA6D3C" w:rsidRPr="00B52D53" w:rsidRDefault="00CA6D3C" w:rsidP="004F0DD4">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 xml:space="preserve">Restricted to </w:t>
      </w:r>
      <w:r w:rsidR="00A00453" w:rsidRPr="00B52D53">
        <w:rPr>
          <w:rFonts w:ascii="Calibri" w:hAnsi="Calibri" w:cs="Calibri"/>
          <w:color w:val="auto"/>
          <w:sz w:val="22"/>
          <w:lang w:val="en-US"/>
        </w:rPr>
        <w:t>non-retail clients</w:t>
      </w:r>
    </w:p>
    <w:p w14:paraId="42B22348" w14:textId="5465D330" w:rsidR="00A00453" w:rsidRPr="00B52D53" w:rsidRDefault="00A00453" w:rsidP="004F0DD4">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The SG entity must have internal controls to oversee the conduct of foreign branch and its representatives</w:t>
      </w:r>
    </w:p>
    <w:p w14:paraId="4AF165FD" w14:textId="7D709B1A" w:rsidR="00A00453" w:rsidRPr="00B52D53" w:rsidRDefault="00A00453" w:rsidP="004F0DD4">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Audit certification that the boundary conditions have been complied with</w:t>
      </w:r>
    </w:p>
    <w:p w14:paraId="2B54CB65" w14:textId="77777777" w:rsidR="007B4941" w:rsidRPr="00B52D53" w:rsidRDefault="007B4941" w:rsidP="007B4941">
      <w:pPr>
        <w:pStyle w:val="BodyText"/>
        <w:rPr>
          <w:color w:val="auto"/>
          <w:lang w:val="en-US"/>
        </w:rPr>
      </w:pPr>
    </w:p>
    <w:p w14:paraId="5A52B224" w14:textId="2D4FF97A" w:rsidR="008B5FFB" w:rsidRPr="00B52D53" w:rsidRDefault="008B5FFB" w:rsidP="00DA459B">
      <w:pPr>
        <w:pStyle w:val="Heading2"/>
        <w:jc w:val="both"/>
        <w:rPr>
          <w:rFonts w:ascii="Calibri" w:hAnsi="Calibri" w:cs="Calibri"/>
          <w:color w:val="auto"/>
          <w:lang w:val="en-US"/>
        </w:rPr>
      </w:pPr>
      <w:r w:rsidRPr="00B52D53">
        <w:rPr>
          <w:rFonts w:ascii="Calibri" w:hAnsi="Calibri" w:cs="Calibri"/>
          <w:color w:val="auto"/>
          <w:lang w:val="en-US"/>
        </w:rPr>
        <w:t xml:space="preserve">Chapter </w:t>
      </w:r>
      <w:r w:rsidR="00B46D0F" w:rsidRPr="00B52D53">
        <w:rPr>
          <w:rFonts w:ascii="Calibri" w:hAnsi="Calibri" w:cs="Calibri"/>
          <w:color w:val="auto"/>
          <w:lang w:val="en-US"/>
        </w:rPr>
        <w:t>4</w:t>
      </w:r>
      <w:r w:rsidRPr="00B52D53">
        <w:rPr>
          <w:rFonts w:ascii="Calibri" w:hAnsi="Calibri" w:cs="Calibri"/>
          <w:color w:val="auto"/>
          <w:lang w:val="en-US"/>
        </w:rPr>
        <w:t xml:space="preserve"> – </w:t>
      </w:r>
      <w:r w:rsidR="00B46D0F" w:rsidRPr="00B52D53">
        <w:rPr>
          <w:rFonts w:ascii="Calibri" w:hAnsi="Calibri" w:cs="Calibri"/>
          <w:color w:val="auto"/>
          <w:lang w:val="en-US"/>
        </w:rPr>
        <w:t xml:space="preserve">Conduct of Business in </w:t>
      </w:r>
      <w:r w:rsidRPr="00B52D53">
        <w:rPr>
          <w:rFonts w:ascii="Calibri" w:hAnsi="Calibri" w:cs="Calibri"/>
          <w:color w:val="auto"/>
          <w:lang w:val="en-US"/>
        </w:rPr>
        <w:t xml:space="preserve">Fund Management </w:t>
      </w:r>
    </w:p>
    <w:p w14:paraId="7270BE58" w14:textId="2DA10F76" w:rsidR="00B46D0F" w:rsidRPr="00B52D53" w:rsidRDefault="00B46D0F" w:rsidP="009F73BE">
      <w:pPr>
        <w:pStyle w:val="Heading3"/>
        <w:numPr>
          <w:ilvl w:val="0"/>
          <w:numId w:val="97"/>
        </w:numPr>
        <w:jc w:val="both"/>
        <w:rPr>
          <w:rFonts w:ascii="Calibri" w:hAnsi="Calibri" w:cs="Calibri"/>
          <w:color w:val="auto"/>
          <w:lang w:val="en-US"/>
        </w:rPr>
      </w:pPr>
      <w:r w:rsidRPr="00B52D53">
        <w:rPr>
          <w:rFonts w:ascii="Calibri" w:hAnsi="Calibri" w:cs="Calibri"/>
          <w:color w:val="auto"/>
          <w:lang w:val="en-US"/>
        </w:rPr>
        <w:t xml:space="preserve">General Duties of CMS license holders, </w:t>
      </w:r>
      <w:r w:rsidR="00B72D51">
        <w:rPr>
          <w:rFonts w:ascii="Calibri" w:hAnsi="Calibri" w:cs="Calibri"/>
          <w:color w:val="auto"/>
          <w:lang w:val="en-US"/>
        </w:rPr>
        <w:t>LFMC</w:t>
      </w:r>
      <w:r w:rsidRPr="00B52D53">
        <w:rPr>
          <w:rFonts w:ascii="Calibri" w:hAnsi="Calibri" w:cs="Calibri"/>
          <w:color w:val="auto"/>
          <w:lang w:val="en-US"/>
        </w:rPr>
        <w:t>s,</w:t>
      </w:r>
      <w:r w:rsidR="002E171E" w:rsidRPr="00B52D53">
        <w:rPr>
          <w:rFonts w:ascii="Calibri" w:hAnsi="Calibri" w:cs="Calibri"/>
          <w:color w:val="auto"/>
          <w:lang w:val="en-US"/>
        </w:rPr>
        <w:t xml:space="preserve"> VCFMs</w:t>
      </w:r>
    </w:p>
    <w:p w14:paraId="38B6755B" w14:textId="14D995DB" w:rsidR="000A569A" w:rsidRDefault="00B46D0F"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t>CMS license holders</w:t>
      </w:r>
      <w:r w:rsidR="00197A97">
        <w:rPr>
          <w:rFonts w:ascii="Calibri" w:hAnsi="Calibri" w:cs="Calibri"/>
          <w:b/>
          <w:bCs/>
          <w:color w:val="auto"/>
          <w:sz w:val="22"/>
          <w:lang w:val="en-US"/>
        </w:rPr>
        <w:t>:</w:t>
      </w:r>
    </w:p>
    <w:p w14:paraId="2BB95364" w14:textId="632DFC25" w:rsidR="00B46D0F" w:rsidRPr="003A39BD" w:rsidRDefault="002E171E" w:rsidP="003A39BD">
      <w:pPr>
        <w:pStyle w:val="BodyText"/>
        <w:numPr>
          <w:ilvl w:val="1"/>
          <w:numId w:val="96"/>
        </w:numPr>
        <w:jc w:val="both"/>
        <w:rPr>
          <w:rFonts w:ascii="Calibri" w:hAnsi="Calibri" w:cs="Calibri"/>
          <w:color w:val="auto"/>
          <w:sz w:val="22"/>
          <w:lang w:val="en-US"/>
        </w:rPr>
      </w:pPr>
      <w:r w:rsidRPr="003A39BD">
        <w:rPr>
          <w:rFonts w:ascii="Calibri" w:hAnsi="Calibri" w:cs="Calibri"/>
          <w:color w:val="auto"/>
          <w:sz w:val="22"/>
          <w:lang w:val="en-US"/>
        </w:rPr>
        <w:t xml:space="preserve">This applies to all licensees </w:t>
      </w:r>
      <w:r w:rsidR="000A569A" w:rsidRPr="003A39BD">
        <w:rPr>
          <w:rFonts w:ascii="Calibri" w:hAnsi="Calibri" w:cs="Calibri"/>
          <w:color w:val="auto"/>
          <w:sz w:val="22"/>
          <w:lang w:val="en-US"/>
        </w:rPr>
        <w:t>under</w:t>
      </w:r>
      <w:r w:rsidRPr="003A39BD">
        <w:rPr>
          <w:rFonts w:ascii="Calibri" w:hAnsi="Calibri" w:cs="Calibri"/>
          <w:color w:val="auto"/>
          <w:sz w:val="22"/>
          <w:lang w:val="en-US"/>
        </w:rPr>
        <w:t xml:space="preserve"> the 7 regulated MAS activities. </w:t>
      </w:r>
      <w:r w:rsidR="00B46D0F" w:rsidRPr="003A39BD">
        <w:rPr>
          <w:rFonts w:ascii="Calibri" w:hAnsi="Calibri" w:cs="Calibri"/>
          <w:color w:val="auto"/>
          <w:sz w:val="22"/>
          <w:lang w:val="en-US"/>
        </w:rPr>
        <w:t>CEO</w:t>
      </w:r>
      <w:r w:rsidRPr="003A39BD">
        <w:rPr>
          <w:rFonts w:ascii="Calibri" w:hAnsi="Calibri" w:cs="Calibri"/>
          <w:color w:val="auto"/>
          <w:sz w:val="22"/>
          <w:lang w:val="en-US"/>
        </w:rPr>
        <w:t>s</w:t>
      </w:r>
      <w:r w:rsidR="00B46D0F" w:rsidRPr="003A39BD">
        <w:rPr>
          <w:rFonts w:ascii="Calibri" w:hAnsi="Calibri" w:cs="Calibri"/>
          <w:color w:val="auto"/>
          <w:sz w:val="22"/>
          <w:lang w:val="en-US"/>
        </w:rPr>
        <w:t xml:space="preserve"> and directors are ultimately responsible for the below</w:t>
      </w:r>
      <w:r w:rsidRPr="003A39BD">
        <w:rPr>
          <w:rFonts w:ascii="Calibri" w:hAnsi="Calibri" w:cs="Calibri"/>
          <w:color w:val="auto"/>
          <w:sz w:val="22"/>
          <w:lang w:val="en-US"/>
        </w:rPr>
        <w:t xml:space="preserve"> tasks</w:t>
      </w:r>
      <w:r w:rsidR="003A39BD">
        <w:rPr>
          <w:rFonts w:ascii="Calibri" w:hAnsi="Calibri" w:cs="Calibri"/>
          <w:color w:val="auto"/>
          <w:sz w:val="22"/>
          <w:lang w:val="en-US"/>
        </w:rPr>
        <w:t>.</w:t>
      </w:r>
    </w:p>
    <w:p w14:paraId="5B50837B" w14:textId="113F3771" w:rsidR="00B46D0F" w:rsidRPr="00B52D53" w:rsidRDefault="00B46D0F" w:rsidP="003A39BD">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u w:val="single"/>
          <w:lang w:val="en-US"/>
        </w:rPr>
        <w:t>Implementing and ensuring compliance with written policies</w:t>
      </w:r>
      <w:r w:rsidR="003421CA">
        <w:rPr>
          <w:rFonts w:ascii="Calibri" w:hAnsi="Calibri" w:cs="Calibri"/>
          <w:color w:val="auto"/>
          <w:sz w:val="22"/>
          <w:u w:val="single"/>
          <w:lang w:val="en-US"/>
        </w:rPr>
        <w:t>/</w:t>
      </w:r>
      <w:r w:rsidRPr="00B52D53">
        <w:rPr>
          <w:rFonts w:ascii="Calibri" w:hAnsi="Calibri" w:cs="Calibri"/>
          <w:color w:val="auto"/>
          <w:sz w:val="22"/>
          <w:u w:val="single"/>
          <w:lang w:val="en-US"/>
        </w:rPr>
        <w:t>documentation</w:t>
      </w:r>
    </w:p>
    <w:p w14:paraId="7EAFB01F" w14:textId="1F85860D" w:rsidR="00B46D0F" w:rsidRPr="00B52D53" w:rsidRDefault="00B46D0F" w:rsidP="003A39BD">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u w:val="single"/>
          <w:lang w:val="en-US"/>
        </w:rPr>
        <w:t>Ensuring effective controls and segregation of duties</w:t>
      </w:r>
      <w:r w:rsidRPr="00B52D53">
        <w:rPr>
          <w:rFonts w:ascii="Calibri" w:hAnsi="Calibri" w:cs="Calibri"/>
          <w:color w:val="auto"/>
          <w:sz w:val="22"/>
          <w:lang w:val="en-US"/>
        </w:rPr>
        <w:t>, including setting out in writing the limits of discretionary powers of each officer, committee etc.</w:t>
      </w:r>
    </w:p>
    <w:p w14:paraId="7AA8451B" w14:textId="688FADAD" w:rsidR="00B46D0F" w:rsidRPr="00B52D53" w:rsidRDefault="00B46D0F" w:rsidP="003A39BD">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 xml:space="preserve">Putting in place a </w:t>
      </w:r>
      <w:r w:rsidRPr="00B52D53">
        <w:rPr>
          <w:rFonts w:ascii="Calibri" w:hAnsi="Calibri" w:cs="Calibri"/>
          <w:color w:val="auto"/>
          <w:sz w:val="22"/>
          <w:u w:val="single"/>
          <w:lang w:val="en-US"/>
        </w:rPr>
        <w:t>compliance function</w:t>
      </w:r>
      <w:r w:rsidRPr="00B52D53">
        <w:rPr>
          <w:rFonts w:ascii="Calibri" w:hAnsi="Calibri" w:cs="Calibri"/>
          <w:color w:val="auto"/>
          <w:sz w:val="22"/>
          <w:lang w:val="en-US"/>
        </w:rPr>
        <w:t xml:space="preserve"> and </w:t>
      </w:r>
      <w:r w:rsidRPr="00B52D53">
        <w:rPr>
          <w:rFonts w:ascii="Calibri" w:hAnsi="Calibri" w:cs="Calibri"/>
          <w:color w:val="auto"/>
          <w:sz w:val="22"/>
          <w:u w:val="single"/>
          <w:lang w:val="en-US"/>
        </w:rPr>
        <w:t>internal audit arrangements</w:t>
      </w:r>
    </w:p>
    <w:p w14:paraId="48887F4F" w14:textId="77777777" w:rsidR="00B46D0F" w:rsidRPr="00B52D53" w:rsidRDefault="00B46D0F" w:rsidP="003A39BD">
      <w:pPr>
        <w:pStyle w:val="BodyText"/>
        <w:numPr>
          <w:ilvl w:val="2"/>
          <w:numId w:val="96"/>
        </w:numPr>
        <w:jc w:val="both"/>
        <w:rPr>
          <w:rFonts w:ascii="Calibri" w:hAnsi="Calibri" w:cs="Calibri"/>
          <w:color w:val="auto"/>
          <w:sz w:val="22"/>
          <w:u w:val="single"/>
          <w:lang w:val="en-US"/>
        </w:rPr>
      </w:pPr>
      <w:r w:rsidRPr="00B52D53">
        <w:rPr>
          <w:rFonts w:ascii="Calibri" w:hAnsi="Calibri" w:cs="Calibri"/>
          <w:color w:val="auto"/>
          <w:sz w:val="22"/>
          <w:u w:val="single"/>
          <w:lang w:val="en-US"/>
        </w:rPr>
        <w:lastRenderedPageBreak/>
        <w:t>Identifying, addressing and monitoring risks</w:t>
      </w:r>
    </w:p>
    <w:p w14:paraId="7FC0EC01" w14:textId="519D7E92" w:rsidR="00B46D0F" w:rsidRPr="00B52D53" w:rsidRDefault="00B46D0F" w:rsidP="003A39BD">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 xml:space="preserve">Ensuring </w:t>
      </w:r>
      <w:r w:rsidRPr="00B52D53">
        <w:rPr>
          <w:rFonts w:ascii="Calibri" w:hAnsi="Calibri" w:cs="Calibri"/>
          <w:color w:val="auto"/>
          <w:sz w:val="22"/>
          <w:u w:val="single"/>
          <w:lang w:val="en-US"/>
        </w:rPr>
        <w:t>accuracy, correctness and completeness</w:t>
      </w:r>
      <w:r w:rsidRPr="00B52D53">
        <w:rPr>
          <w:rFonts w:ascii="Calibri" w:hAnsi="Calibri" w:cs="Calibri"/>
          <w:color w:val="auto"/>
          <w:sz w:val="22"/>
          <w:lang w:val="en-US"/>
        </w:rPr>
        <w:t xml:space="preserve"> </w:t>
      </w:r>
      <w:r w:rsidR="003A39BD">
        <w:rPr>
          <w:rFonts w:ascii="Calibri" w:hAnsi="Calibri" w:cs="Calibri"/>
          <w:color w:val="auto"/>
          <w:sz w:val="22"/>
          <w:lang w:val="en-US"/>
        </w:rPr>
        <w:t>for</w:t>
      </w:r>
      <w:r w:rsidRPr="00B52D53">
        <w:rPr>
          <w:rFonts w:ascii="Calibri" w:hAnsi="Calibri" w:cs="Calibri"/>
          <w:color w:val="auto"/>
          <w:sz w:val="22"/>
          <w:lang w:val="en-US"/>
        </w:rPr>
        <w:t xml:space="preserve"> any report submitted to MAS</w:t>
      </w:r>
    </w:p>
    <w:p w14:paraId="62F77E40" w14:textId="67C699A4" w:rsidR="00ED04BC" w:rsidRDefault="00B72D51"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LFMC</w:t>
      </w:r>
      <w:r w:rsidR="00B46D0F" w:rsidRPr="00B52D53">
        <w:rPr>
          <w:rFonts w:ascii="Calibri" w:hAnsi="Calibri" w:cs="Calibri"/>
          <w:b/>
          <w:bCs/>
          <w:color w:val="auto"/>
          <w:sz w:val="22"/>
          <w:lang w:val="en-US"/>
        </w:rPr>
        <w:t xml:space="preserve"> </w:t>
      </w:r>
    </w:p>
    <w:p w14:paraId="272AE9E9" w14:textId="5945DE68" w:rsidR="00B46D0F" w:rsidRPr="00B52D53" w:rsidRDefault="002E171E" w:rsidP="00ED04BC">
      <w:pPr>
        <w:pStyle w:val="BodyText"/>
        <w:numPr>
          <w:ilvl w:val="1"/>
          <w:numId w:val="96"/>
        </w:numPr>
        <w:jc w:val="both"/>
        <w:rPr>
          <w:rFonts w:ascii="Calibri" w:hAnsi="Calibri" w:cs="Calibri"/>
          <w:b/>
          <w:bCs/>
          <w:color w:val="auto"/>
          <w:sz w:val="22"/>
          <w:lang w:val="en-US"/>
        </w:rPr>
      </w:pPr>
      <w:r w:rsidRPr="00ED04BC">
        <w:rPr>
          <w:rFonts w:ascii="Calibri" w:hAnsi="Calibri" w:cs="Calibri"/>
          <w:color w:val="auto"/>
          <w:sz w:val="22"/>
          <w:lang w:val="en-US"/>
        </w:rPr>
        <w:t>These are additional tasks on top of being a CMS license holder that are relevant to fund management</w:t>
      </w:r>
      <w:r w:rsidR="00ED04BC">
        <w:rPr>
          <w:rFonts w:ascii="Calibri" w:hAnsi="Calibri" w:cs="Calibri"/>
          <w:b/>
          <w:bCs/>
          <w:color w:val="auto"/>
          <w:sz w:val="22"/>
          <w:lang w:val="en-US"/>
        </w:rPr>
        <w:t xml:space="preserve"> </w:t>
      </w:r>
      <w:r w:rsidR="00ED04BC" w:rsidRPr="00ED04BC">
        <w:rPr>
          <w:rFonts w:ascii="Calibri" w:hAnsi="Calibri" w:cs="Calibri"/>
          <w:color w:val="auto"/>
          <w:sz w:val="22"/>
          <w:lang w:val="en-US"/>
        </w:rPr>
        <w:t>(</w:t>
      </w:r>
      <w:r w:rsidR="00F517D2" w:rsidRPr="00ED04BC">
        <w:rPr>
          <w:rFonts w:ascii="Calibri" w:hAnsi="Calibri" w:cs="Calibri"/>
          <w:color w:val="auto"/>
          <w:sz w:val="22"/>
          <w:lang w:val="en-US"/>
        </w:rPr>
        <w:t xml:space="preserve">Also see </w:t>
      </w:r>
      <w:r w:rsidR="00ED04BC">
        <w:rPr>
          <w:rFonts w:ascii="Calibri" w:hAnsi="Calibri" w:cs="Calibri"/>
          <w:color w:val="auto"/>
          <w:sz w:val="22"/>
          <w:lang w:val="en-US"/>
        </w:rPr>
        <w:t xml:space="preserve">General </w:t>
      </w:r>
      <w:r w:rsidR="00F517D2" w:rsidRPr="00ED04BC">
        <w:rPr>
          <w:rFonts w:ascii="Calibri" w:hAnsi="Calibri" w:cs="Calibri"/>
          <w:color w:val="auto"/>
          <w:sz w:val="22"/>
          <w:lang w:val="en-US"/>
        </w:rPr>
        <w:t>Licensing Criteria under Chapter 3</w:t>
      </w:r>
      <w:r w:rsidRPr="00ED04BC">
        <w:rPr>
          <w:rFonts w:ascii="Calibri" w:hAnsi="Calibri" w:cs="Calibri"/>
          <w:color w:val="auto"/>
          <w:sz w:val="22"/>
          <w:lang w:val="en-US"/>
        </w:rPr>
        <w:t>)</w:t>
      </w:r>
      <w:r w:rsidR="00ED04BC">
        <w:rPr>
          <w:rFonts w:ascii="Calibri" w:hAnsi="Calibri" w:cs="Calibri"/>
          <w:color w:val="auto"/>
          <w:sz w:val="22"/>
          <w:lang w:val="en-US"/>
        </w:rPr>
        <w:t>.</w:t>
      </w:r>
    </w:p>
    <w:p w14:paraId="382C3ED9" w14:textId="6BEE758F" w:rsidR="002E171E" w:rsidRPr="00B52D53" w:rsidRDefault="002E171E" w:rsidP="00ED04BC">
      <w:pPr>
        <w:pStyle w:val="BodyText"/>
        <w:numPr>
          <w:ilvl w:val="2"/>
          <w:numId w:val="96"/>
        </w:numPr>
        <w:jc w:val="both"/>
        <w:rPr>
          <w:rFonts w:ascii="Calibri" w:hAnsi="Calibri" w:cs="Calibri"/>
          <w:b/>
          <w:bCs/>
          <w:color w:val="auto"/>
          <w:sz w:val="22"/>
          <w:lang w:val="en-US"/>
        </w:rPr>
      </w:pPr>
      <w:r w:rsidRPr="00B52D53">
        <w:rPr>
          <w:rFonts w:ascii="Calibri" w:hAnsi="Calibri" w:cs="Calibri"/>
          <w:color w:val="auto"/>
          <w:sz w:val="22"/>
          <w:lang w:val="en-US"/>
        </w:rPr>
        <w:t xml:space="preserve">Implement a </w:t>
      </w:r>
      <w:r w:rsidRPr="00B52D53">
        <w:rPr>
          <w:rFonts w:ascii="Calibri" w:hAnsi="Calibri" w:cs="Calibri"/>
          <w:color w:val="auto"/>
          <w:sz w:val="22"/>
          <w:u w:val="single"/>
          <w:lang w:val="en-US"/>
        </w:rPr>
        <w:t>risk management framework</w:t>
      </w:r>
    </w:p>
    <w:p w14:paraId="5AAC5514" w14:textId="4C277698" w:rsidR="0074259C" w:rsidRPr="00B52D53" w:rsidRDefault="00F3466B" w:rsidP="00ED04BC">
      <w:pPr>
        <w:pStyle w:val="BodyText"/>
        <w:numPr>
          <w:ilvl w:val="2"/>
          <w:numId w:val="96"/>
        </w:numPr>
        <w:jc w:val="both"/>
        <w:rPr>
          <w:rFonts w:ascii="Calibri" w:hAnsi="Calibri" w:cs="Calibri"/>
          <w:color w:val="auto"/>
          <w:sz w:val="22"/>
          <w:lang w:val="en-US"/>
        </w:rPr>
      </w:pPr>
      <w:r>
        <w:rPr>
          <w:rFonts w:ascii="Calibri" w:hAnsi="Calibri" w:cs="Calibri"/>
          <w:color w:val="auto"/>
          <w:sz w:val="22"/>
          <w:u w:val="single"/>
          <w:lang w:val="en-US"/>
        </w:rPr>
        <w:t>Hold</w:t>
      </w:r>
      <w:r w:rsidR="0074259C" w:rsidRPr="00B52D53">
        <w:rPr>
          <w:rFonts w:ascii="Calibri" w:hAnsi="Calibri" w:cs="Calibri"/>
          <w:color w:val="auto"/>
          <w:sz w:val="22"/>
          <w:u w:val="single"/>
          <w:lang w:val="en-US"/>
        </w:rPr>
        <w:t xml:space="preserve"> client asset under management</w:t>
      </w:r>
      <w:r>
        <w:rPr>
          <w:rFonts w:ascii="Calibri" w:hAnsi="Calibri" w:cs="Calibri"/>
          <w:color w:val="auto"/>
          <w:sz w:val="22"/>
          <w:u w:val="single"/>
          <w:lang w:val="en-US"/>
        </w:rPr>
        <w:t xml:space="preserve"> </w:t>
      </w:r>
      <w:r w:rsidR="005C2DA7">
        <w:rPr>
          <w:rFonts w:ascii="Calibri" w:hAnsi="Calibri" w:cs="Calibri"/>
          <w:color w:val="auto"/>
          <w:sz w:val="22"/>
          <w:u w:val="single"/>
          <w:lang w:val="en-US"/>
        </w:rPr>
        <w:t>under</w:t>
      </w:r>
      <w:r>
        <w:rPr>
          <w:rFonts w:ascii="Calibri" w:hAnsi="Calibri" w:cs="Calibri"/>
          <w:color w:val="auto"/>
          <w:sz w:val="22"/>
          <w:u w:val="single"/>
          <w:lang w:val="en-US"/>
        </w:rPr>
        <w:t xml:space="preserve"> trust</w:t>
      </w:r>
      <w:r w:rsidR="005C2DA7">
        <w:rPr>
          <w:rFonts w:ascii="Calibri" w:hAnsi="Calibri" w:cs="Calibri"/>
          <w:color w:val="auto"/>
          <w:sz w:val="22"/>
          <w:u w:val="single"/>
          <w:lang w:val="en-US"/>
        </w:rPr>
        <w:t>/custody</w:t>
      </w:r>
      <w:r w:rsidR="0074259C" w:rsidRPr="00B52D53">
        <w:rPr>
          <w:rStyle w:val="FootnoteReference"/>
          <w:rFonts w:ascii="Calibri" w:hAnsi="Calibri" w:cs="Calibri"/>
          <w:color w:val="auto"/>
          <w:sz w:val="22"/>
          <w:u w:val="single"/>
        </w:rPr>
        <w:footnoteReference w:id="5"/>
      </w:r>
      <w:r w:rsidR="0074259C" w:rsidRPr="00B52D53">
        <w:rPr>
          <w:rFonts w:ascii="Calibri" w:hAnsi="Calibri" w:cs="Calibri"/>
          <w:color w:val="auto"/>
          <w:sz w:val="22"/>
          <w:lang w:val="en-US"/>
        </w:rPr>
        <w:t xml:space="preserve"> </w:t>
      </w:r>
      <w:r w:rsidR="005C2DA7">
        <w:rPr>
          <w:rFonts w:ascii="Calibri" w:hAnsi="Calibri" w:cs="Calibri"/>
          <w:color w:val="auto"/>
          <w:sz w:val="22"/>
          <w:lang w:val="en-US"/>
        </w:rPr>
        <w:t xml:space="preserve">and </w:t>
      </w:r>
      <w:r w:rsidR="005C2DA7" w:rsidRPr="005C2DA7">
        <w:rPr>
          <w:rFonts w:ascii="Calibri" w:hAnsi="Calibri" w:cs="Calibri"/>
          <w:color w:val="auto"/>
          <w:sz w:val="22"/>
          <w:u w:val="single"/>
          <w:lang w:val="en-US"/>
        </w:rPr>
        <w:t xml:space="preserve">segregate </w:t>
      </w:r>
      <w:r w:rsidR="0074259C" w:rsidRPr="005C2DA7">
        <w:rPr>
          <w:rFonts w:ascii="Calibri" w:hAnsi="Calibri" w:cs="Calibri"/>
          <w:color w:val="auto"/>
          <w:sz w:val="22"/>
          <w:u w:val="single"/>
          <w:lang w:val="en-US"/>
        </w:rPr>
        <w:t xml:space="preserve">from </w:t>
      </w:r>
      <w:r w:rsidR="00B72D51">
        <w:rPr>
          <w:rFonts w:ascii="Calibri" w:hAnsi="Calibri" w:cs="Calibri"/>
          <w:color w:val="auto"/>
          <w:sz w:val="22"/>
          <w:u w:val="single"/>
          <w:lang w:val="en-US"/>
        </w:rPr>
        <w:t>LFMC</w:t>
      </w:r>
      <w:r w:rsidR="0074259C" w:rsidRPr="005C2DA7">
        <w:rPr>
          <w:rFonts w:ascii="Calibri" w:hAnsi="Calibri" w:cs="Calibri"/>
          <w:color w:val="auto"/>
          <w:sz w:val="22"/>
          <w:u w:val="single"/>
          <w:lang w:val="en-US"/>
        </w:rPr>
        <w:t>’s proprietary assets</w:t>
      </w:r>
      <w:r w:rsidR="0074259C" w:rsidRPr="00B52D53">
        <w:rPr>
          <w:rFonts w:ascii="Calibri" w:hAnsi="Calibri" w:cs="Calibri"/>
          <w:color w:val="auto"/>
          <w:sz w:val="22"/>
          <w:lang w:val="en-US"/>
        </w:rPr>
        <w:t xml:space="preserve"> (except when the assets are not listed or quoted)</w:t>
      </w:r>
    </w:p>
    <w:p w14:paraId="6B799826" w14:textId="486F9D54" w:rsidR="002E171E" w:rsidRPr="00B52D53" w:rsidRDefault="002E171E" w:rsidP="00ED04BC">
      <w:pPr>
        <w:pStyle w:val="BodyText"/>
        <w:numPr>
          <w:ilvl w:val="2"/>
          <w:numId w:val="96"/>
        </w:numPr>
        <w:jc w:val="both"/>
        <w:rPr>
          <w:rFonts w:ascii="Calibri" w:hAnsi="Calibri" w:cs="Calibri"/>
          <w:b/>
          <w:bCs/>
          <w:color w:val="auto"/>
          <w:sz w:val="22"/>
          <w:lang w:val="en-US"/>
        </w:rPr>
      </w:pPr>
      <w:r w:rsidRPr="00B52D53">
        <w:rPr>
          <w:rFonts w:ascii="Calibri" w:hAnsi="Calibri" w:cs="Calibri"/>
          <w:color w:val="auto"/>
          <w:sz w:val="22"/>
          <w:lang w:val="en-US"/>
        </w:rPr>
        <w:t xml:space="preserve">Ensure </w:t>
      </w:r>
      <w:r w:rsidRPr="00B52D53">
        <w:rPr>
          <w:rFonts w:ascii="Calibri" w:hAnsi="Calibri" w:cs="Calibri"/>
          <w:color w:val="auto"/>
          <w:sz w:val="22"/>
          <w:u w:val="single"/>
          <w:lang w:val="en-US"/>
        </w:rPr>
        <w:t>independent party to assess AUM</w:t>
      </w:r>
    </w:p>
    <w:p w14:paraId="76B91F16" w14:textId="18FD4E81" w:rsidR="0074259C" w:rsidRPr="00B52D53" w:rsidRDefault="0074259C" w:rsidP="00ED04BC">
      <w:pPr>
        <w:pStyle w:val="BodyText"/>
        <w:numPr>
          <w:ilvl w:val="2"/>
          <w:numId w:val="96"/>
        </w:numPr>
        <w:jc w:val="both"/>
        <w:rPr>
          <w:rFonts w:ascii="Calibri" w:hAnsi="Calibri" w:cs="Calibri"/>
          <w:b/>
          <w:bCs/>
          <w:color w:val="auto"/>
          <w:sz w:val="22"/>
          <w:lang w:val="en-US"/>
        </w:rPr>
      </w:pPr>
      <w:r w:rsidRPr="00B52D53">
        <w:rPr>
          <w:rFonts w:ascii="Calibri" w:hAnsi="Calibri" w:cs="Calibri"/>
          <w:color w:val="auto"/>
          <w:sz w:val="22"/>
          <w:lang w:val="en-US"/>
        </w:rPr>
        <w:t xml:space="preserve">Subject to adequate </w:t>
      </w:r>
      <w:r w:rsidRPr="00B52D53">
        <w:rPr>
          <w:rFonts w:ascii="Calibri" w:hAnsi="Calibri" w:cs="Calibri"/>
          <w:color w:val="auto"/>
          <w:sz w:val="22"/>
          <w:u w:val="single"/>
          <w:lang w:val="en-US"/>
        </w:rPr>
        <w:t>internal audits</w:t>
      </w:r>
      <w:r w:rsidRPr="00B52D53">
        <w:rPr>
          <w:rFonts w:ascii="Calibri" w:hAnsi="Calibri" w:cs="Calibri"/>
          <w:color w:val="auto"/>
          <w:sz w:val="22"/>
          <w:lang w:val="en-US"/>
        </w:rPr>
        <w:t xml:space="preserve"> and arrange for </w:t>
      </w:r>
      <w:r w:rsidRPr="00B52D53">
        <w:rPr>
          <w:rFonts w:ascii="Calibri" w:hAnsi="Calibri" w:cs="Calibri"/>
          <w:color w:val="auto"/>
          <w:sz w:val="22"/>
          <w:u w:val="single"/>
          <w:lang w:val="en-US"/>
        </w:rPr>
        <w:t>annual external audits of assets</w:t>
      </w:r>
      <w:r w:rsidRPr="00B52D53">
        <w:rPr>
          <w:rFonts w:ascii="Calibri" w:hAnsi="Calibri" w:cs="Calibri"/>
          <w:color w:val="auto"/>
          <w:sz w:val="22"/>
          <w:lang w:val="en-US"/>
        </w:rPr>
        <w:t xml:space="preserve"> and </w:t>
      </w:r>
      <w:r w:rsidRPr="00B52D53">
        <w:rPr>
          <w:rFonts w:ascii="Calibri" w:hAnsi="Calibri" w:cs="Calibri"/>
          <w:color w:val="auto"/>
          <w:sz w:val="22"/>
          <w:u w:val="single"/>
          <w:lang w:val="en-US"/>
        </w:rPr>
        <w:t>provide audit reports to clients</w:t>
      </w:r>
      <w:r w:rsidRPr="00B52D53">
        <w:rPr>
          <w:rFonts w:ascii="Calibri" w:hAnsi="Calibri" w:cs="Calibri"/>
          <w:b/>
          <w:bCs/>
          <w:color w:val="auto"/>
          <w:sz w:val="22"/>
          <w:lang w:val="en-US"/>
        </w:rPr>
        <w:t xml:space="preserve"> </w:t>
      </w:r>
    </w:p>
    <w:p w14:paraId="3B9F9BA0" w14:textId="5C649568" w:rsidR="002E171E" w:rsidRPr="00B52D53" w:rsidRDefault="002E171E" w:rsidP="00ED04BC">
      <w:pPr>
        <w:pStyle w:val="BodyText"/>
        <w:numPr>
          <w:ilvl w:val="2"/>
          <w:numId w:val="96"/>
        </w:numPr>
        <w:jc w:val="both"/>
        <w:rPr>
          <w:rFonts w:ascii="Calibri" w:hAnsi="Calibri" w:cs="Calibri"/>
          <w:b/>
          <w:bCs/>
          <w:color w:val="auto"/>
          <w:sz w:val="22"/>
          <w:lang w:val="en-US"/>
        </w:rPr>
      </w:pPr>
      <w:r w:rsidRPr="00B52D53">
        <w:rPr>
          <w:rFonts w:ascii="Calibri" w:hAnsi="Calibri" w:cs="Calibri"/>
          <w:color w:val="auto"/>
          <w:sz w:val="22"/>
          <w:u w:val="single"/>
          <w:lang w:val="en-US"/>
        </w:rPr>
        <w:t>Avoid conflict of interest</w:t>
      </w:r>
      <w:r w:rsidRPr="00B52D53">
        <w:rPr>
          <w:rFonts w:ascii="Calibri" w:hAnsi="Calibri" w:cs="Calibri"/>
          <w:color w:val="auto"/>
          <w:sz w:val="22"/>
          <w:lang w:val="en-US"/>
        </w:rPr>
        <w:t xml:space="preserve"> and </w:t>
      </w:r>
      <w:r w:rsidRPr="00B52D53">
        <w:rPr>
          <w:rFonts w:ascii="Calibri" w:hAnsi="Calibri" w:cs="Calibri"/>
          <w:color w:val="auto"/>
          <w:sz w:val="22"/>
          <w:u w:val="single"/>
          <w:lang w:val="en-US"/>
        </w:rPr>
        <w:t>prioritize client needs</w:t>
      </w:r>
      <w:r w:rsidRPr="00B52D53">
        <w:rPr>
          <w:rFonts w:ascii="Calibri" w:hAnsi="Calibri" w:cs="Calibri"/>
          <w:color w:val="auto"/>
          <w:sz w:val="22"/>
          <w:lang w:val="en-US"/>
        </w:rPr>
        <w:t xml:space="preserve"> over others</w:t>
      </w:r>
    </w:p>
    <w:p w14:paraId="72EA36F7" w14:textId="77777777" w:rsidR="00197A97" w:rsidRDefault="002E171E"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t xml:space="preserve">VCFM </w:t>
      </w:r>
    </w:p>
    <w:p w14:paraId="77AA3479" w14:textId="2598A7F1" w:rsidR="002E171E" w:rsidRPr="00197A97" w:rsidRDefault="002E171E" w:rsidP="00197A97">
      <w:pPr>
        <w:pStyle w:val="BodyText"/>
        <w:numPr>
          <w:ilvl w:val="1"/>
          <w:numId w:val="96"/>
        </w:numPr>
        <w:jc w:val="both"/>
        <w:rPr>
          <w:rFonts w:ascii="Calibri" w:hAnsi="Calibri" w:cs="Calibri"/>
          <w:color w:val="auto"/>
          <w:sz w:val="22"/>
          <w:lang w:val="en-US"/>
        </w:rPr>
      </w:pPr>
      <w:r w:rsidRPr="00197A97">
        <w:rPr>
          <w:rFonts w:ascii="Calibri" w:hAnsi="Calibri" w:cs="Calibri"/>
          <w:color w:val="auto"/>
          <w:sz w:val="22"/>
          <w:lang w:val="en-US"/>
        </w:rPr>
        <w:t>These are additional tasks on top of CMS license holder that are relevant to VC fund management</w:t>
      </w:r>
      <w:r w:rsidR="00197A97" w:rsidRPr="00197A97">
        <w:rPr>
          <w:rFonts w:ascii="Calibri" w:hAnsi="Calibri" w:cs="Calibri"/>
          <w:color w:val="auto"/>
          <w:sz w:val="22"/>
          <w:lang w:val="en-US"/>
        </w:rPr>
        <w:t>.</w:t>
      </w:r>
    </w:p>
    <w:p w14:paraId="57ABF393" w14:textId="3EC94E51" w:rsidR="002E171E" w:rsidRPr="00B52D53" w:rsidRDefault="002E171E" w:rsidP="00197A97">
      <w:pPr>
        <w:pStyle w:val="BodyText"/>
        <w:numPr>
          <w:ilvl w:val="2"/>
          <w:numId w:val="96"/>
        </w:numPr>
        <w:jc w:val="both"/>
        <w:rPr>
          <w:rFonts w:ascii="Calibri" w:hAnsi="Calibri" w:cs="Calibri"/>
          <w:b/>
          <w:bCs/>
          <w:color w:val="auto"/>
          <w:sz w:val="22"/>
          <w:lang w:val="en-US"/>
        </w:rPr>
      </w:pPr>
      <w:r w:rsidRPr="00B52D53">
        <w:rPr>
          <w:rFonts w:ascii="Calibri" w:hAnsi="Calibri" w:cs="Calibri"/>
          <w:color w:val="auto"/>
          <w:sz w:val="22"/>
          <w:lang w:val="en-US"/>
        </w:rPr>
        <w:t>Disclose to clients that VCFM is not subject to all regulatory requirements</w:t>
      </w:r>
    </w:p>
    <w:p w14:paraId="20415A4F" w14:textId="77777777" w:rsidR="002E171E" w:rsidRPr="00B52D53" w:rsidRDefault="002E171E" w:rsidP="00197A97">
      <w:pPr>
        <w:pStyle w:val="BodyText"/>
        <w:numPr>
          <w:ilvl w:val="2"/>
          <w:numId w:val="96"/>
        </w:numPr>
        <w:jc w:val="both"/>
        <w:rPr>
          <w:rFonts w:ascii="Calibri" w:hAnsi="Calibri" w:cs="Calibri"/>
          <w:b/>
          <w:bCs/>
          <w:color w:val="auto"/>
          <w:sz w:val="22"/>
          <w:lang w:val="en-US"/>
        </w:rPr>
      </w:pPr>
      <w:r w:rsidRPr="00B52D53">
        <w:rPr>
          <w:rFonts w:ascii="Calibri" w:hAnsi="Calibri" w:cs="Calibri"/>
          <w:color w:val="auto"/>
          <w:sz w:val="22"/>
          <w:lang w:val="en-US"/>
        </w:rPr>
        <w:t>Avoid conflict of interest and prioritize client needs over others</w:t>
      </w:r>
    </w:p>
    <w:p w14:paraId="5451ACF2" w14:textId="77777777" w:rsidR="002E171E" w:rsidRPr="00B52D53" w:rsidRDefault="002E171E" w:rsidP="002E171E">
      <w:pPr>
        <w:pStyle w:val="BodyText"/>
        <w:ind w:left="1440"/>
        <w:jc w:val="both"/>
        <w:rPr>
          <w:rFonts w:ascii="Calibri" w:hAnsi="Calibri" w:cs="Calibri"/>
          <w:b/>
          <w:bCs/>
          <w:color w:val="auto"/>
          <w:sz w:val="22"/>
          <w:lang w:val="en-US"/>
        </w:rPr>
      </w:pPr>
    </w:p>
    <w:p w14:paraId="345C59C0" w14:textId="3B10F0D1" w:rsidR="00B46D0F" w:rsidRPr="00B52D53" w:rsidRDefault="00B46D0F" w:rsidP="009F73BE">
      <w:pPr>
        <w:pStyle w:val="Heading3"/>
        <w:numPr>
          <w:ilvl w:val="0"/>
          <w:numId w:val="97"/>
        </w:numPr>
        <w:jc w:val="both"/>
        <w:rPr>
          <w:rFonts w:ascii="Calibri" w:hAnsi="Calibri" w:cs="Calibri"/>
          <w:color w:val="auto"/>
          <w:lang w:val="en-US"/>
        </w:rPr>
      </w:pPr>
      <w:r w:rsidRPr="00B52D53">
        <w:rPr>
          <w:rFonts w:ascii="Calibri" w:hAnsi="Calibri" w:cs="Calibri"/>
          <w:color w:val="auto"/>
          <w:lang w:val="en-US"/>
        </w:rPr>
        <w:t>Key</w:t>
      </w:r>
      <w:r w:rsidR="00E40F90">
        <w:rPr>
          <w:rFonts w:ascii="Calibri" w:hAnsi="Calibri" w:cs="Calibri"/>
          <w:color w:val="auto"/>
          <w:lang w:val="en-US"/>
        </w:rPr>
        <w:t xml:space="preserve"> </w:t>
      </w:r>
      <w:r w:rsidR="00B72D51">
        <w:rPr>
          <w:rFonts w:ascii="Calibri" w:hAnsi="Calibri" w:cs="Calibri"/>
          <w:color w:val="auto"/>
          <w:lang w:val="en-US"/>
        </w:rPr>
        <w:t>LFMC</w:t>
      </w:r>
      <w:r w:rsidRPr="00B52D53">
        <w:rPr>
          <w:rFonts w:ascii="Calibri" w:hAnsi="Calibri" w:cs="Calibri"/>
          <w:color w:val="auto"/>
          <w:lang w:val="en-US"/>
        </w:rPr>
        <w:t xml:space="preserve"> events subject to MAS approval</w:t>
      </w:r>
    </w:p>
    <w:p w14:paraId="3635ED17" w14:textId="6C6F9B45" w:rsidR="0074259C" w:rsidRPr="00B52D53" w:rsidRDefault="0074259C"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t>Appointments</w:t>
      </w:r>
      <w:r w:rsidR="00197A97">
        <w:rPr>
          <w:rFonts w:ascii="Calibri" w:hAnsi="Calibri" w:cs="Calibri"/>
          <w:b/>
          <w:bCs/>
          <w:color w:val="auto"/>
          <w:sz w:val="22"/>
          <w:lang w:val="en-US"/>
        </w:rPr>
        <w:t>:</w:t>
      </w:r>
      <w:r w:rsidRPr="00B52D53">
        <w:rPr>
          <w:rFonts w:ascii="Calibri" w:hAnsi="Calibri" w:cs="Calibri"/>
          <w:b/>
          <w:bCs/>
          <w:color w:val="auto"/>
          <w:sz w:val="22"/>
          <w:lang w:val="en-US"/>
        </w:rPr>
        <w:t xml:space="preserve"> </w:t>
      </w:r>
    </w:p>
    <w:p w14:paraId="55EBE6E0" w14:textId="7822F63F" w:rsidR="00B46D0F" w:rsidRPr="00B52D53" w:rsidRDefault="002463C0"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For </w:t>
      </w:r>
      <w:r w:rsidR="00B72D51">
        <w:rPr>
          <w:rFonts w:ascii="Calibri" w:hAnsi="Calibri" w:cs="Calibri"/>
          <w:color w:val="auto"/>
          <w:sz w:val="22"/>
          <w:lang w:val="en-US"/>
        </w:rPr>
        <w:t>LFMC</w:t>
      </w:r>
      <w:r w:rsidRPr="00B52D53">
        <w:rPr>
          <w:rFonts w:ascii="Calibri" w:hAnsi="Calibri" w:cs="Calibri"/>
          <w:color w:val="auto"/>
          <w:sz w:val="22"/>
          <w:lang w:val="en-US"/>
        </w:rPr>
        <w:t xml:space="preserve">, MAS approval is required to (i) </w:t>
      </w:r>
      <w:r w:rsidRPr="00B52D53">
        <w:rPr>
          <w:rFonts w:ascii="Calibri" w:hAnsi="Calibri" w:cs="Calibri"/>
          <w:color w:val="auto"/>
          <w:sz w:val="22"/>
          <w:u w:val="single"/>
          <w:lang w:val="en-US"/>
        </w:rPr>
        <w:t>appoint any CEOs or directors</w:t>
      </w:r>
      <w:r w:rsidRPr="00B52D53">
        <w:rPr>
          <w:rFonts w:ascii="Calibri" w:hAnsi="Calibri" w:cs="Calibri"/>
          <w:color w:val="auto"/>
          <w:sz w:val="22"/>
          <w:lang w:val="en-US"/>
        </w:rPr>
        <w:t xml:space="preserve"> and (ii) </w:t>
      </w:r>
      <w:r w:rsidRPr="00B52D53">
        <w:rPr>
          <w:rFonts w:ascii="Calibri" w:hAnsi="Calibri" w:cs="Calibri"/>
          <w:color w:val="auto"/>
          <w:sz w:val="22"/>
          <w:u w:val="single"/>
          <w:lang w:val="en-US"/>
        </w:rPr>
        <w:t>changing the nature of Non-Executive Director to Executive Director</w:t>
      </w:r>
      <w:r w:rsidR="00B46D0F" w:rsidRPr="00B52D53">
        <w:rPr>
          <w:rFonts w:ascii="Calibri" w:hAnsi="Calibri" w:cs="Calibri"/>
          <w:color w:val="auto"/>
          <w:sz w:val="22"/>
          <w:lang w:val="en-US"/>
        </w:rPr>
        <w:t>.</w:t>
      </w:r>
    </w:p>
    <w:p w14:paraId="20F574DB" w14:textId="65FF6B58" w:rsidR="002463C0" w:rsidRPr="00B52D53" w:rsidRDefault="002463C0" w:rsidP="009F73BE">
      <w:pPr>
        <w:pStyle w:val="ListParagraph"/>
        <w:numPr>
          <w:ilvl w:val="1"/>
          <w:numId w:val="96"/>
        </w:numPr>
        <w:jc w:val="both"/>
        <w:rPr>
          <w:rFonts w:ascii="Calibri" w:hAnsi="Calibri" w:cs="Calibri"/>
          <w:color w:val="auto"/>
          <w:sz w:val="22"/>
          <w:lang w:val="en-US"/>
        </w:rPr>
      </w:pPr>
      <w:r w:rsidRPr="00B52D53">
        <w:rPr>
          <w:rFonts w:ascii="Calibri" w:hAnsi="Calibri" w:cs="Calibri"/>
          <w:color w:val="auto"/>
          <w:sz w:val="22"/>
          <w:lang w:val="en-US"/>
        </w:rPr>
        <w:t>For VCFM, MAS approval is not required. However, MAS would review the CEO and directors to ensure that they must be fit and proper (i.e., honest, integrity and reputation; competence and capabilities; financial soundness).</w:t>
      </w:r>
    </w:p>
    <w:p w14:paraId="1AFE6072" w14:textId="14330EE2" w:rsidR="00B46D0F" w:rsidRPr="00B52D53" w:rsidRDefault="0074259C"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t>Removals</w:t>
      </w:r>
      <w:r w:rsidR="00F517D2" w:rsidRPr="00B52D53">
        <w:rPr>
          <w:rFonts w:ascii="Calibri" w:hAnsi="Calibri" w:cs="Calibri"/>
          <w:color w:val="auto"/>
          <w:sz w:val="22"/>
          <w:lang w:val="en-US"/>
        </w:rPr>
        <w:t>:</w:t>
      </w:r>
      <w:r w:rsidR="00F517D2" w:rsidRPr="00B52D53">
        <w:rPr>
          <w:rFonts w:ascii="Calibri" w:hAnsi="Calibri" w:cs="Calibri"/>
          <w:b/>
          <w:bCs/>
          <w:color w:val="auto"/>
          <w:sz w:val="22"/>
          <w:lang w:val="en-US"/>
        </w:rPr>
        <w:t xml:space="preserve"> </w:t>
      </w:r>
      <w:r w:rsidRPr="00B52D53">
        <w:rPr>
          <w:rFonts w:ascii="Calibri" w:hAnsi="Calibri" w:cs="Calibri"/>
          <w:color w:val="auto"/>
          <w:sz w:val="22"/>
          <w:lang w:val="en-US"/>
        </w:rPr>
        <w:t xml:space="preserve">MAS may </w:t>
      </w:r>
      <w:r w:rsidRPr="003D353A">
        <w:rPr>
          <w:rFonts w:ascii="Calibri" w:hAnsi="Calibri" w:cs="Calibri"/>
          <w:color w:val="auto"/>
          <w:sz w:val="22"/>
          <w:u w:val="single"/>
          <w:lang w:val="en-US"/>
        </w:rPr>
        <w:t xml:space="preserve">direct the </w:t>
      </w:r>
      <w:r w:rsidR="00B72D51">
        <w:rPr>
          <w:rFonts w:ascii="Calibri" w:hAnsi="Calibri" w:cs="Calibri"/>
          <w:color w:val="auto"/>
          <w:sz w:val="22"/>
          <w:u w:val="single"/>
          <w:lang w:val="en-US"/>
        </w:rPr>
        <w:t>LFMC</w:t>
      </w:r>
      <w:r w:rsidRPr="003D353A">
        <w:rPr>
          <w:rFonts w:ascii="Calibri" w:hAnsi="Calibri" w:cs="Calibri"/>
          <w:color w:val="auto"/>
          <w:sz w:val="22"/>
          <w:u w:val="single"/>
          <w:lang w:val="en-US"/>
        </w:rPr>
        <w:t xml:space="preserve"> to remove a director or executive officer</w:t>
      </w:r>
      <w:r w:rsidRPr="00B52D53">
        <w:rPr>
          <w:rFonts w:ascii="Calibri" w:hAnsi="Calibri" w:cs="Calibri"/>
          <w:color w:val="auto"/>
          <w:sz w:val="22"/>
          <w:lang w:val="en-US"/>
        </w:rPr>
        <w:t xml:space="preserve"> from their office if the individua</w:t>
      </w:r>
      <w:r w:rsidR="00221969">
        <w:rPr>
          <w:rFonts w:ascii="Calibri" w:hAnsi="Calibri" w:cs="Calibri"/>
          <w:color w:val="auto"/>
          <w:sz w:val="22"/>
          <w:lang w:val="en-US"/>
        </w:rPr>
        <w:t>l</w:t>
      </w:r>
      <w:r w:rsidRPr="00B52D53">
        <w:rPr>
          <w:rFonts w:ascii="Calibri" w:hAnsi="Calibri" w:cs="Calibri"/>
          <w:color w:val="auto"/>
          <w:sz w:val="22"/>
          <w:lang w:val="en-US"/>
        </w:rPr>
        <w:t xml:space="preserve"> (</w:t>
      </w:r>
      <w:proofErr w:type="spellStart"/>
      <w:r w:rsidRPr="00B52D53">
        <w:rPr>
          <w:rFonts w:ascii="Calibri" w:hAnsi="Calibri" w:cs="Calibri"/>
          <w:color w:val="auto"/>
          <w:sz w:val="22"/>
          <w:lang w:val="en-US"/>
        </w:rPr>
        <w:t>i</w:t>
      </w:r>
      <w:proofErr w:type="spellEnd"/>
      <w:r w:rsidRPr="00B52D53">
        <w:rPr>
          <w:rFonts w:ascii="Calibri" w:hAnsi="Calibri" w:cs="Calibri"/>
          <w:color w:val="auto"/>
          <w:sz w:val="22"/>
          <w:lang w:val="en-US"/>
        </w:rPr>
        <w:t xml:space="preserve">) </w:t>
      </w:r>
      <w:r w:rsidR="00221969">
        <w:rPr>
          <w:rFonts w:ascii="Calibri" w:hAnsi="Calibri" w:cs="Calibri"/>
          <w:color w:val="auto"/>
          <w:sz w:val="22"/>
          <w:lang w:val="en-US"/>
        </w:rPr>
        <w:t xml:space="preserve">has </w:t>
      </w:r>
      <w:r w:rsidRPr="00B52D53">
        <w:rPr>
          <w:rFonts w:ascii="Calibri" w:hAnsi="Calibri" w:cs="Calibri"/>
          <w:color w:val="auto"/>
          <w:sz w:val="22"/>
          <w:u w:val="single"/>
          <w:lang w:val="en-US"/>
        </w:rPr>
        <w:t xml:space="preserve">willfully caused the </w:t>
      </w:r>
      <w:r w:rsidR="00B72D51">
        <w:rPr>
          <w:rFonts w:ascii="Calibri" w:hAnsi="Calibri" w:cs="Calibri"/>
          <w:color w:val="auto"/>
          <w:sz w:val="22"/>
          <w:u w:val="single"/>
          <w:lang w:val="en-US"/>
        </w:rPr>
        <w:t>LFMC</w:t>
      </w:r>
      <w:r w:rsidRPr="00B52D53">
        <w:rPr>
          <w:rFonts w:ascii="Calibri" w:hAnsi="Calibri" w:cs="Calibri"/>
          <w:color w:val="auto"/>
          <w:sz w:val="22"/>
          <w:u w:val="single"/>
          <w:lang w:val="en-US"/>
        </w:rPr>
        <w:t xml:space="preserve"> to contravene the SFA</w:t>
      </w:r>
      <w:r w:rsidR="003421CA">
        <w:rPr>
          <w:rFonts w:ascii="Calibri" w:hAnsi="Calibri" w:cs="Calibri"/>
          <w:color w:val="auto"/>
          <w:sz w:val="22"/>
          <w:lang w:val="en-US"/>
        </w:rPr>
        <w:t>/</w:t>
      </w:r>
      <w:r w:rsidR="002463C0" w:rsidRPr="00B52D53">
        <w:rPr>
          <w:rFonts w:ascii="Calibri" w:hAnsi="Calibri" w:cs="Calibri"/>
          <w:color w:val="auto"/>
          <w:sz w:val="22"/>
          <w:lang w:val="en-US"/>
        </w:rPr>
        <w:t>MAS Act</w:t>
      </w:r>
      <w:r w:rsidR="000E64D1">
        <w:rPr>
          <w:rFonts w:ascii="Calibri" w:hAnsi="Calibri" w:cs="Calibri"/>
          <w:color w:val="auto"/>
          <w:sz w:val="22"/>
          <w:lang w:val="en-US"/>
        </w:rPr>
        <w:t>,</w:t>
      </w:r>
      <w:r w:rsidRPr="00B52D53">
        <w:rPr>
          <w:rFonts w:ascii="Calibri" w:hAnsi="Calibri" w:cs="Calibri"/>
          <w:color w:val="auto"/>
          <w:sz w:val="22"/>
          <w:lang w:val="en-US"/>
        </w:rPr>
        <w:t xml:space="preserve"> (ii)</w:t>
      </w:r>
      <w:r w:rsidR="002463C0" w:rsidRPr="00B52D53">
        <w:rPr>
          <w:rFonts w:ascii="Calibri" w:hAnsi="Calibri" w:cs="Calibri"/>
          <w:color w:val="auto"/>
          <w:sz w:val="22"/>
          <w:lang w:val="en-US"/>
        </w:rPr>
        <w:t xml:space="preserve"> </w:t>
      </w:r>
      <w:r w:rsidR="00221969">
        <w:rPr>
          <w:rFonts w:ascii="Calibri" w:hAnsi="Calibri" w:cs="Calibri"/>
          <w:color w:val="auto"/>
          <w:sz w:val="22"/>
          <w:lang w:val="en-US"/>
        </w:rPr>
        <w:t xml:space="preserve">has </w:t>
      </w:r>
      <w:r w:rsidR="002463C0" w:rsidRPr="00B52D53">
        <w:rPr>
          <w:rFonts w:ascii="Calibri" w:hAnsi="Calibri" w:cs="Calibri"/>
          <w:color w:val="auto"/>
          <w:sz w:val="22"/>
          <w:u w:val="single"/>
          <w:lang w:val="en-US"/>
        </w:rPr>
        <w:t>fail</w:t>
      </w:r>
      <w:r w:rsidR="00221969">
        <w:rPr>
          <w:rFonts w:ascii="Calibri" w:hAnsi="Calibri" w:cs="Calibri"/>
          <w:color w:val="auto"/>
          <w:sz w:val="22"/>
          <w:u w:val="single"/>
          <w:lang w:val="en-US"/>
        </w:rPr>
        <w:t>ed</w:t>
      </w:r>
      <w:r w:rsidR="002463C0" w:rsidRPr="00B52D53">
        <w:rPr>
          <w:rFonts w:ascii="Calibri" w:hAnsi="Calibri" w:cs="Calibri"/>
          <w:color w:val="auto"/>
          <w:sz w:val="22"/>
          <w:u w:val="single"/>
          <w:lang w:val="en-US"/>
        </w:rPr>
        <w:t xml:space="preserve"> to secure the compliance of </w:t>
      </w:r>
      <w:r w:rsidR="00B72D51">
        <w:rPr>
          <w:rFonts w:ascii="Calibri" w:hAnsi="Calibri" w:cs="Calibri"/>
          <w:color w:val="auto"/>
          <w:sz w:val="22"/>
          <w:u w:val="single"/>
          <w:lang w:val="en-US"/>
        </w:rPr>
        <w:t>LFMC</w:t>
      </w:r>
      <w:r w:rsidR="002463C0" w:rsidRPr="00B52D53">
        <w:rPr>
          <w:rFonts w:ascii="Calibri" w:hAnsi="Calibri" w:cs="Calibri"/>
          <w:color w:val="auto"/>
          <w:sz w:val="22"/>
          <w:lang w:val="en-US"/>
        </w:rPr>
        <w:t xml:space="preserve"> with SFA</w:t>
      </w:r>
      <w:r w:rsidR="003421CA">
        <w:rPr>
          <w:rFonts w:ascii="Calibri" w:hAnsi="Calibri" w:cs="Calibri"/>
          <w:color w:val="auto"/>
          <w:sz w:val="22"/>
          <w:lang w:val="en-US"/>
        </w:rPr>
        <w:t>/</w:t>
      </w:r>
      <w:r w:rsidR="002463C0" w:rsidRPr="00B52D53">
        <w:rPr>
          <w:rFonts w:ascii="Calibri" w:hAnsi="Calibri" w:cs="Calibri"/>
          <w:color w:val="auto"/>
          <w:sz w:val="22"/>
          <w:lang w:val="en-US"/>
        </w:rPr>
        <w:t>MAS Act</w:t>
      </w:r>
      <w:r w:rsidR="000E64D1">
        <w:rPr>
          <w:rFonts w:ascii="Calibri" w:hAnsi="Calibri" w:cs="Calibri"/>
          <w:color w:val="auto"/>
          <w:sz w:val="22"/>
          <w:lang w:val="en-US"/>
        </w:rPr>
        <w:t>,</w:t>
      </w:r>
      <w:r w:rsidR="002463C0" w:rsidRPr="00B52D53">
        <w:rPr>
          <w:rFonts w:ascii="Calibri" w:hAnsi="Calibri" w:cs="Calibri"/>
          <w:color w:val="auto"/>
          <w:sz w:val="22"/>
          <w:lang w:val="en-US"/>
        </w:rPr>
        <w:t xml:space="preserve"> (iii) </w:t>
      </w:r>
      <w:r w:rsidR="00221969">
        <w:rPr>
          <w:rFonts w:ascii="Calibri" w:hAnsi="Calibri" w:cs="Calibri"/>
          <w:color w:val="auto"/>
          <w:sz w:val="22"/>
          <w:lang w:val="en-US"/>
        </w:rPr>
        <w:t xml:space="preserve">has </w:t>
      </w:r>
      <w:r w:rsidR="002463C0" w:rsidRPr="00B52D53">
        <w:rPr>
          <w:rFonts w:ascii="Calibri" w:hAnsi="Calibri" w:cs="Calibri"/>
          <w:color w:val="auto"/>
          <w:sz w:val="22"/>
          <w:u w:val="single"/>
          <w:lang w:val="en-US"/>
        </w:rPr>
        <w:t>fail</w:t>
      </w:r>
      <w:r w:rsidR="00221969">
        <w:rPr>
          <w:rFonts w:ascii="Calibri" w:hAnsi="Calibri" w:cs="Calibri"/>
          <w:color w:val="auto"/>
          <w:sz w:val="22"/>
          <w:u w:val="single"/>
          <w:lang w:val="en-US"/>
        </w:rPr>
        <w:t>ed</w:t>
      </w:r>
      <w:r w:rsidR="002463C0" w:rsidRPr="00B52D53">
        <w:rPr>
          <w:rFonts w:ascii="Calibri" w:hAnsi="Calibri" w:cs="Calibri"/>
          <w:color w:val="auto"/>
          <w:sz w:val="22"/>
          <w:u w:val="single"/>
          <w:lang w:val="en-US"/>
        </w:rPr>
        <w:t xml:space="preserve"> to discharge their duties</w:t>
      </w:r>
      <w:r w:rsidR="002463C0" w:rsidRPr="00B52D53">
        <w:rPr>
          <w:rFonts w:ascii="Calibri" w:hAnsi="Calibri" w:cs="Calibri"/>
          <w:color w:val="auto"/>
          <w:sz w:val="22"/>
          <w:lang w:val="en-US"/>
        </w:rPr>
        <w:t xml:space="preserve"> set out in Section 4.1</w:t>
      </w:r>
      <w:r w:rsidR="000E64D1">
        <w:rPr>
          <w:rFonts w:ascii="Calibri" w:hAnsi="Calibri" w:cs="Calibri"/>
          <w:color w:val="auto"/>
          <w:sz w:val="22"/>
          <w:lang w:val="en-US"/>
        </w:rPr>
        <w:t xml:space="preserve">, (iv) </w:t>
      </w:r>
      <w:r w:rsidR="00221969">
        <w:rPr>
          <w:rFonts w:ascii="Calibri" w:hAnsi="Calibri" w:cs="Calibri"/>
          <w:color w:val="auto"/>
          <w:sz w:val="22"/>
          <w:lang w:val="en-US"/>
        </w:rPr>
        <w:t>is undischarged bankrupt</w:t>
      </w:r>
      <w:r w:rsidR="002463C0" w:rsidRPr="00B52D53">
        <w:rPr>
          <w:rFonts w:ascii="Calibri" w:hAnsi="Calibri" w:cs="Calibri"/>
          <w:color w:val="auto"/>
          <w:sz w:val="22"/>
          <w:lang w:val="en-US"/>
        </w:rPr>
        <w:t>. Note that failure to discharge duties under Section 4.1 is punishable by fine. If negligence or willful consent is established, the directors</w:t>
      </w:r>
      <w:r w:rsidR="003421CA">
        <w:rPr>
          <w:rFonts w:ascii="Calibri" w:hAnsi="Calibri" w:cs="Calibri"/>
          <w:color w:val="auto"/>
          <w:sz w:val="22"/>
          <w:lang w:val="en-US"/>
        </w:rPr>
        <w:t>/</w:t>
      </w:r>
      <w:r w:rsidR="002463C0" w:rsidRPr="00B52D53">
        <w:rPr>
          <w:rFonts w:ascii="Calibri" w:hAnsi="Calibri" w:cs="Calibri"/>
          <w:color w:val="auto"/>
          <w:sz w:val="22"/>
          <w:lang w:val="en-US"/>
        </w:rPr>
        <w:t>CEOs are criminally liable.</w:t>
      </w:r>
      <w:r w:rsidRPr="00B52D53">
        <w:rPr>
          <w:rFonts w:ascii="Calibri" w:hAnsi="Calibri" w:cs="Calibri"/>
          <w:color w:val="auto"/>
          <w:sz w:val="22"/>
          <w:lang w:val="en-US"/>
        </w:rPr>
        <w:t xml:space="preserve"> </w:t>
      </w:r>
    </w:p>
    <w:p w14:paraId="3CFA7ADC" w14:textId="769F6FC4" w:rsidR="002463C0" w:rsidRPr="00B52D53" w:rsidRDefault="002463C0"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t>Take-overs</w:t>
      </w:r>
      <w:r w:rsidR="00354933">
        <w:rPr>
          <w:rFonts w:ascii="Calibri" w:hAnsi="Calibri" w:cs="Calibri"/>
          <w:b/>
          <w:bCs/>
          <w:color w:val="auto"/>
          <w:sz w:val="22"/>
          <w:lang w:val="en-US"/>
        </w:rPr>
        <w:t>:</w:t>
      </w:r>
    </w:p>
    <w:p w14:paraId="758CAD0A" w14:textId="29B7EC13" w:rsidR="00F95A60" w:rsidRPr="00B52D53" w:rsidRDefault="002463C0" w:rsidP="009F73BE">
      <w:pPr>
        <w:pStyle w:val="BodyText"/>
        <w:numPr>
          <w:ilvl w:val="1"/>
          <w:numId w:val="96"/>
        </w:numPr>
        <w:jc w:val="both"/>
        <w:rPr>
          <w:rFonts w:ascii="Calibri" w:hAnsi="Calibri" w:cs="Calibri"/>
          <w:color w:val="auto"/>
          <w:sz w:val="22"/>
          <w:lang w:val="en-US"/>
        </w:rPr>
      </w:pPr>
      <w:r w:rsidRPr="0067510E">
        <w:rPr>
          <w:rFonts w:ascii="Calibri" w:hAnsi="Calibri" w:cs="Calibri"/>
          <w:color w:val="auto"/>
          <w:sz w:val="22"/>
          <w:u w:val="single"/>
          <w:lang w:val="en-US"/>
        </w:rPr>
        <w:t xml:space="preserve">MAS approval is also required in any </w:t>
      </w:r>
      <w:r w:rsidR="00B72D51">
        <w:rPr>
          <w:rFonts w:ascii="Calibri" w:hAnsi="Calibri" w:cs="Calibri"/>
          <w:color w:val="auto"/>
          <w:sz w:val="22"/>
          <w:u w:val="single"/>
          <w:lang w:val="en-US"/>
        </w:rPr>
        <w:t>LFMC</w:t>
      </w:r>
      <w:r w:rsidRPr="0067510E">
        <w:rPr>
          <w:rFonts w:ascii="Calibri" w:hAnsi="Calibri" w:cs="Calibri"/>
          <w:color w:val="auto"/>
          <w:sz w:val="22"/>
          <w:u w:val="single"/>
          <w:lang w:val="en-US"/>
        </w:rPr>
        <w:t>’s takeover</w:t>
      </w:r>
      <w:r w:rsidRPr="00B52D53">
        <w:rPr>
          <w:rFonts w:ascii="Calibri" w:hAnsi="Calibri" w:cs="Calibri"/>
          <w:color w:val="auto"/>
          <w:sz w:val="22"/>
          <w:lang w:val="en-US"/>
        </w:rPr>
        <w:t xml:space="preserve"> for any individual that has effective control. The </w:t>
      </w:r>
      <w:r w:rsidRPr="0067510E">
        <w:rPr>
          <w:rFonts w:ascii="Calibri" w:hAnsi="Calibri" w:cs="Calibri"/>
          <w:color w:val="auto"/>
          <w:sz w:val="22"/>
          <w:u w:val="single"/>
          <w:lang w:val="en-US"/>
        </w:rPr>
        <w:t>effective control test assesses if the individual (together with other connected persons) own</w:t>
      </w:r>
      <w:r w:rsidR="00F95A60" w:rsidRPr="0067510E">
        <w:rPr>
          <w:rFonts w:ascii="Calibri" w:hAnsi="Calibri" w:cs="Calibri"/>
          <w:color w:val="auto"/>
          <w:sz w:val="22"/>
          <w:u w:val="single"/>
          <w:lang w:val="en-US"/>
        </w:rPr>
        <w:t>s</w:t>
      </w:r>
      <w:r w:rsidRPr="0067510E">
        <w:rPr>
          <w:rFonts w:ascii="Calibri" w:hAnsi="Calibri" w:cs="Calibri"/>
          <w:color w:val="auto"/>
          <w:sz w:val="22"/>
          <w:u w:val="single"/>
          <w:lang w:val="en-US"/>
        </w:rPr>
        <w:t xml:space="preserve"> at least 20% of the </w:t>
      </w:r>
      <w:r w:rsidR="00B72D51">
        <w:rPr>
          <w:rFonts w:ascii="Calibri" w:hAnsi="Calibri" w:cs="Calibri"/>
          <w:color w:val="auto"/>
          <w:sz w:val="22"/>
          <w:u w:val="single"/>
          <w:lang w:val="en-US"/>
        </w:rPr>
        <w:t>LFMC</w:t>
      </w:r>
      <w:r w:rsidR="00F95A60" w:rsidRPr="0067510E">
        <w:rPr>
          <w:rFonts w:ascii="Calibri" w:hAnsi="Calibri" w:cs="Calibri"/>
          <w:color w:val="auto"/>
          <w:sz w:val="22"/>
          <w:u w:val="single"/>
          <w:lang w:val="en-US"/>
        </w:rPr>
        <w:t xml:space="preserve">’s </w:t>
      </w:r>
      <w:r w:rsidRPr="0067510E">
        <w:rPr>
          <w:rFonts w:ascii="Calibri" w:hAnsi="Calibri" w:cs="Calibri"/>
          <w:color w:val="auto"/>
          <w:sz w:val="22"/>
          <w:u w:val="single"/>
          <w:lang w:val="en-US"/>
        </w:rPr>
        <w:t>paid-up capital</w:t>
      </w:r>
      <w:r w:rsidRPr="00B52D53">
        <w:rPr>
          <w:rFonts w:ascii="Calibri" w:hAnsi="Calibri" w:cs="Calibri"/>
          <w:color w:val="auto"/>
          <w:sz w:val="22"/>
          <w:lang w:val="en-US"/>
        </w:rPr>
        <w:t xml:space="preserve">. </w:t>
      </w:r>
      <w:r w:rsidR="0088071C" w:rsidRPr="00B52D53">
        <w:rPr>
          <w:rFonts w:ascii="Calibri" w:hAnsi="Calibri" w:cs="Calibri"/>
          <w:color w:val="auto"/>
          <w:sz w:val="22"/>
          <w:lang w:val="en-US"/>
        </w:rPr>
        <w:t>The take-over scenario and test does not apply to VCFMs</w:t>
      </w:r>
    </w:p>
    <w:p w14:paraId="56466839" w14:textId="5F38AB5F" w:rsidR="00F517D2" w:rsidRPr="0088071C" w:rsidRDefault="00F95A60" w:rsidP="0088071C">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Once the effective control test is established, MAS would review the applicant’s fit and proper eligibility and assess if the </w:t>
      </w:r>
      <w:r w:rsidR="00B72D51">
        <w:rPr>
          <w:rFonts w:ascii="Calibri" w:hAnsi="Calibri" w:cs="Calibri"/>
          <w:color w:val="auto"/>
          <w:sz w:val="22"/>
          <w:lang w:val="en-US"/>
        </w:rPr>
        <w:t>LFMC</w:t>
      </w:r>
      <w:r w:rsidRPr="00B52D53">
        <w:rPr>
          <w:rFonts w:ascii="Calibri" w:hAnsi="Calibri" w:cs="Calibri"/>
          <w:color w:val="auto"/>
          <w:sz w:val="22"/>
          <w:lang w:val="en-US"/>
        </w:rPr>
        <w:t xml:space="preserve"> is still likely to conduct its business prudently and in compliance with SFA, before giving its approval.</w:t>
      </w:r>
    </w:p>
    <w:p w14:paraId="2BC6A572" w14:textId="19A02741" w:rsidR="00B46D0F" w:rsidRPr="00B52D53" w:rsidRDefault="00F517D2"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lastRenderedPageBreak/>
        <w:t xml:space="preserve">Reduction of Share Capital </w:t>
      </w:r>
      <w:r w:rsidRPr="00B52D53">
        <w:rPr>
          <w:rFonts w:ascii="Calibri" w:hAnsi="Calibri" w:cs="Calibri"/>
          <w:color w:val="auto"/>
          <w:sz w:val="22"/>
          <w:lang w:val="en-US"/>
        </w:rPr>
        <w:t>(i.e., both ordinary and preference share capital)</w:t>
      </w:r>
    </w:p>
    <w:p w14:paraId="3D3BDC5F" w14:textId="2A767266" w:rsidR="00F517D2" w:rsidRPr="00B52D53" w:rsidRDefault="00F517D2"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t>Preference Share Capital</w:t>
      </w:r>
      <w:r w:rsidRPr="00B52D53">
        <w:rPr>
          <w:rFonts w:ascii="Calibri" w:hAnsi="Calibri" w:cs="Calibri"/>
          <w:color w:val="auto"/>
          <w:sz w:val="22"/>
          <w:lang w:val="en-US"/>
        </w:rPr>
        <w:t>: MAS approval is required before (</w:t>
      </w:r>
      <w:proofErr w:type="spellStart"/>
      <w:r w:rsidRPr="00B52D53">
        <w:rPr>
          <w:rFonts w:ascii="Calibri" w:hAnsi="Calibri" w:cs="Calibri"/>
          <w:color w:val="auto"/>
          <w:sz w:val="22"/>
          <w:lang w:val="en-US"/>
        </w:rPr>
        <w:t>i</w:t>
      </w:r>
      <w:proofErr w:type="spellEnd"/>
      <w:r w:rsidRPr="00B52D53">
        <w:rPr>
          <w:rFonts w:ascii="Calibri" w:hAnsi="Calibri" w:cs="Calibri"/>
          <w:color w:val="auto"/>
          <w:sz w:val="22"/>
          <w:lang w:val="en-US"/>
        </w:rPr>
        <w:t xml:space="preserve">) </w:t>
      </w:r>
      <w:r w:rsidR="00B72D51">
        <w:rPr>
          <w:rFonts w:ascii="Calibri" w:hAnsi="Calibri" w:cs="Calibri"/>
          <w:color w:val="auto"/>
          <w:sz w:val="22"/>
          <w:lang w:val="en-US"/>
        </w:rPr>
        <w:t>LFMC</w:t>
      </w:r>
      <w:r w:rsidRPr="00B52D53">
        <w:rPr>
          <w:rFonts w:ascii="Calibri" w:hAnsi="Calibri" w:cs="Calibri"/>
          <w:color w:val="auto"/>
          <w:sz w:val="22"/>
          <w:lang w:val="en-US"/>
        </w:rPr>
        <w:t xml:space="preserve"> issues more preference shares and</w:t>
      </w:r>
      <w:r w:rsidR="003421CA">
        <w:rPr>
          <w:rFonts w:ascii="Calibri" w:hAnsi="Calibri" w:cs="Calibri"/>
          <w:color w:val="auto"/>
          <w:sz w:val="22"/>
          <w:lang w:val="en-US"/>
        </w:rPr>
        <w:t>/</w:t>
      </w:r>
      <w:r w:rsidRPr="00B52D53">
        <w:rPr>
          <w:rFonts w:ascii="Calibri" w:hAnsi="Calibri" w:cs="Calibri"/>
          <w:color w:val="auto"/>
          <w:sz w:val="22"/>
          <w:lang w:val="en-US"/>
        </w:rPr>
        <w:t>or (ii) repays the principal of preference shares through any repurchase or redemption exercise (3 months lead notification time is required).</w:t>
      </w:r>
    </w:p>
    <w:p w14:paraId="2BA49944" w14:textId="0A5043CD" w:rsidR="00F517D2" w:rsidRPr="00B52D53" w:rsidRDefault="00F517D2" w:rsidP="009F73BE">
      <w:pPr>
        <w:pStyle w:val="BodyText"/>
        <w:numPr>
          <w:ilvl w:val="0"/>
          <w:numId w:val="96"/>
        </w:numPr>
        <w:jc w:val="both"/>
        <w:rPr>
          <w:rFonts w:ascii="Calibri" w:hAnsi="Calibri" w:cs="Calibri"/>
          <w:b/>
          <w:bCs/>
          <w:color w:val="auto"/>
          <w:sz w:val="22"/>
          <w:lang w:val="en-US"/>
        </w:rPr>
      </w:pPr>
      <w:r w:rsidRPr="00B52D53">
        <w:rPr>
          <w:rFonts w:ascii="Calibri" w:hAnsi="Calibri" w:cs="Calibri"/>
          <w:b/>
          <w:bCs/>
          <w:color w:val="auto"/>
          <w:sz w:val="22"/>
          <w:lang w:val="en-US"/>
        </w:rPr>
        <w:t>Repayment of Qualifying Subordinated Loan Principals</w:t>
      </w:r>
      <w:r w:rsidRPr="00B52D53">
        <w:rPr>
          <w:rFonts w:ascii="Calibri" w:hAnsi="Calibri" w:cs="Calibri"/>
          <w:color w:val="auto"/>
          <w:sz w:val="22"/>
          <w:lang w:val="en-US"/>
        </w:rPr>
        <w:t>, be it partial or in full.</w:t>
      </w:r>
      <w:r w:rsidRPr="00B52D53">
        <w:rPr>
          <w:rFonts w:ascii="Calibri" w:hAnsi="Calibri" w:cs="Calibri"/>
          <w:b/>
          <w:bCs/>
          <w:color w:val="auto"/>
          <w:sz w:val="22"/>
          <w:lang w:val="en-US"/>
        </w:rPr>
        <w:t xml:space="preserve">  </w:t>
      </w:r>
    </w:p>
    <w:p w14:paraId="785A3D26" w14:textId="782FC3C6" w:rsidR="00B46D0F" w:rsidRPr="00B52D53" w:rsidRDefault="00B72D51" w:rsidP="009F73BE">
      <w:pPr>
        <w:pStyle w:val="Heading3"/>
        <w:numPr>
          <w:ilvl w:val="0"/>
          <w:numId w:val="97"/>
        </w:numPr>
        <w:jc w:val="both"/>
        <w:rPr>
          <w:rFonts w:ascii="Calibri" w:hAnsi="Calibri" w:cs="Calibri"/>
          <w:color w:val="auto"/>
          <w:lang w:val="en-US"/>
        </w:rPr>
      </w:pPr>
      <w:r>
        <w:rPr>
          <w:rFonts w:ascii="Calibri" w:hAnsi="Calibri" w:cs="Calibri"/>
          <w:color w:val="auto"/>
          <w:lang w:val="en-US"/>
        </w:rPr>
        <w:t>LFMC</w:t>
      </w:r>
      <w:r w:rsidR="00E40F90">
        <w:rPr>
          <w:rFonts w:ascii="Calibri" w:hAnsi="Calibri" w:cs="Calibri"/>
          <w:color w:val="auto"/>
          <w:lang w:val="en-US"/>
        </w:rPr>
        <w:t xml:space="preserve"> </w:t>
      </w:r>
      <w:r w:rsidR="00B46D0F" w:rsidRPr="00B52D53">
        <w:rPr>
          <w:rFonts w:ascii="Calibri" w:hAnsi="Calibri" w:cs="Calibri"/>
          <w:color w:val="auto"/>
          <w:lang w:val="en-US"/>
        </w:rPr>
        <w:t xml:space="preserve">Compliance </w:t>
      </w:r>
      <w:r w:rsidR="00E40F90">
        <w:rPr>
          <w:rFonts w:ascii="Calibri" w:hAnsi="Calibri" w:cs="Calibri"/>
          <w:color w:val="auto"/>
          <w:lang w:val="en-US"/>
        </w:rPr>
        <w:t>&amp;</w:t>
      </w:r>
      <w:r w:rsidR="00B46D0F" w:rsidRPr="00B52D53">
        <w:rPr>
          <w:rFonts w:ascii="Calibri" w:hAnsi="Calibri" w:cs="Calibri"/>
          <w:color w:val="auto"/>
          <w:lang w:val="en-US"/>
        </w:rPr>
        <w:t xml:space="preserve"> </w:t>
      </w:r>
      <w:r w:rsidR="00E40F90">
        <w:rPr>
          <w:rFonts w:ascii="Calibri" w:hAnsi="Calibri" w:cs="Calibri"/>
          <w:color w:val="auto"/>
          <w:lang w:val="en-US"/>
        </w:rPr>
        <w:t>D</w:t>
      </w:r>
      <w:r w:rsidR="00B46D0F" w:rsidRPr="00B52D53">
        <w:rPr>
          <w:rFonts w:ascii="Calibri" w:hAnsi="Calibri" w:cs="Calibri"/>
          <w:color w:val="auto"/>
          <w:lang w:val="en-US"/>
        </w:rPr>
        <w:t xml:space="preserve">isclosure </w:t>
      </w:r>
      <w:r w:rsidR="00E40F90">
        <w:rPr>
          <w:rFonts w:ascii="Calibri" w:hAnsi="Calibri" w:cs="Calibri"/>
          <w:color w:val="auto"/>
          <w:lang w:val="en-US"/>
        </w:rPr>
        <w:t>O</w:t>
      </w:r>
      <w:r w:rsidR="00B46D0F" w:rsidRPr="00B52D53">
        <w:rPr>
          <w:rFonts w:ascii="Calibri" w:hAnsi="Calibri" w:cs="Calibri"/>
          <w:color w:val="auto"/>
          <w:lang w:val="en-US"/>
        </w:rPr>
        <w:t>bligations</w:t>
      </w:r>
    </w:p>
    <w:p w14:paraId="38E8D038" w14:textId="6CF8FC71" w:rsidR="00B46D0F" w:rsidRPr="00B52D53" w:rsidRDefault="00567AB2" w:rsidP="009F73BE">
      <w:pPr>
        <w:pStyle w:val="BodyText"/>
        <w:numPr>
          <w:ilvl w:val="0"/>
          <w:numId w:val="96"/>
        </w:numPr>
        <w:jc w:val="both"/>
        <w:rPr>
          <w:rFonts w:ascii="Calibri" w:hAnsi="Calibri" w:cs="Calibri"/>
          <w:color w:val="auto"/>
          <w:sz w:val="22"/>
          <w:lang w:val="en-US"/>
        </w:rPr>
      </w:pPr>
      <w:r w:rsidRPr="00B52D53">
        <w:rPr>
          <w:rFonts w:ascii="Calibri" w:hAnsi="Calibri" w:cs="Calibri"/>
          <w:b/>
          <w:bCs/>
          <w:color w:val="auto"/>
          <w:sz w:val="22"/>
          <w:lang w:val="en-US"/>
        </w:rPr>
        <w:t>Listed Specified Products</w:t>
      </w:r>
      <w:r w:rsidRPr="00B52D53">
        <w:rPr>
          <w:rFonts w:ascii="Calibri" w:hAnsi="Calibri" w:cs="Calibri"/>
          <w:color w:val="auto"/>
          <w:sz w:val="22"/>
          <w:lang w:val="en-US"/>
        </w:rPr>
        <w:t xml:space="preserve">: </w:t>
      </w:r>
      <w:r w:rsidR="00B46D0F" w:rsidRPr="00B52D53">
        <w:rPr>
          <w:rFonts w:ascii="Calibri" w:hAnsi="Calibri" w:cs="Calibri"/>
          <w:color w:val="auto"/>
          <w:sz w:val="22"/>
          <w:lang w:val="en-US"/>
        </w:rPr>
        <w:t xml:space="preserve">All </w:t>
      </w:r>
      <w:r w:rsidR="00B72D51">
        <w:rPr>
          <w:rFonts w:ascii="Calibri" w:hAnsi="Calibri" w:cs="Calibri"/>
          <w:color w:val="auto"/>
          <w:sz w:val="22"/>
          <w:lang w:val="en-US"/>
        </w:rPr>
        <w:t>LFMC</w:t>
      </w:r>
      <w:r w:rsidR="00B46D0F" w:rsidRPr="00B52D53">
        <w:rPr>
          <w:rFonts w:ascii="Calibri" w:hAnsi="Calibri" w:cs="Calibri"/>
          <w:color w:val="auto"/>
          <w:sz w:val="22"/>
          <w:lang w:val="en-US"/>
        </w:rPr>
        <w:t xml:space="preserve">s </w:t>
      </w:r>
      <w:r w:rsidRPr="00B52D53">
        <w:rPr>
          <w:rFonts w:ascii="Calibri" w:hAnsi="Calibri" w:cs="Calibri"/>
          <w:color w:val="auto"/>
          <w:sz w:val="22"/>
          <w:lang w:val="en-US"/>
        </w:rPr>
        <w:t xml:space="preserve">and their representatives </w:t>
      </w:r>
      <w:r w:rsidR="00B46D0F" w:rsidRPr="00B52D53">
        <w:rPr>
          <w:rFonts w:ascii="Calibri" w:hAnsi="Calibri" w:cs="Calibri"/>
          <w:color w:val="auto"/>
          <w:sz w:val="22"/>
          <w:lang w:val="en-US"/>
        </w:rPr>
        <w:t xml:space="preserve">must </w:t>
      </w:r>
      <w:r w:rsidRPr="00B52D53">
        <w:rPr>
          <w:rFonts w:ascii="Calibri" w:hAnsi="Calibri" w:cs="Calibri"/>
          <w:color w:val="auto"/>
          <w:sz w:val="22"/>
          <w:u w:val="single"/>
          <w:lang w:val="en-US"/>
        </w:rPr>
        <w:t>disclose their interests (including any changes</w:t>
      </w:r>
      <w:r w:rsidR="003421CA">
        <w:rPr>
          <w:rFonts w:ascii="Calibri" w:hAnsi="Calibri" w:cs="Calibri"/>
          <w:color w:val="auto"/>
          <w:sz w:val="22"/>
          <w:u w:val="single"/>
          <w:lang w:val="en-US"/>
        </w:rPr>
        <w:t>/</w:t>
      </w:r>
      <w:r w:rsidRPr="00B52D53">
        <w:rPr>
          <w:rFonts w:ascii="Calibri" w:hAnsi="Calibri" w:cs="Calibri"/>
          <w:color w:val="auto"/>
          <w:sz w:val="22"/>
          <w:u w:val="single"/>
          <w:lang w:val="en-US"/>
        </w:rPr>
        <w:t xml:space="preserve">updates) in all listed products </w:t>
      </w:r>
      <w:r w:rsidRPr="00B52D53">
        <w:rPr>
          <w:rFonts w:ascii="Calibri" w:hAnsi="Calibri" w:cs="Calibri"/>
          <w:color w:val="auto"/>
          <w:sz w:val="22"/>
          <w:lang w:val="en-US"/>
        </w:rPr>
        <w:t xml:space="preserve">(e.g., securities, derivatives contracts, CIS units, trust units, debenture units) into a </w:t>
      </w:r>
      <w:r w:rsidRPr="00B52D53">
        <w:rPr>
          <w:rFonts w:ascii="Calibri" w:hAnsi="Calibri" w:cs="Calibri"/>
          <w:color w:val="auto"/>
          <w:sz w:val="22"/>
          <w:u w:val="single"/>
          <w:lang w:val="en-US"/>
        </w:rPr>
        <w:t>register within 7 days of acquisition and kept on record for at least 5 years from the date of entry</w:t>
      </w:r>
      <w:r w:rsidRPr="00B52D53">
        <w:rPr>
          <w:rFonts w:ascii="Calibri" w:hAnsi="Calibri" w:cs="Calibri"/>
          <w:color w:val="auto"/>
          <w:sz w:val="22"/>
          <w:lang w:val="en-US"/>
        </w:rPr>
        <w:t xml:space="preserve">. </w:t>
      </w:r>
    </w:p>
    <w:p w14:paraId="00C087AC" w14:textId="670B6743" w:rsidR="00706903" w:rsidRPr="00B52D53" w:rsidRDefault="00706903" w:rsidP="009F73BE">
      <w:pPr>
        <w:pStyle w:val="BodyText"/>
        <w:numPr>
          <w:ilvl w:val="0"/>
          <w:numId w:val="96"/>
        </w:numPr>
        <w:jc w:val="both"/>
        <w:rPr>
          <w:rFonts w:ascii="Calibri" w:hAnsi="Calibri" w:cs="Calibri"/>
          <w:color w:val="auto"/>
          <w:sz w:val="22"/>
          <w:lang w:val="en-US"/>
        </w:rPr>
      </w:pPr>
      <w:r w:rsidRPr="00B52D53">
        <w:rPr>
          <w:rFonts w:ascii="Calibri" w:hAnsi="Calibri" w:cs="Calibri"/>
          <w:b/>
          <w:bCs/>
          <w:color w:val="auto"/>
          <w:sz w:val="22"/>
          <w:lang w:val="en-US"/>
        </w:rPr>
        <w:t xml:space="preserve">Change of </w:t>
      </w:r>
      <w:r w:rsidR="00B72D51">
        <w:rPr>
          <w:rFonts w:ascii="Calibri" w:hAnsi="Calibri" w:cs="Calibri"/>
          <w:b/>
          <w:bCs/>
          <w:color w:val="auto"/>
          <w:sz w:val="22"/>
          <w:lang w:val="en-US"/>
        </w:rPr>
        <w:t>LFMC</w:t>
      </w:r>
      <w:r w:rsidRPr="00B52D53">
        <w:rPr>
          <w:rFonts w:ascii="Calibri" w:hAnsi="Calibri" w:cs="Calibri"/>
          <w:b/>
          <w:bCs/>
          <w:color w:val="auto"/>
          <w:sz w:val="22"/>
          <w:lang w:val="en-US"/>
        </w:rPr>
        <w:t>/VCFM Business Records</w:t>
      </w:r>
      <w:r w:rsidRPr="00B52D53">
        <w:rPr>
          <w:rFonts w:ascii="Calibri" w:hAnsi="Calibri" w:cs="Calibri"/>
          <w:color w:val="auto"/>
          <w:sz w:val="22"/>
          <w:lang w:val="en-US"/>
        </w:rPr>
        <w:t xml:space="preserve">: If </w:t>
      </w:r>
      <w:r w:rsidR="00B72D51">
        <w:rPr>
          <w:rFonts w:ascii="Calibri" w:hAnsi="Calibri" w:cs="Calibri"/>
          <w:color w:val="auto"/>
          <w:sz w:val="22"/>
          <w:lang w:val="en-US"/>
        </w:rPr>
        <w:t>LFMC</w:t>
      </w:r>
      <w:r w:rsidRPr="00B52D53">
        <w:rPr>
          <w:rFonts w:ascii="Calibri" w:hAnsi="Calibri" w:cs="Calibri"/>
          <w:color w:val="auto"/>
          <w:sz w:val="22"/>
          <w:lang w:val="en-US"/>
        </w:rPr>
        <w:t xml:space="preserve">/VCFM makes any changes to its name, address, regulated activities and the types of capital market products, it must </w:t>
      </w:r>
      <w:r w:rsidRPr="00B52D53">
        <w:rPr>
          <w:rFonts w:ascii="Calibri" w:hAnsi="Calibri" w:cs="Calibri"/>
          <w:color w:val="auto"/>
          <w:sz w:val="22"/>
          <w:u w:val="single"/>
          <w:lang w:val="en-US"/>
        </w:rPr>
        <w:t>inform MAS within 14 days of the change</w:t>
      </w:r>
      <w:r w:rsidRPr="00B52D53">
        <w:rPr>
          <w:rFonts w:ascii="Calibri" w:hAnsi="Calibri" w:cs="Calibri"/>
          <w:color w:val="auto"/>
          <w:sz w:val="22"/>
          <w:lang w:val="en-US"/>
        </w:rPr>
        <w:t xml:space="preserve">. </w:t>
      </w:r>
    </w:p>
    <w:p w14:paraId="1C7ADE4F" w14:textId="06AB2D53" w:rsidR="00E40F90" w:rsidRDefault="00B72D51" w:rsidP="009F73BE">
      <w:pPr>
        <w:pStyle w:val="BodyText"/>
        <w:numPr>
          <w:ilvl w:val="0"/>
          <w:numId w:val="96"/>
        </w:numPr>
        <w:jc w:val="both"/>
        <w:rPr>
          <w:rFonts w:ascii="Calibri" w:hAnsi="Calibri" w:cs="Calibri"/>
          <w:color w:val="auto"/>
          <w:sz w:val="22"/>
          <w:lang w:val="en-US"/>
        </w:rPr>
      </w:pPr>
      <w:r>
        <w:rPr>
          <w:rFonts w:ascii="Calibri" w:hAnsi="Calibri" w:cs="Calibri"/>
          <w:b/>
          <w:bCs/>
          <w:color w:val="auto"/>
          <w:sz w:val="22"/>
          <w:lang w:val="en-US"/>
        </w:rPr>
        <w:t>LFMC</w:t>
      </w:r>
      <w:r w:rsidR="00706903" w:rsidRPr="00B52D53">
        <w:rPr>
          <w:rFonts w:ascii="Calibri" w:hAnsi="Calibri" w:cs="Calibri"/>
          <w:b/>
          <w:bCs/>
          <w:color w:val="auto"/>
          <w:sz w:val="22"/>
          <w:lang w:val="en-US"/>
        </w:rPr>
        <w:t>/VCFM Cessation</w:t>
      </w:r>
      <w:r w:rsidR="00706903" w:rsidRPr="00B52D53">
        <w:rPr>
          <w:rFonts w:ascii="Calibri" w:hAnsi="Calibri" w:cs="Calibri"/>
          <w:color w:val="auto"/>
          <w:sz w:val="22"/>
          <w:lang w:val="en-US"/>
        </w:rPr>
        <w:t xml:space="preserve">: </w:t>
      </w:r>
    </w:p>
    <w:p w14:paraId="4D64AE2C" w14:textId="5C3DB37F" w:rsidR="00E40F90" w:rsidRDefault="00706903"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In a </w:t>
      </w:r>
      <w:r w:rsidRPr="00B52D53">
        <w:rPr>
          <w:rFonts w:ascii="Calibri" w:hAnsi="Calibri" w:cs="Calibri"/>
          <w:color w:val="auto"/>
          <w:sz w:val="22"/>
          <w:u w:val="single"/>
          <w:lang w:val="en-US"/>
        </w:rPr>
        <w:t>total cessation</w:t>
      </w:r>
      <w:r w:rsidRPr="00B52D53">
        <w:rPr>
          <w:rFonts w:ascii="Calibri" w:hAnsi="Calibri" w:cs="Calibri"/>
          <w:color w:val="auto"/>
          <w:sz w:val="22"/>
          <w:lang w:val="en-US"/>
        </w:rPr>
        <w:t xml:space="preserve"> (either voluntary or involuntarily by MAS), the </w:t>
      </w:r>
      <w:r w:rsidR="00B72D51">
        <w:rPr>
          <w:rFonts w:ascii="Calibri" w:hAnsi="Calibri" w:cs="Calibri"/>
          <w:color w:val="auto"/>
          <w:sz w:val="22"/>
          <w:lang w:val="en-US"/>
        </w:rPr>
        <w:t>LFMC</w:t>
      </w:r>
      <w:r w:rsidRPr="00B52D53">
        <w:rPr>
          <w:rFonts w:ascii="Calibri" w:hAnsi="Calibri" w:cs="Calibri"/>
          <w:color w:val="auto"/>
          <w:sz w:val="22"/>
          <w:lang w:val="en-US"/>
        </w:rPr>
        <w:t xml:space="preserve">/VCFM </w:t>
      </w:r>
      <w:r w:rsidRPr="00B52D53">
        <w:rPr>
          <w:rFonts w:ascii="Calibri" w:hAnsi="Calibri" w:cs="Calibri"/>
          <w:color w:val="auto"/>
          <w:sz w:val="22"/>
          <w:u w:val="single"/>
          <w:lang w:val="en-US"/>
        </w:rPr>
        <w:t>must return the license within 14 days</w:t>
      </w:r>
      <w:r w:rsidRPr="00B52D53">
        <w:rPr>
          <w:rFonts w:ascii="Calibri" w:hAnsi="Calibri" w:cs="Calibri"/>
          <w:color w:val="auto"/>
          <w:sz w:val="22"/>
          <w:lang w:val="en-US"/>
        </w:rPr>
        <w:t xml:space="preserve">. </w:t>
      </w:r>
    </w:p>
    <w:p w14:paraId="75218110" w14:textId="77E4C2B1" w:rsidR="00706903" w:rsidRPr="00B52D53" w:rsidRDefault="00706903"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Note that the CMS license of the </w:t>
      </w:r>
      <w:r w:rsidR="00B72D51">
        <w:rPr>
          <w:rFonts w:ascii="Calibri" w:hAnsi="Calibri" w:cs="Calibri"/>
          <w:color w:val="auto"/>
          <w:sz w:val="22"/>
          <w:lang w:val="en-US"/>
        </w:rPr>
        <w:t>LFMC</w:t>
      </w:r>
      <w:r w:rsidRPr="00B52D53">
        <w:rPr>
          <w:rFonts w:ascii="Calibri" w:hAnsi="Calibri" w:cs="Calibri"/>
          <w:color w:val="auto"/>
          <w:sz w:val="22"/>
          <w:lang w:val="en-US"/>
        </w:rPr>
        <w:t xml:space="preserve"> will lapse or </w:t>
      </w:r>
      <w:r w:rsidR="00E40F90">
        <w:rPr>
          <w:rFonts w:ascii="Calibri" w:hAnsi="Calibri" w:cs="Calibri"/>
          <w:color w:val="auto"/>
          <w:sz w:val="22"/>
          <w:lang w:val="en-US"/>
        </w:rPr>
        <w:t xml:space="preserve">be </w:t>
      </w:r>
      <w:r w:rsidRPr="00B52D53">
        <w:rPr>
          <w:rFonts w:ascii="Calibri" w:hAnsi="Calibri" w:cs="Calibri"/>
          <w:color w:val="auto"/>
          <w:sz w:val="22"/>
          <w:lang w:val="en-US"/>
        </w:rPr>
        <w:t xml:space="preserve">revoked or suspended by MAS if </w:t>
      </w:r>
      <w:r w:rsidR="00E40F90">
        <w:rPr>
          <w:rFonts w:ascii="Calibri" w:hAnsi="Calibri" w:cs="Calibri"/>
          <w:color w:val="auto"/>
          <w:sz w:val="22"/>
          <w:lang w:val="en-US"/>
        </w:rPr>
        <w:t xml:space="preserve">the </w:t>
      </w:r>
      <w:r w:rsidR="00B72D51">
        <w:rPr>
          <w:rFonts w:ascii="Calibri" w:hAnsi="Calibri" w:cs="Calibri"/>
          <w:color w:val="auto"/>
          <w:sz w:val="22"/>
          <w:lang w:val="en-US"/>
        </w:rPr>
        <w:t>LFMC</w:t>
      </w:r>
      <w:r w:rsidRPr="00B52D53">
        <w:rPr>
          <w:rFonts w:ascii="Calibri" w:hAnsi="Calibri" w:cs="Calibri"/>
          <w:color w:val="auto"/>
          <w:sz w:val="22"/>
          <w:lang w:val="en-US"/>
        </w:rPr>
        <w:t>:</w:t>
      </w:r>
    </w:p>
    <w:p w14:paraId="61AE5EE8" w14:textId="26C61F64" w:rsidR="00E40F90" w:rsidRPr="00E40F90" w:rsidRDefault="00E40F90"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 xml:space="preserve">Is </w:t>
      </w:r>
      <w:r>
        <w:rPr>
          <w:rFonts w:ascii="Calibri" w:hAnsi="Calibri" w:cs="Calibri"/>
          <w:color w:val="auto"/>
          <w:sz w:val="22"/>
          <w:lang w:val="en-US"/>
        </w:rPr>
        <w:t xml:space="preserve">insolvent, </w:t>
      </w:r>
      <w:r w:rsidRPr="00B52D53">
        <w:rPr>
          <w:rFonts w:ascii="Calibri" w:hAnsi="Calibri" w:cs="Calibri"/>
          <w:color w:val="auto"/>
          <w:sz w:val="22"/>
          <w:lang w:val="en-US"/>
        </w:rPr>
        <w:t>wound up or dissolved</w:t>
      </w:r>
    </w:p>
    <w:p w14:paraId="216129C4" w14:textId="65E6C8B3" w:rsidR="00706903" w:rsidRPr="00B52D53" w:rsidRDefault="00706903"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Does not commence fund management business within 6 months of license issuance</w:t>
      </w:r>
    </w:p>
    <w:p w14:paraId="44B165F2" w14:textId="77777777" w:rsidR="00706903" w:rsidRPr="00B52D53" w:rsidRDefault="00706903"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Fail to discharge duties efficiently</w:t>
      </w:r>
    </w:p>
    <w:p w14:paraId="64A0C982" w14:textId="77777777" w:rsidR="00706903" w:rsidRDefault="00706903"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Did not act in the best interests of its customers</w:t>
      </w:r>
    </w:p>
    <w:p w14:paraId="68CACD50" w14:textId="7CCF13A8" w:rsidR="00E40F90" w:rsidRPr="00B52D53" w:rsidRDefault="00E40F90"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 xml:space="preserve">MAS may use its power to get </w:t>
      </w:r>
      <w:r w:rsidR="00B72D51">
        <w:rPr>
          <w:rFonts w:ascii="Calibri" w:hAnsi="Calibri" w:cs="Calibri"/>
          <w:color w:val="auto"/>
          <w:sz w:val="22"/>
          <w:lang w:val="en-US"/>
        </w:rPr>
        <w:t>LFMC</w:t>
      </w:r>
      <w:r>
        <w:rPr>
          <w:rFonts w:ascii="Calibri" w:hAnsi="Calibri" w:cs="Calibri"/>
          <w:color w:val="auto"/>
          <w:sz w:val="22"/>
          <w:lang w:val="en-US"/>
        </w:rPr>
        <w:t xml:space="preserve"> to (</w:t>
      </w:r>
      <w:proofErr w:type="spellStart"/>
      <w:r>
        <w:rPr>
          <w:rFonts w:ascii="Calibri" w:hAnsi="Calibri" w:cs="Calibri"/>
          <w:color w:val="auto"/>
          <w:sz w:val="22"/>
          <w:lang w:val="en-US"/>
        </w:rPr>
        <w:t>i</w:t>
      </w:r>
      <w:proofErr w:type="spellEnd"/>
      <w:r>
        <w:rPr>
          <w:rFonts w:ascii="Calibri" w:hAnsi="Calibri" w:cs="Calibri"/>
          <w:color w:val="auto"/>
          <w:sz w:val="22"/>
          <w:lang w:val="en-US"/>
        </w:rPr>
        <w:t xml:space="preserve">) refrain from doing any more business, (ii) transfer its business and/or shares to another unrelated </w:t>
      </w:r>
      <w:r w:rsidR="00B72D51">
        <w:rPr>
          <w:rFonts w:ascii="Calibri" w:hAnsi="Calibri" w:cs="Calibri"/>
          <w:color w:val="auto"/>
          <w:sz w:val="22"/>
          <w:lang w:val="en-US"/>
        </w:rPr>
        <w:t>LFMC</w:t>
      </w:r>
      <w:r>
        <w:rPr>
          <w:rFonts w:ascii="Calibri" w:hAnsi="Calibri" w:cs="Calibri"/>
          <w:color w:val="auto"/>
          <w:sz w:val="22"/>
          <w:lang w:val="en-US"/>
        </w:rPr>
        <w:t xml:space="preserve">, or (iii) engage in restructuring of share capital. </w:t>
      </w:r>
    </w:p>
    <w:p w14:paraId="36434773" w14:textId="407FA9DA" w:rsidR="00706903" w:rsidRPr="00B52D53" w:rsidRDefault="00706903" w:rsidP="009F73BE">
      <w:pPr>
        <w:pStyle w:val="BodyText"/>
        <w:numPr>
          <w:ilvl w:val="0"/>
          <w:numId w:val="96"/>
        </w:numPr>
        <w:jc w:val="both"/>
        <w:rPr>
          <w:rFonts w:ascii="Calibri" w:hAnsi="Calibri" w:cs="Calibri"/>
          <w:color w:val="auto"/>
          <w:sz w:val="22"/>
          <w:lang w:val="en-US"/>
        </w:rPr>
      </w:pPr>
      <w:r w:rsidRPr="00B52D53">
        <w:rPr>
          <w:rFonts w:ascii="Calibri" w:hAnsi="Calibri" w:cs="Calibri"/>
          <w:b/>
          <w:bCs/>
          <w:color w:val="auto"/>
          <w:sz w:val="22"/>
          <w:lang w:val="en-US"/>
        </w:rPr>
        <w:t>Change of Representative’s Records</w:t>
      </w:r>
      <w:r w:rsidRPr="00B52D53">
        <w:rPr>
          <w:rFonts w:ascii="Calibri" w:hAnsi="Calibri" w:cs="Calibri"/>
          <w:color w:val="auto"/>
          <w:sz w:val="22"/>
          <w:lang w:val="en-US"/>
        </w:rPr>
        <w:t xml:space="preserve">: Under the Representative Notification Framework (See Other take-aways in Chapter 3), </w:t>
      </w:r>
      <w:r w:rsidRPr="00B52D53">
        <w:rPr>
          <w:rFonts w:ascii="Calibri" w:hAnsi="Calibri" w:cs="Calibri"/>
          <w:color w:val="auto"/>
          <w:sz w:val="22"/>
          <w:u w:val="single"/>
          <w:lang w:val="en-US"/>
        </w:rPr>
        <w:t xml:space="preserve">any change in personal particulars of representative must be made to the </w:t>
      </w:r>
      <w:r w:rsidR="00B72D51">
        <w:rPr>
          <w:rFonts w:ascii="Calibri" w:hAnsi="Calibri" w:cs="Calibri"/>
          <w:color w:val="auto"/>
          <w:sz w:val="22"/>
          <w:u w:val="single"/>
          <w:lang w:val="en-US"/>
        </w:rPr>
        <w:t>LFMC</w:t>
      </w:r>
      <w:r w:rsidRPr="00B52D53">
        <w:rPr>
          <w:rFonts w:ascii="Calibri" w:hAnsi="Calibri" w:cs="Calibri"/>
          <w:color w:val="auto"/>
          <w:sz w:val="22"/>
          <w:u w:val="single"/>
          <w:lang w:val="en-US"/>
        </w:rPr>
        <w:t>/VCFM within 7 days of the change</w:t>
      </w:r>
      <w:r w:rsidRPr="00B52D53">
        <w:rPr>
          <w:rFonts w:ascii="Calibri" w:hAnsi="Calibri" w:cs="Calibri"/>
          <w:color w:val="auto"/>
          <w:sz w:val="22"/>
          <w:lang w:val="en-US"/>
        </w:rPr>
        <w:t xml:space="preserve">. The </w:t>
      </w:r>
      <w:r w:rsidR="00B72D51">
        <w:rPr>
          <w:rFonts w:ascii="Calibri" w:hAnsi="Calibri" w:cs="Calibri"/>
          <w:color w:val="auto"/>
          <w:sz w:val="22"/>
          <w:u w:val="single"/>
          <w:lang w:val="en-US"/>
        </w:rPr>
        <w:t>LFMC</w:t>
      </w:r>
      <w:r w:rsidRPr="00B52D53">
        <w:rPr>
          <w:rFonts w:ascii="Calibri" w:hAnsi="Calibri" w:cs="Calibri"/>
          <w:color w:val="auto"/>
          <w:sz w:val="22"/>
          <w:u w:val="single"/>
          <w:lang w:val="en-US"/>
        </w:rPr>
        <w:t xml:space="preserve">/VCFM must lodge the change with MAS within 14 days </w:t>
      </w:r>
      <w:r w:rsidRPr="00B52D53">
        <w:rPr>
          <w:rFonts w:ascii="Calibri" w:hAnsi="Calibri" w:cs="Calibri"/>
          <w:color w:val="auto"/>
          <w:sz w:val="22"/>
          <w:lang w:val="en-US"/>
        </w:rPr>
        <w:t xml:space="preserve">of the change. </w:t>
      </w:r>
    </w:p>
    <w:p w14:paraId="7ACB6C74" w14:textId="37648C4C" w:rsidR="00706903" w:rsidRPr="00B52D53" w:rsidRDefault="00706903" w:rsidP="009F73BE">
      <w:pPr>
        <w:pStyle w:val="BodyText"/>
        <w:numPr>
          <w:ilvl w:val="0"/>
          <w:numId w:val="96"/>
        </w:numPr>
        <w:jc w:val="both"/>
        <w:rPr>
          <w:rFonts w:ascii="Calibri" w:hAnsi="Calibri" w:cs="Calibri"/>
          <w:color w:val="auto"/>
          <w:sz w:val="22"/>
          <w:lang w:val="en-US"/>
        </w:rPr>
      </w:pPr>
      <w:r w:rsidRPr="00B52D53">
        <w:rPr>
          <w:rFonts w:ascii="Calibri" w:hAnsi="Calibri" w:cs="Calibri"/>
          <w:b/>
          <w:bCs/>
          <w:color w:val="auto"/>
          <w:sz w:val="22"/>
          <w:lang w:val="en-US"/>
        </w:rPr>
        <w:t>Cessation of Representative</w:t>
      </w:r>
      <w:r w:rsidRPr="00B52D53">
        <w:rPr>
          <w:rFonts w:ascii="Calibri" w:hAnsi="Calibri" w:cs="Calibri"/>
          <w:color w:val="auto"/>
          <w:sz w:val="22"/>
          <w:lang w:val="en-US"/>
        </w:rPr>
        <w:t xml:space="preserve">: If the </w:t>
      </w:r>
      <w:r w:rsidRPr="00B52D53">
        <w:rPr>
          <w:rFonts w:ascii="Calibri" w:hAnsi="Calibri" w:cs="Calibri"/>
          <w:color w:val="auto"/>
          <w:sz w:val="22"/>
          <w:u w:val="single"/>
          <w:lang w:val="en-US"/>
        </w:rPr>
        <w:t>representative resigns</w:t>
      </w:r>
      <w:r w:rsidRPr="00B52D53">
        <w:rPr>
          <w:rFonts w:ascii="Calibri" w:hAnsi="Calibri" w:cs="Calibri"/>
          <w:color w:val="auto"/>
          <w:sz w:val="22"/>
          <w:lang w:val="en-US"/>
        </w:rPr>
        <w:t xml:space="preserve"> or ceases to carry on any business in the regulated activity that he is appointed, then </w:t>
      </w:r>
      <w:r w:rsidR="00B72D51">
        <w:rPr>
          <w:rFonts w:ascii="Calibri" w:hAnsi="Calibri" w:cs="Calibri"/>
          <w:color w:val="auto"/>
          <w:sz w:val="22"/>
          <w:u w:val="single"/>
          <w:lang w:val="en-US"/>
        </w:rPr>
        <w:t>LFMC</w:t>
      </w:r>
      <w:r w:rsidRPr="00B52D53">
        <w:rPr>
          <w:rFonts w:ascii="Calibri" w:hAnsi="Calibri" w:cs="Calibri"/>
          <w:color w:val="auto"/>
          <w:sz w:val="22"/>
          <w:u w:val="single"/>
          <w:lang w:val="en-US"/>
        </w:rPr>
        <w:t>/VCFM must lodge the change with MAS within the next business day</w:t>
      </w:r>
      <w:r w:rsidRPr="00B52D53">
        <w:rPr>
          <w:rFonts w:ascii="Calibri" w:hAnsi="Calibri" w:cs="Calibri"/>
          <w:color w:val="auto"/>
          <w:sz w:val="22"/>
          <w:lang w:val="en-US"/>
        </w:rPr>
        <w:t xml:space="preserve">. </w:t>
      </w:r>
    </w:p>
    <w:p w14:paraId="03028DD0" w14:textId="3A1A4418" w:rsidR="00D55198" w:rsidRPr="00B52D53" w:rsidRDefault="00B52D53" w:rsidP="009F73BE">
      <w:pPr>
        <w:pStyle w:val="BodyText"/>
        <w:numPr>
          <w:ilvl w:val="0"/>
          <w:numId w:val="96"/>
        </w:numPr>
        <w:jc w:val="both"/>
        <w:rPr>
          <w:rFonts w:ascii="Calibri" w:hAnsi="Calibri" w:cs="Calibri"/>
          <w:color w:val="auto"/>
          <w:sz w:val="22"/>
          <w:lang w:val="en-US"/>
        </w:rPr>
      </w:pPr>
      <w:r w:rsidRPr="00B52D53">
        <w:rPr>
          <w:rFonts w:ascii="Calibri" w:hAnsi="Calibri" w:cs="Calibri"/>
          <w:b/>
          <w:bCs/>
          <w:color w:val="auto"/>
          <w:sz w:val="22"/>
          <w:lang w:val="en-US"/>
        </w:rPr>
        <w:t xml:space="preserve">Product </w:t>
      </w:r>
      <w:r w:rsidR="00D55198" w:rsidRPr="00B52D53">
        <w:rPr>
          <w:rFonts w:ascii="Calibri" w:hAnsi="Calibri" w:cs="Calibri"/>
          <w:b/>
          <w:bCs/>
          <w:color w:val="auto"/>
          <w:sz w:val="22"/>
          <w:lang w:val="en-US"/>
        </w:rPr>
        <w:t>Advertisements</w:t>
      </w:r>
      <w:r w:rsidR="00D55198" w:rsidRPr="00B52D53">
        <w:rPr>
          <w:rFonts w:ascii="Calibri" w:hAnsi="Calibri" w:cs="Calibri"/>
          <w:color w:val="auto"/>
          <w:sz w:val="22"/>
          <w:lang w:val="en-US"/>
        </w:rPr>
        <w:t>:</w:t>
      </w:r>
    </w:p>
    <w:p w14:paraId="1600B97A" w14:textId="4BCDD49F" w:rsidR="00D55198" w:rsidRPr="00B52D53" w:rsidRDefault="00D55198"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Any advertisement employed to promote any capital market products must </w:t>
      </w:r>
      <w:r w:rsidRPr="00B52D53">
        <w:rPr>
          <w:rFonts w:ascii="Calibri" w:hAnsi="Calibri" w:cs="Calibri"/>
          <w:color w:val="auto"/>
          <w:sz w:val="22"/>
          <w:u w:val="single"/>
          <w:lang w:val="en-US"/>
        </w:rPr>
        <w:t>not be false or misleading and must be clear, fair and balanced</w:t>
      </w:r>
      <w:r w:rsidRPr="00B52D53">
        <w:rPr>
          <w:rFonts w:ascii="Calibri" w:hAnsi="Calibri" w:cs="Calibri"/>
          <w:color w:val="auto"/>
          <w:sz w:val="22"/>
          <w:lang w:val="en-US"/>
        </w:rPr>
        <w:t>. In terms of clearness,</w:t>
      </w:r>
    </w:p>
    <w:p w14:paraId="12914C99" w14:textId="2972A84E" w:rsidR="00D55198" w:rsidRPr="00B52D53" w:rsidRDefault="00D55198"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The body font size used must be at least 10-point Times New Roman</w:t>
      </w:r>
    </w:p>
    <w:p w14:paraId="55455A94" w14:textId="77777777" w:rsidR="00D55198" w:rsidRPr="00B52D53" w:rsidRDefault="00D55198"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The footnote font must be Times New Roman. Footnote size must be 10 for Body Font Size &lt;= 20. For Body Font Size between 20 and 28, the footnote size must be half the Body Font Size used. For Body Font Size above 28, then default footnote size is 14.</w:t>
      </w:r>
    </w:p>
    <w:p w14:paraId="67527913" w14:textId="1CBE6282" w:rsidR="00D55198" w:rsidRPr="00B52D53" w:rsidRDefault="00D55198"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t xml:space="preserve">Include a liner that says, “This advertisement has not been reviewed by MAS”. </w:t>
      </w:r>
    </w:p>
    <w:p w14:paraId="15314F2C" w14:textId="2C88A36F" w:rsidR="00D55198" w:rsidRPr="00B52D53" w:rsidRDefault="00D55198"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lang w:val="en-US"/>
        </w:rPr>
        <w:lastRenderedPageBreak/>
        <w:t>Note that the advertisement requirements do not apply to prospectus, profile statement or product highlights sheet (PHS). See Chapter 6 for more details.</w:t>
      </w:r>
    </w:p>
    <w:p w14:paraId="15D71DE5" w14:textId="3A787AD9" w:rsidR="00913DFF" w:rsidRDefault="00B52D53" w:rsidP="009F73BE">
      <w:pPr>
        <w:pStyle w:val="BodyText"/>
        <w:numPr>
          <w:ilvl w:val="1"/>
          <w:numId w:val="96"/>
        </w:numPr>
        <w:jc w:val="both"/>
        <w:rPr>
          <w:rFonts w:ascii="Calibri" w:hAnsi="Calibri" w:cs="Calibri"/>
          <w:color w:val="auto"/>
          <w:sz w:val="22"/>
          <w:lang w:val="en-US"/>
        </w:rPr>
      </w:pPr>
      <w:r w:rsidRPr="00B52D53">
        <w:rPr>
          <w:rFonts w:ascii="Calibri" w:hAnsi="Calibri" w:cs="Calibri"/>
          <w:color w:val="auto"/>
          <w:sz w:val="22"/>
          <w:u w:val="single"/>
          <w:lang w:val="en-US"/>
        </w:rPr>
        <w:t>Approval must be sought from senior management</w:t>
      </w:r>
      <w:r w:rsidRPr="00B52D53">
        <w:rPr>
          <w:rFonts w:ascii="Calibri" w:hAnsi="Calibri" w:cs="Calibri"/>
          <w:color w:val="auto"/>
          <w:sz w:val="22"/>
          <w:lang w:val="en-US"/>
        </w:rPr>
        <w:t>, agent</w:t>
      </w:r>
      <w:r w:rsidR="003421CA">
        <w:rPr>
          <w:rFonts w:ascii="Calibri" w:hAnsi="Calibri" w:cs="Calibri"/>
          <w:color w:val="auto"/>
          <w:sz w:val="22"/>
          <w:lang w:val="en-US"/>
        </w:rPr>
        <w:t>/</w:t>
      </w:r>
      <w:r w:rsidRPr="00B52D53">
        <w:rPr>
          <w:rFonts w:ascii="Calibri" w:hAnsi="Calibri" w:cs="Calibri"/>
          <w:color w:val="auto"/>
          <w:sz w:val="22"/>
          <w:lang w:val="en-US"/>
        </w:rPr>
        <w:t xml:space="preserve">committee of the holder of CMS license etc., before the advertisement can be disseminated. This approval must be </w:t>
      </w:r>
      <w:r w:rsidRPr="00B52D53">
        <w:rPr>
          <w:rFonts w:ascii="Calibri" w:hAnsi="Calibri" w:cs="Calibri"/>
          <w:color w:val="auto"/>
          <w:sz w:val="22"/>
          <w:u w:val="single"/>
          <w:lang w:val="en-US"/>
        </w:rPr>
        <w:t>kept on record for at least 5 years from the date of approval</w:t>
      </w:r>
      <w:r w:rsidRPr="00B52D53">
        <w:rPr>
          <w:rFonts w:ascii="Calibri" w:hAnsi="Calibri" w:cs="Calibri"/>
          <w:color w:val="auto"/>
          <w:sz w:val="22"/>
          <w:lang w:val="en-US"/>
        </w:rPr>
        <w:t>.</w:t>
      </w:r>
    </w:p>
    <w:p w14:paraId="4E830309" w14:textId="77777777" w:rsidR="00913DFF" w:rsidRDefault="00AC360D" w:rsidP="009F73BE">
      <w:pPr>
        <w:pStyle w:val="BodyText"/>
        <w:numPr>
          <w:ilvl w:val="0"/>
          <w:numId w:val="96"/>
        </w:numPr>
        <w:jc w:val="both"/>
        <w:rPr>
          <w:rFonts w:ascii="Calibri" w:hAnsi="Calibri" w:cs="Calibri"/>
          <w:color w:val="auto"/>
          <w:sz w:val="22"/>
          <w:lang w:val="en-US"/>
        </w:rPr>
      </w:pPr>
      <w:r w:rsidRPr="00913DFF">
        <w:rPr>
          <w:rFonts w:ascii="Calibri" w:hAnsi="Calibri" w:cs="Calibri"/>
          <w:b/>
          <w:bCs/>
          <w:color w:val="auto"/>
          <w:sz w:val="22"/>
          <w:lang w:val="en-US"/>
        </w:rPr>
        <w:t>Execution</w:t>
      </w:r>
      <w:r w:rsidRPr="00913DFF">
        <w:rPr>
          <w:rFonts w:ascii="Calibri" w:hAnsi="Calibri" w:cs="Calibri"/>
          <w:color w:val="auto"/>
          <w:sz w:val="22"/>
          <w:lang w:val="en-US"/>
        </w:rPr>
        <w:t xml:space="preserve">: As prescribed under IMAS Code (See Chapter 2), fund managers should ensure the client </w:t>
      </w:r>
      <w:r w:rsidRPr="00913DFF">
        <w:rPr>
          <w:rFonts w:ascii="Calibri" w:hAnsi="Calibri" w:cs="Calibri"/>
          <w:color w:val="auto"/>
          <w:sz w:val="22"/>
          <w:u w:val="single"/>
          <w:lang w:val="en-US"/>
        </w:rPr>
        <w:t>investment goals are not compromised</w:t>
      </w:r>
      <w:r w:rsidRPr="00913DFF">
        <w:rPr>
          <w:rFonts w:ascii="Calibri" w:hAnsi="Calibri" w:cs="Calibri"/>
          <w:color w:val="auto"/>
          <w:sz w:val="22"/>
          <w:lang w:val="en-US"/>
        </w:rPr>
        <w:t xml:space="preserve"> and take reasonable steps to obtain the </w:t>
      </w:r>
      <w:r w:rsidRPr="00913DFF">
        <w:rPr>
          <w:rFonts w:ascii="Calibri" w:hAnsi="Calibri" w:cs="Calibri"/>
          <w:color w:val="auto"/>
          <w:sz w:val="22"/>
          <w:u w:val="single"/>
          <w:lang w:val="en-US"/>
        </w:rPr>
        <w:t>best execution</w:t>
      </w:r>
      <w:r w:rsidRPr="00913DFF">
        <w:rPr>
          <w:rFonts w:ascii="Calibri" w:hAnsi="Calibri" w:cs="Calibri"/>
          <w:color w:val="auto"/>
          <w:sz w:val="22"/>
          <w:lang w:val="en-US"/>
        </w:rPr>
        <w:t xml:space="preserve"> (in terms of price, cost, speed, size etc.) for clients.</w:t>
      </w:r>
    </w:p>
    <w:p w14:paraId="41A0CB17" w14:textId="77777777" w:rsidR="00913DFF" w:rsidRDefault="00B52D53" w:rsidP="009F73BE">
      <w:pPr>
        <w:pStyle w:val="BodyText"/>
        <w:numPr>
          <w:ilvl w:val="0"/>
          <w:numId w:val="96"/>
        </w:numPr>
        <w:jc w:val="both"/>
        <w:rPr>
          <w:rFonts w:ascii="Calibri" w:hAnsi="Calibri" w:cs="Calibri"/>
          <w:color w:val="auto"/>
          <w:sz w:val="22"/>
          <w:lang w:val="en-US"/>
        </w:rPr>
      </w:pPr>
      <w:r w:rsidRPr="00913DFF">
        <w:rPr>
          <w:rFonts w:ascii="Calibri" w:hAnsi="Calibri" w:cs="Calibri"/>
          <w:b/>
          <w:bCs/>
          <w:color w:val="auto"/>
          <w:sz w:val="22"/>
          <w:lang w:val="en-US"/>
        </w:rPr>
        <w:t>Soft Dollar</w:t>
      </w:r>
      <w:r w:rsidR="00D309CF" w:rsidRPr="00913DFF">
        <w:rPr>
          <w:rFonts w:ascii="Calibri" w:hAnsi="Calibri" w:cs="Calibri"/>
          <w:b/>
          <w:bCs/>
          <w:color w:val="auto"/>
          <w:sz w:val="22"/>
          <w:lang w:val="en-US"/>
        </w:rPr>
        <w:t xml:space="preserve"> Arrangement</w:t>
      </w:r>
      <w:r w:rsidRPr="00913DFF">
        <w:rPr>
          <w:rFonts w:ascii="Calibri" w:hAnsi="Calibri" w:cs="Calibri"/>
          <w:b/>
          <w:bCs/>
          <w:color w:val="auto"/>
          <w:sz w:val="22"/>
          <w:lang w:val="en-US"/>
        </w:rPr>
        <w:t>s</w:t>
      </w:r>
      <w:r w:rsidRPr="00913DFF">
        <w:rPr>
          <w:rFonts w:ascii="Calibri" w:hAnsi="Calibri" w:cs="Calibri"/>
          <w:color w:val="auto"/>
          <w:sz w:val="22"/>
          <w:lang w:val="en-US"/>
        </w:rPr>
        <w:t xml:space="preserve">: As prescribed under IMAS Code (See Chapter 2), any </w:t>
      </w:r>
      <w:r w:rsidRPr="00913DFF">
        <w:rPr>
          <w:rFonts w:ascii="Calibri" w:hAnsi="Calibri" w:cs="Calibri"/>
          <w:color w:val="auto"/>
          <w:sz w:val="22"/>
          <w:u w:val="single"/>
          <w:lang w:val="en-US"/>
        </w:rPr>
        <w:t>soft dollar commissions, rebates, fees received</w:t>
      </w:r>
      <w:r w:rsidRPr="00913DFF">
        <w:rPr>
          <w:rFonts w:ascii="Calibri" w:hAnsi="Calibri" w:cs="Calibri"/>
          <w:color w:val="auto"/>
          <w:sz w:val="22"/>
          <w:lang w:val="en-US"/>
        </w:rPr>
        <w:t xml:space="preserve"> etc. should be </w:t>
      </w:r>
      <w:r w:rsidRPr="00913DFF">
        <w:rPr>
          <w:rFonts w:ascii="Calibri" w:hAnsi="Calibri" w:cs="Calibri"/>
          <w:color w:val="auto"/>
          <w:sz w:val="22"/>
          <w:u w:val="single"/>
          <w:lang w:val="en-US"/>
        </w:rPr>
        <w:t>documented and disclosed to clients on an annual basis</w:t>
      </w:r>
      <w:r w:rsidRPr="00913DFF">
        <w:rPr>
          <w:rFonts w:ascii="Calibri" w:hAnsi="Calibri" w:cs="Calibri"/>
          <w:color w:val="auto"/>
          <w:sz w:val="22"/>
          <w:lang w:val="en-US"/>
        </w:rPr>
        <w:t xml:space="preserve"> (via semi-annual and annual reports) and </w:t>
      </w:r>
      <w:r w:rsidRPr="00913DFF">
        <w:rPr>
          <w:rFonts w:ascii="Calibri" w:hAnsi="Calibri" w:cs="Calibri"/>
          <w:color w:val="auto"/>
          <w:sz w:val="22"/>
          <w:u w:val="single"/>
          <w:lang w:val="en-US"/>
        </w:rPr>
        <w:t>accrued to clients</w:t>
      </w:r>
      <w:r w:rsidRPr="00913DFF">
        <w:rPr>
          <w:rFonts w:ascii="Calibri" w:hAnsi="Calibri" w:cs="Calibri"/>
          <w:color w:val="auto"/>
          <w:sz w:val="22"/>
          <w:lang w:val="en-US"/>
        </w:rPr>
        <w:t>.</w:t>
      </w:r>
    </w:p>
    <w:p w14:paraId="5088ED90" w14:textId="77777777" w:rsidR="00913DFF" w:rsidRDefault="00B52D53" w:rsidP="009F73BE">
      <w:pPr>
        <w:pStyle w:val="BodyText"/>
        <w:numPr>
          <w:ilvl w:val="1"/>
          <w:numId w:val="96"/>
        </w:numPr>
        <w:jc w:val="both"/>
        <w:rPr>
          <w:rFonts w:ascii="Calibri" w:hAnsi="Calibri" w:cs="Calibri"/>
          <w:color w:val="auto"/>
          <w:sz w:val="22"/>
          <w:lang w:val="en-US"/>
        </w:rPr>
      </w:pPr>
      <w:r w:rsidRPr="00913DFF">
        <w:rPr>
          <w:rFonts w:ascii="Calibri" w:hAnsi="Calibri" w:cs="Calibri"/>
          <w:color w:val="auto"/>
          <w:sz w:val="22"/>
          <w:lang w:val="en-US"/>
        </w:rPr>
        <w:t xml:space="preserve">The soft dollar arrangement must be carried out in accordance with </w:t>
      </w:r>
      <w:r w:rsidRPr="0086104E">
        <w:rPr>
          <w:rFonts w:ascii="Calibri" w:hAnsi="Calibri" w:cs="Calibri"/>
          <w:color w:val="auto"/>
          <w:sz w:val="22"/>
          <w:u w:val="single"/>
          <w:lang w:val="en-US"/>
        </w:rPr>
        <w:t>best execution practices</w:t>
      </w:r>
      <w:r w:rsidRPr="00913DFF">
        <w:rPr>
          <w:rFonts w:ascii="Calibri" w:hAnsi="Calibri" w:cs="Calibri"/>
          <w:color w:val="auto"/>
          <w:sz w:val="22"/>
          <w:lang w:val="en-US"/>
        </w:rPr>
        <w:t>.</w:t>
      </w:r>
    </w:p>
    <w:p w14:paraId="5044A3E9" w14:textId="77777777" w:rsidR="00913DFF" w:rsidRDefault="00B52D53" w:rsidP="009F73BE">
      <w:pPr>
        <w:pStyle w:val="BodyText"/>
        <w:numPr>
          <w:ilvl w:val="1"/>
          <w:numId w:val="96"/>
        </w:numPr>
        <w:jc w:val="both"/>
        <w:rPr>
          <w:rFonts w:ascii="Calibri" w:hAnsi="Calibri" w:cs="Calibri"/>
          <w:color w:val="auto"/>
          <w:sz w:val="22"/>
          <w:lang w:val="en-US"/>
        </w:rPr>
      </w:pPr>
      <w:r w:rsidRPr="00913DFF">
        <w:rPr>
          <w:rFonts w:ascii="Calibri" w:hAnsi="Calibri" w:cs="Calibri"/>
          <w:color w:val="auto"/>
          <w:sz w:val="22"/>
          <w:lang w:val="en-US"/>
        </w:rPr>
        <w:t xml:space="preserve">The </w:t>
      </w:r>
      <w:r w:rsidRPr="0086104E">
        <w:rPr>
          <w:rFonts w:ascii="Calibri" w:hAnsi="Calibri" w:cs="Calibri"/>
          <w:color w:val="auto"/>
          <w:sz w:val="22"/>
          <w:u w:val="single"/>
          <w:lang w:val="en-US"/>
        </w:rPr>
        <w:t>soft dollar arrangement must not be excessive</w:t>
      </w:r>
      <w:r w:rsidRPr="00913DFF">
        <w:rPr>
          <w:rFonts w:ascii="Calibri" w:hAnsi="Calibri" w:cs="Calibri"/>
          <w:color w:val="auto"/>
          <w:sz w:val="22"/>
          <w:lang w:val="en-US"/>
        </w:rPr>
        <w:t xml:space="preserve"> (e.g., churning)</w:t>
      </w:r>
      <w:r w:rsidR="00D309CF" w:rsidRPr="00913DFF">
        <w:rPr>
          <w:rFonts w:ascii="Calibri" w:hAnsi="Calibri" w:cs="Calibri"/>
          <w:color w:val="auto"/>
          <w:sz w:val="22"/>
          <w:lang w:val="en-US"/>
        </w:rPr>
        <w:t>.</w:t>
      </w:r>
    </w:p>
    <w:p w14:paraId="41889068" w14:textId="362346A9" w:rsidR="00913DFF" w:rsidRDefault="006D52C5" w:rsidP="009F73BE">
      <w:pPr>
        <w:pStyle w:val="BodyText"/>
        <w:numPr>
          <w:ilvl w:val="0"/>
          <w:numId w:val="96"/>
        </w:numPr>
        <w:jc w:val="both"/>
        <w:rPr>
          <w:rFonts w:ascii="Calibri" w:hAnsi="Calibri" w:cs="Calibri"/>
          <w:color w:val="auto"/>
          <w:sz w:val="22"/>
          <w:lang w:val="en-US"/>
        </w:rPr>
      </w:pPr>
      <w:r w:rsidRPr="00913DFF">
        <w:rPr>
          <w:rFonts w:ascii="Calibri" w:hAnsi="Calibri" w:cs="Calibri"/>
          <w:b/>
          <w:bCs/>
          <w:color w:val="auto"/>
          <w:sz w:val="22"/>
          <w:lang w:val="en-US"/>
        </w:rPr>
        <w:t>Receipts of customers’ monies and assets</w:t>
      </w:r>
      <w:r w:rsidRPr="00913DFF">
        <w:rPr>
          <w:rFonts w:ascii="Calibri" w:hAnsi="Calibri" w:cs="Calibri"/>
          <w:color w:val="auto"/>
          <w:sz w:val="22"/>
          <w:lang w:val="en-US"/>
        </w:rPr>
        <w:t xml:space="preserve">: The monies and assets should be deposited or paid in accordance with customer’s pre-agreed arrangements and shall not be commingled with the </w:t>
      </w:r>
      <w:r w:rsidR="00B72D51">
        <w:rPr>
          <w:rFonts w:ascii="Calibri" w:hAnsi="Calibri" w:cs="Calibri"/>
          <w:color w:val="auto"/>
          <w:sz w:val="22"/>
          <w:lang w:val="en-US"/>
        </w:rPr>
        <w:t>LFMC</w:t>
      </w:r>
      <w:r w:rsidRPr="00913DFF">
        <w:rPr>
          <w:rFonts w:ascii="Calibri" w:hAnsi="Calibri" w:cs="Calibri"/>
          <w:color w:val="auto"/>
          <w:sz w:val="22"/>
          <w:lang w:val="en-US"/>
        </w:rPr>
        <w:t>’s assets.</w:t>
      </w:r>
    </w:p>
    <w:p w14:paraId="0D2653C9" w14:textId="6963DA12" w:rsidR="00913DFF" w:rsidRDefault="00C0481F" w:rsidP="009F73BE">
      <w:pPr>
        <w:pStyle w:val="BodyText"/>
        <w:numPr>
          <w:ilvl w:val="1"/>
          <w:numId w:val="96"/>
        </w:numPr>
        <w:jc w:val="both"/>
        <w:rPr>
          <w:rFonts w:ascii="Calibri" w:hAnsi="Calibri" w:cs="Calibri"/>
          <w:color w:val="auto"/>
          <w:sz w:val="22"/>
          <w:lang w:val="en-US"/>
        </w:rPr>
      </w:pPr>
      <w:r w:rsidRPr="00913DFF">
        <w:rPr>
          <w:rFonts w:ascii="Calibri" w:hAnsi="Calibri" w:cs="Calibri"/>
          <w:color w:val="auto"/>
          <w:sz w:val="22"/>
          <w:u w:val="single"/>
          <w:lang w:val="en-US"/>
        </w:rPr>
        <w:t>Monies should be deposited in a trust account within the next business day</w:t>
      </w:r>
      <w:r w:rsidR="002E3326" w:rsidRPr="00913DFF">
        <w:rPr>
          <w:rFonts w:ascii="Calibri" w:hAnsi="Calibri" w:cs="Calibri"/>
          <w:color w:val="auto"/>
          <w:sz w:val="22"/>
          <w:lang w:val="en-US"/>
        </w:rPr>
        <w:t xml:space="preserve">. The trust account must be maintained with a bank, merchant bank or finance company. Note that the </w:t>
      </w:r>
      <w:r w:rsidR="00B72D51">
        <w:rPr>
          <w:rFonts w:ascii="Calibri" w:hAnsi="Calibri" w:cs="Calibri"/>
          <w:color w:val="auto"/>
          <w:sz w:val="22"/>
          <w:lang w:val="en-US"/>
        </w:rPr>
        <w:t>LFMC</w:t>
      </w:r>
      <w:r w:rsidR="002E3326" w:rsidRPr="00913DFF">
        <w:rPr>
          <w:rFonts w:ascii="Calibri" w:hAnsi="Calibri" w:cs="Calibri"/>
          <w:color w:val="auto"/>
          <w:sz w:val="22"/>
          <w:lang w:val="en-US"/>
        </w:rPr>
        <w:t xml:space="preserve"> can </w:t>
      </w:r>
      <w:r w:rsidR="002E3326" w:rsidRPr="00913DFF">
        <w:rPr>
          <w:rFonts w:ascii="Calibri" w:hAnsi="Calibri" w:cs="Calibri"/>
          <w:color w:val="auto"/>
          <w:sz w:val="22"/>
          <w:u w:val="single"/>
          <w:lang w:val="en-US"/>
        </w:rPr>
        <w:t>also choose to</w:t>
      </w:r>
      <w:r w:rsidR="007E1FD2" w:rsidRPr="00913DFF">
        <w:rPr>
          <w:rFonts w:ascii="Calibri" w:hAnsi="Calibri" w:cs="Calibri"/>
          <w:color w:val="auto"/>
          <w:sz w:val="22"/>
          <w:u w:val="single"/>
          <w:lang w:val="en-US"/>
        </w:rPr>
        <w:t xml:space="preserve"> hold these monies in the form any SG or foreign government debt securities</w:t>
      </w:r>
      <w:r w:rsidR="007E1FD2" w:rsidRPr="00913DFF">
        <w:rPr>
          <w:rFonts w:ascii="Calibri" w:hAnsi="Calibri" w:cs="Calibri"/>
          <w:color w:val="auto"/>
          <w:sz w:val="22"/>
          <w:lang w:val="en-US"/>
        </w:rPr>
        <w:t xml:space="preserve">, instead of in the form of cash. </w:t>
      </w:r>
    </w:p>
    <w:p w14:paraId="22110B7E" w14:textId="77777777" w:rsidR="00913DFF" w:rsidRDefault="00C0481F" w:rsidP="009F73BE">
      <w:pPr>
        <w:pStyle w:val="BodyText"/>
        <w:numPr>
          <w:ilvl w:val="1"/>
          <w:numId w:val="96"/>
        </w:numPr>
        <w:jc w:val="both"/>
        <w:rPr>
          <w:rFonts w:ascii="Calibri" w:hAnsi="Calibri" w:cs="Calibri"/>
          <w:color w:val="auto"/>
          <w:sz w:val="22"/>
          <w:lang w:val="en-US"/>
        </w:rPr>
      </w:pPr>
      <w:r w:rsidRPr="00913DFF">
        <w:rPr>
          <w:rFonts w:ascii="Calibri" w:hAnsi="Calibri" w:cs="Calibri"/>
          <w:color w:val="auto"/>
          <w:sz w:val="22"/>
          <w:u w:val="single"/>
          <w:lang w:val="en-US"/>
        </w:rPr>
        <w:t>Assets should be deposited in a custody account within the next business day</w:t>
      </w:r>
      <w:r w:rsidRPr="00913DFF">
        <w:rPr>
          <w:rFonts w:ascii="Calibri" w:hAnsi="Calibri" w:cs="Calibri"/>
          <w:color w:val="auto"/>
          <w:sz w:val="22"/>
          <w:lang w:val="en-US"/>
        </w:rPr>
        <w:t>.</w:t>
      </w:r>
      <w:r w:rsidR="002E3326" w:rsidRPr="00913DFF">
        <w:rPr>
          <w:rFonts w:ascii="Calibri" w:hAnsi="Calibri" w:cs="Calibri"/>
          <w:color w:val="auto"/>
          <w:sz w:val="22"/>
          <w:lang w:val="en-US"/>
        </w:rPr>
        <w:t xml:space="preserve"> The custody account must be maintained with a bank, merchant bank, finance company, depository agent</w:t>
      </w:r>
      <w:r w:rsidR="007E1FD2" w:rsidRPr="00913DFF">
        <w:rPr>
          <w:rFonts w:ascii="Calibri" w:hAnsi="Calibri" w:cs="Calibri"/>
          <w:color w:val="auto"/>
          <w:sz w:val="22"/>
          <w:lang w:val="en-US"/>
        </w:rPr>
        <w:t xml:space="preserve"> (e.g., CDP)</w:t>
      </w:r>
      <w:r w:rsidR="002E3326" w:rsidRPr="00913DFF">
        <w:rPr>
          <w:rFonts w:ascii="Calibri" w:hAnsi="Calibri" w:cs="Calibri"/>
          <w:color w:val="auto"/>
          <w:sz w:val="22"/>
          <w:lang w:val="en-US"/>
        </w:rPr>
        <w:t xml:space="preserve">, an approved trustee (for CIS), any custodians licensed under MAS regulated activities. </w:t>
      </w:r>
    </w:p>
    <w:p w14:paraId="7A52763B" w14:textId="77777777" w:rsidR="00913DFF" w:rsidRDefault="002E3326" w:rsidP="009F73BE">
      <w:pPr>
        <w:pStyle w:val="BodyText"/>
        <w:numPr>
          <w:ilvl w:val="1"/>
          <w:numId w:val="96"/>
        </w:numPr>
        <w:jc w:val="both"/>
        <w:rPr>
          <w:rFonts w:ascii="Calibri" w:hAnsi="Calibri" w:cs="Calibri"/>
          <w:color w:val="auto"/>
          <w:sz w:val="22"/>
          <w:lang w:val="en-US"/>
        </w:rPr>
      </w:pPr>
      <w:r w:rsidRPr="00913DFF">
        <w:rPr>
          <w:rFonts w:ascii="Calibri" w:hAnsi="Calibri" w:cs="Calibri"/>
          <w:color w:val="auto"/>
          <w:sz w:val="22"/>
          <w:u w:val="single"/>
          <w:lang w:val="en-US"/>
        </w:rPr>
        <w:t>Disclosure must be made to retail customers</w:t>
      </w:r>
      <w:r w:rsidRPr="00913DFF">
        <w:rPr>
          <w:rFonts w:ascii="Calibri" w:hAnsi="Calibri" w:cs="Calibri"/>
          <w:color w:val="auto"/>
          <w:sz w:val="22"/>
          <w:lang w:val="en-US"/>
        </w:rPr>
        <w:t xml:space="preserve"> for monies or assets belonging to them held under these trust or custody accounts and the risk(s) arising from commingling monies or assets with other retail customers. </w:t>
      </w:r>
    </w:p>
    <w:p w14:paraId="06B63312" w14:textId="77777777" w:rsidR="00913DFF" w:rsidRDefault="002E3326" w:rsidP="009F73BE">
      <w:pPr>
        <w:pStyle w:val="BodyText"/>
        <w:numPr>
          <w:ilvl w:val="0"/>
          <w:numId w:val="96"/>
        </w:numPr>
        <w:jc w:val="both"/>
        <w:rPr>
          <w:rFonts w:ascii="Calibri" w:hAnsi="Calibri" w:cs="Calibri"/>
          <w:color w:val="auto"/>
          <w:sz w:val="22"/>
          <w:lang w:val="en-US"/>
        </w:rPr>
      </w:pPr>
      <w:r w:rsidRPr="00913DFF">
        <w:rPr>
          <w:rFonts w:ascii="Calibri" w:hAnsi="Calibri" w:cs="Calibri"/>
          <w:b/>
          <w:bCs/>
          <w:color w:val="auto"/>
          <w:sz w:val="22"/>
          <w:lang w:val="en-US"/>
        </w:rPr>
        <w:t>Withdrawals of customers’ monies and assets</w:t>
      </w:r>
      <w:r w:rsidRPr="00913DFF">
        <w:rPr>
          <w:rFonts w:ascii="Calibri" w:hAnsi="Calibri" w:cs="Calibri"/>
          <w:color w:val="auto"/>
          <w:sz w:val="22"/>
          <w:lang w:val="en-US"/>
        </w:rPr>
        <w:t xml:space="preserve">: </w:t>
      </w:r>
    </w:p>
    <w:p w14:paraId="775E8114" w14:textId="5DCFE1AB" w:rsidR="00913DFF" w:rsidRDefault="002E3326" w:rsidP="009F73BE">
      <w:pPr>
        <w:pStyle w:val="BodyText"/>
        <w:numPr>
          <w:ilvl w:val="1"/>
          <w:numId w:val="96"/>
        </w:numPr>
        <w:jc w:val="both"/>
        <w:rPr>
          <w:rFonts w:ascii="Calibri" w:hAnsi="Calibri" w:cs="Calibri"/>
          <w:color w:val="auto"/>
          <w:sz w:val="22"/>
          <w:lang w:val="en-US"/>
        </w:rPr>
      </w:pPr>
      <w:r w:rsidRPr="00913DFF">
        <w:rPr>
          <w:rFonts w:ascii="Calibri" w:hAnsi="Calibri" w:cs="Calibri"/>
          <w:color w:val="auto"/>
          <w:sz w:val="22"/>
          <w:lang w:val="en-US"/>
        </w:rPr>
        <w:t xml:space="preserve">Monies can be drawn down to pay to the person, brokerage or </w:t>
      </w:r>
      <w:r w:rsidR="00B72D51">
        <w:rPr>
          <w:rFonts w:ascii="Calibri" w:hAnsi="Calibri" w:cs="Calibri"/>
          <w:color w:val="auto"/>
          <w:sz w:val="22"/>
          <w:lang w:val="en-US"/>
        </w:rPr>
        <w:t>LFMC</w:t>
      </w:r>
      <w:r w:rsidRPr="00913DFF">
        <w:rPr>
          <w:rFonts w:ascii="Calibri" w:hAnsi="Calibri" w:cs="Calibri"/>
          <w:color w:val="auto"/>
          <w:sz w:val="22"/>
          <w:lang w:val="en-US"/>
        </w:rPr>
        <w:t xml:space="preserve"> arising from the investments (including any charges incurred).</w:t>
      </w:r>
    </w:p>
    <w:p w14:paraId="00D4A0CB" w14:textId="300B9ACE" w:rsidR="00913DFF" w:rsidRDefault="002E3326" w:rsidP="009F73BE">
      <w:pPr>
        <w:pStyle w:val="BodyText"/>
        <w:numPr>
          <w:ilvl w:val="1"/>
          <w:numId w:val="96"/>
        </w:numPr>
        <w:jc w:val="both"/>
        <w:rPr>
          <w:rFonts w:ascii="Calibri" w:hAnsi="Calibri" w:cs="Calibri"/>
          <w:color w:val="auto"/>
          <w:sz w:val="22"/>
          <w:lang w:val="en-US"/>
        </w:rPr>
      </w:pPr>
      <w:r w:rsidRPr="00913DFF">
        <w:rPr>
          <w:rFonts w:ascii="Calibri" w:hAnsi="Calibri" w:cs="Calibri"/>
          <w:color w:val="auto"/>
          <w:sz w:val="22"/>
          <w:lang w:val="en-US"/>
        </w:rPr>
        <w:t>Assets can be drawn down to transfer the asset to any person entitled to the account, meet customers’ obligations</w:t>
      </w:r>
      <w:r w:rsidR="007E1FD2" w:rsidRPr="00913DFF">
        <w:rPr>
          <w:rFonts w:ascii="Calibri" w:hAnsi="Calibri" w:cs="Calibri"/>
          <w:color w:val="auto"/>
          <w:sz w:val="22"/>
          <w:lang w:val="en-US"/>
        </w:rPr>
        <w:t>,</w:t>
      </w:r>
      <w:r w:rsidRPr="00913DFF">
        <w:rPr>
          <w:rFonts w:ascii="Calibri" w:hAnsi="Calibri" w:cs="Calibri"/>
          <w:color w:val="auto"/>
          <w:sz w:val="22"/>
          <w:lang w:val="en-US"/>
        </w:rPr>
        <w:t xml:space="preserve"> securities lending</w:t>
      </w:r>
      <w:r w:rsidR="007E1FD2" w:rsidRPr="00913DFF">
        <w:rPr>
          <w:rFonts w:ascii="Calibri" w:hAnsi="Calibri" w:cs="Calibri"/>
          <w:color w:val="auto"/>
          <w:sz w:val="22"/>
          <w:lang w:val="en-US"/>
        </w:rPr>
        <w:t xml:space="preserve"> or mortgages for an amount owed by the customer to </w:t>
      </w:r>
      <w:r w:rsidR="00B72D51">
        <w:rPr>
          <w:rFonts w:ascii="Calibri" w:hAnsi="Calibri" w:cs="Calibri"/>
          <w:color w:val="auto"/>
          <w:sz w:val="22"/>
          <w:lang w:val="en-US"/>
        </w:rPr>
        <w:t>LFMC</w:t>
      </w:r>
      <w:r w:rsidRPr="00913DFF">
        <w:rPr>
          <w:rFonts w:ascii="Calibri" w:hAnsi="Calibri" w:cs="Calibri"/>
          <w:color w:val="auto"/>
          <w:sz w:val="22"/>
          <w:lang w:val="en-US"/>
        </w:rPr>
        <w:t>.</w:t>
      </w:r>
    </w:p>
    <w:p w14:paraId="6B92E43E" w14:textId="13418206" w:rsidR="00913DFF" w:rsidRDefault="007E1FD2" w:rsidP="009F73BE">
      <w:pPr>
        <w:pStyle w:val="BodyText"/>
        <w:numPr>
          <w:ilvl w:val="0"/>
          <w:numId w:val="96"/>
        </w:numPr>
        <w:jc w:val="both"/>
        <w:rPr>
          <w:rFonts w:ascii="Calibri" w:hAnsi="Calibri" w:cs="Calibri"/>
          <w:color w:val="auto"/>
          <w:sz w:val="22"/>
          <w:lang w:val="en-US"/>
        </w:rPr>
      </w:pPr>
      <w:r w:rsidRPr="00913DFF">
        <w:rPr>
          <w:rFonts w:ascii="Calibri" w:hAnsi="Calibri" w:cs="Calibri"/>
          <w:b/>
          <w:bCs/>
          <w:color w:val="auto"/>
          <w:sz w:val="22"/>
          <w:lang w:val="en-US"/>
        </w:rPr>
        <w:t>Transfer of customers’ monies and assets</w:t>
      </w:r>
      <w:r w:rsidRPr="00913DFF">
        <w:rPr>
          <w:rFonts w:ascii="Calibri" w:hAnsi="Calibri" w:cs="Calibri"/>
          <w:color w:val="auto"/>
          <w:sz w:val="22"/>
          <w:lang w:val="en-US"/>
        </w:rPr>
        <w:t xml:space="preserve">: </w:t>
      </w:r>
      <w:r w:rsidRPr="00913DFF">
        <w:rPr>
          <w:rFonts w:ascii="Calibri" w:hAnsi="Calibri" w:cs="Calibri"/>
          <w:color w:val="auto"/>
          <w:sz w:val="22"/>
          <w:u w:val="single"/>
          <w:lang w:val="en-US"/>
        </w:rPr>
        <w:t>Note that any transfer of rights, interests of retail customers’ monies and assets are strictly prohibited unless they are used for securities lending purposes</w:t>
      </w:r>
      <w:r w:rsidRPr="00913DFF">
        <w:rPr>
          <w:rFonts w:ascii="Calibri" w:hAnsi="Calibri" w:cs="Calibri"/>
          <w:color w:val="auto"/>
          <w:sz w:val="22"/>
          <w:lang w:val="en-US"/>
        </w:rPr>
        <w:t xml:space="preserve">. </w:t>
      </w:r>
      <w:r w:rsidRPr="00913DFF">
        <w:rPr>
          <w:rFonts w:ascii="Calibri" w:hAnsi="Calibri" w:cs="Calibri"/>
          <w:color w:val="auto"/>
          <w:sz w:val="22"/>
          <w:u w:val="single"/>
          <w:lang w:val="en-US"/>
        </w:rPr>
        <w:t>Any securities lending must be accompanied by a prior written agreement and backed by collaterals</w:t>
      </w:r>
      <w:r w:rsidRPr="00913DFF">
        <w:rPr>
          <w:rFonts w:ascii="Calibri" w:hAnsi="Calibri" w:cs="Calibri"/>
          <w:color w:val="auto"/>
          <w:sz w:val="22"/>
          <w:lang w:val="en-US"/>
        </w:rPr>
        <w:t xml:space="preserve"> of </w:t>
      </w:r>
      <w:r w:rsidRPr="00913DFF">
        <w:rPr>
          <w:rFonts w:ascii="Calibri" w:hAnsi="Calibri" w:cs="Calibri"/>
          <w:color w:val="auto"/>
          <w:sz w:val="22"/>
          <w:u w:val="single"/>
          <w:lang w:val="en-US"/>
        </w:rPr>
        <w:t xml:space="preserve">at least </w:t>
      </w:r>
      <w:r w:rsidR="0067008E" w:rsidRPr="00913DFF">
        <w:rPr>
          <w:rFonts w:ascii="Calibri" w:hAnsi="Calibri" w:cs="Calibri"/>
          <w:color w:val="auto"/>
          <w:sz w:val="22"/>
          <w:u w:val="single"/>
          <w:lang w:val="en-US"/>
        </w:rPr>
        <w:t>100%</w:t>
      </w:r>
      <w:r w:rsidR="0067008E" w:rsidRPr="00913DFF">
        <w:rPr>
          <w:rFonts w:ascii="Calibri" w:hAnsi="Calibri" w:cs="Calibri"/>
          <w:color w:val="auto"/>
          <w:sz w:val="22"/>
          <w:lang w:val="en-US"/>
        </w:rPr>
        <w:t xml:space="preserve"> (105% under SGX-ST rules) borrowed securities market </w:t>
      </w:r>
      <w:r w:rsidRPr="00913DFF">
        <w:rPr>
          <w:rFonts w:ascii="Calibri" w:hAnsi="Calibri" w:cs="Calibri"/>
          <w:color w:val="auto"/>
          <w:sz w:val="22"/>
          <w:lang w:val="en-US"/>
        </w:rPr>
        <w:t xml:space="preserve">value (collaterals only applicable to retail investors, but not qualified investors). </w:t>
      </w:r>
      <w:r w:rsidR="0067008E" w:rsidRPr="00913DFF">
        <w:rPr>
          <w:rFonts w:ascii="Calibri" w:hAnsi="Calibri" w:cs="Calibri"/>
          <w:color w:val="auto"/>
          <w:sz w:val="22"/>
          <w:lang w:val="en-US"/>
        </w:rPr>
        <w:t>In the same agreement, it must provide for the calculation of lending</w:t>
      </w:r>
      <w:r w:rsidR="003421CA">
        <w:rPr>
          <w:rFonts w:ascii="Calibri" w:hAnsi="Calibri" w:cs="Calibri"/>
          <w:color w:val="auto"/>
          <w:sz w:val="22"/>
          <w:lang w:val="en-US"/>
        </w:rPr>
        <w:t>/</w:t>
      </w:r>
      <w:r w:rsidR="0067008E" w:rsidRPr="00913DFF">
        <w:rPr>
          <w:rFonts w:ascii="Calibri" w:hAnsi="Calibri" w:cs="Calibri"/>
          <w:color w:val="auto"/>
          <w:sz w:val="22"/>
          <w:lang w:val="en-US"/>
        </w:rPr>
        <w:t>borrowing fees and whether the assets lent</w:t>
      </w:r>
      <w:r w:rsidR="003421CA">
        <w:rPr>
          <w:rFonts w:ascii="Calibri" w:hAnsi="Calibri" w:cs="Calibri"/>
          <w:color w:val="auto"/>
          <w:sz w:val="22"/>
          <w:lang w:val="en-US"/>
        </w:rPr>
        <w:t>/</w:t>
      </w:r>
      <w:r w:rsidR="0067008E" w:rsidRPr="00913DFF">
        <w:rPr>
          <w:rFonts w:ascii="Calibri" w:hAnsi="Calibri" w:cs="Calibri"/>
          <w:color w:val="auto"/>
          <w:sz w:val="22"/>
          <w:lang w:val="en-US"/>
        </w:rPr>
        <w:t>borrowed are marked to market.</w:t>
      </w:r>
    </w:p>
    <w:p w14:paraId="718A98DD" w14:textId="77777777" w:rsidR="00913DFF" w:rsidRDefault="007E1FD2" w:rsidP="009F73BE">
      <w:pPr>
        <w:pStyle w:val="BodyText"/>
        <w:numPr>
          <w:ilvl w:val="0"/>
          <w:numId w:val="96"/>
        </w:numPr>
        <w:jc w:val="both"/>
        <w:rPr>
          <w:rFonts w:ascii="Calibri" w:hAnsi="Calibri" w:cs="Calibri"/>
          <w:color w:val="auto"/>
          <w:sz w:val="22"/>
          <w:lang w:val="en-US"/>
        </w:rPr>
      </w:pPr>
      <w:r w:rsidRPr="00913DFF">
        <w:rPr>
          <w:rFonts w:ascii="Calibri" w:hAnsi="Calibri" w:cs="Calibri"/>
          <w:b/>
          <w:bCs/>
          <w:color w:val="auto"/>
          <w:sz w:val="22"/>
          <w:lang w:val="en-US"/>
        </w:rPr>
        <w:t>Account Statements and Book-Keeping</w:t>
      </w:r>
      <w:r w:rsidRPr="00913DFF">
        <w:rPr>
          <w:rFonts w:ascii="Calibri" w:hAnsi="Calibri" w:cs="Calibri"/>
          <w:color w:val="auto"/>
          <w:sz w:val="22"/>
          <w:lang w:val="en-US"/>
        </w:rPr>
        <w:t>:</w:t>
      </w:r>
    </w:p>
    <w:p w14:paraId="0597962E" w14:textId="263DAAFF" w:rsidR="00913DFF" w:rsidRDefault="00B72D51"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LFMC</w:t>
      </w:r>
      <w:r w:rsidR="007E1FD2" w:rsidRPr="00913DFF">
        <w:rPr>
          <w:rFonts w:ascii="Calibri" w:hAnsi="Calibri" w:cs="Calibri"/>
          <w:color w:val="auto"/>
          <w:sz w:val="22"/>
          <w:lang w:val="en-US"/>
        </w:rPr>
        <w:t xml:space="preserve"> must </w:t>
      </w:r>
      <w:r w:rsidR="007E1FD2" w:rsidRPr="00913DFF">
        <w:rPr>
          <w:rFonts w:ascii="Calibri" w:hAnsi="Calibri" w:cs="Calibri"/>
          <w:color w:val="auto"/>
          <w:sz w:val="22"/>
          <w:u w:val="single"/>
          <w:lang w:val="en-US"/>
        </w:rPr>
        <w:t>perform daily computation of customers’ cash</w:t>
      </w:r>
      <w:r w:rsidR="007E1FD2" w:rsidRPr="00913DFF">
        <w:rPr>
          <w:rFonts w:ascii="Calibri" w:hAnsi="Calibri" w:cs="Calibri"/>
          <w:color w:val="auto"/>
          <w:sz w:val="22"/>
          <w:lang w:val="en-US"/>
        </w:rPr>
        <w:t>.</w:t>
      </w:r>
    </w:p>
    <w:p w14:paraId="4E13120B" w14:textId="722F588D" w:rsidR="00913DFF" w:rsidRDefault="00B72D51"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LFMC</w:t>
      </w:r>
      <w:r w:rsidR="007E1FD2" w:rsidRPr="00913DFF">
        <w:rPr>
          <w:rFonts w:ascii="Calibri" w:hAnsi="Calibri" w:cs="Calibri"/>
          <w:color w:val="auto"/>
          <w:sz w:val="22"/>
          <w:lang w:val="en-US"/>
        </w:rPr>
        <w:t xml:space="preserve"> must </w:t>
      </w:r>
      <w:r w:rsidR="007E1FD2" w:rsidRPr="00913DFF">
        <w:rPr>
          <w:rFonts w:ascii="Calibri" w:hAnsi="Calibri" w:cs="Calibri"/>
          <w:color w:val="auto"/>
          <w:sz w:val="22"/>
          <w:u w:val="single"/>
          <w:lang w:val="en-US"/>
        </w:rPr>
        <w:t>perform daily computation of customers’ assets for those stored with CDP and monthly computation of assets for those stored outside CDP</w:t>
      </w:r>
      <w:r w:rsidR="007E1FD2" w:rsidRPr="00913DFF">
        <w:rPr>
          <w:rFonts w:ascii="Calibri" w:hAnsi="Calibri" w:cs="Calibri"/>
          <w:color w:val="auto"/>
          <w:sz w:val="22"/>
          <w:lang w:val="en-US"/>
        </w:rPr>
        <w:t>.</w:t>
      </w:r>
    </w:p>
    <w:p w14:paraId="1FB7B7D1" w14:textId="4AF1D7E5" w:rsidR="00913DFF" w:rsidRDefault="00B72D51"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lastRenderedPageBreak/>
        <w:t>LFMC</w:t>
      </w:r>
      <w:r w:rsidR="007E1FD2" w:rsidRPr="00913DFF">
        <w:rPr>
          <w:rFonts w:ascii="Calibri" w:hAnsi="Calibri" w:cs="Calibri"/>
          <w:color w:val="auto"/>
          <w:sz w:val="22"/>
          <w:lang w:val="en-US"/>
        </w:rPr>
        <w:t xml:space="preserve"> must provide a statement of account to each customer on </w:t>
      </w:r>
      <w:r w:rsidR="007E1FD2" w:rsidRPr="00913DFF">
        <w:rPr>
          <w:rFonts w:ascii="Calibri" w:hAnsi="Calibri" w:cs="Calibri"/>
          <w:color w:val="auto"/>
          <w:sz w:val="22"/>
          <w:u w:val="single"/>
          <w:lang w:val="en-US"/>
        </w:rPr>
        <w:t>monthly basis</w:t>
      </w:r>
      <w:r w:rsidR="007E1FD2" w:rsidRPr="00913DFF">
        <w:rPr>
          <w:rFonts w:ascii="Calibri" w:hAnsi="Calibri" w:cs="Calibri"/>
          <w:color w:val="auto"/>
          <w:sz w:val="22"/>
          <w:lang w:val="en-US"/>
        </w:rPr>
        <w:t xml:space="preserve"> (or as soon as practicable when such request is made), unless there are no changes to any </w:t>
      </w:r>
      <w:proofErr w:type="gramStart"/>
      <w:r w:rsidR="007E1FD2" w:rsidRPr="00913DFF">
        <w:rPr>
          <w:rFonts w:ascii="Calibri" w:hAnsi="Calibri" w:cs="Calibri"/>
          <w:color w:val="auto"/>
          <w:sz w:val="22"/>
          <w:lang w:val="en-US"/>
        </w:rPr>
        <w:t>particulars</w:t>
      </w:r>
      <w:proofErr w:type="gramEnd"/>
      <w:r w:rsidR="007E1FD2" w:rsidRPr="00913DFF">
        <w:rPr>
          <w:rFonts w:ascii="Calibri" w:hAnsi="Calibri" w:cs="Calibri"/>
          <w:color w:val="auto"/>
          <w:sz w:val="22"/>
          <w:lang w:val="en-US"/>
        </w:rPr>
        <w:t xml:space="preserve"> or the customer is a qualified investor.</w:t>
      </w:r>
      <w:r w:rsidR="007E1FD2" w:rsidRPr="00913DFF">
        <w:rPr>
          <w:rFonts w:ascii="Calibri" w:hAnsi="Calibri" w:cs="Calibri"/>
          <w:b/>
          <w:bCs/>
          <w:color w:val="auto"/>
          <w:sz w:val="22"/>
          <w:lang w:val="en-US"/>
        </w:rPr>
        <w:t xml:space="preserve"> </w:t>
      </w:r>
    </w:p>
    <w:p w14:paraId="66340C68" w14:textId="45D6AD9B" w:rsidR="00913DFF" w:rsidRDefault="00B72D51"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LFMC</w:t>
      </w:r>
      <w:r w:rsidR="007E1FD2" w:rsidRPr="00913DFF">
        <w:rPr>
          <w:rFonts w:ascii="Calibri" w:hAnsi="Calibri" w:cs="Calibri"/>
          <w:color w:val="auto"/>
          <w:sz w:val="22"/>
          <w:lang w:val="en-US"/>
        </w:rPr>
        <w:t xml:space="preserve"> must submit its (i) </w:t>
      </w:r>
      <w:r w:rsidR="007E1FD2" w:rsidRPr="00913DFF">
        <w:rPr>
          <w:rFonts w:ascii="Calibri" w:hAnsi="Calibri" w:cs="Calibri"/>
          <w:color w:val="auto"/>
          <w:sz w:val="22"/>
          <w:u w:val="single"/>
          <w:lang w:val="en-US"/>
        </w:rPr>
        <w:t>unaudited quarterly returns within 14 days of quarter’s end</w:t>
      </w:r>
      <w:r w:rsidR="007E1FD2" w:rsidRPr="00913DFF">
        <w:rPr>
          <w:rFonts w:ascii="Calibri" w:hAnsi="Calibri" w:cs="Calibri"/>
          <w:color w:val="auto"/>
          <w:sz w:val="22"/>
          <w:lang w:val="en-US"/>
        </w:rPr>
        <w:t xml:space="preserve"> and (ii) </w:t>
      </w:r>
      <w:r w:rsidR="007E1FD2" w:rsidRPr="00913DFF">
        <w:rPr>
          <w:rFonts w:ascii="Calibri" w:hAnsi="Calibri" w:cs="Calibri"/>
          <w:color w:val="auto"/>
          <w:sz w:val="22"/>
          <w:u w:val="single"/>
          <w:lang w:val="en-US"/>
        </w:rPr>
        <w:t>audited annual returns within 5 months of financial year end</w:t>
      </w:r>
      <w:r w:rsidR="007E1FD2" w:rsidRPr="00913DFF">
        <w:rPr>
          <w:rFonts w:ascii="Calibri" w:hAnsi="Calibri" w:cs="Calibri"/>
          <w:color w:val="auto"/>
          <w:sz w:val="22"/>
          <w:lang w:val="en-US"/>
        </w:rPr>
        <w:t xml:space="preserve">. VCFM must submit its </w:t>
      </w:r>
      <w:r w:rsidR="007E1FD2" w:rsidRPr="00913DFF">
        <w:rPr>
          <w:rFonts w:ascii="Calibri" w:hAnsi="Calibri" w:cs="Calibri"/>
          <w:color w:val="auto"/>
          <w:sz w:val="22"/>
          <w:u w:val="single"/>
          <w:lang w:val="en-US"/>
        </w:rPr>
        <w:t>annual declaration within 1 month of its financial year end</w:t>
      </w:r>
      <w:r w:rsidR="007E1FD2" w:rsidRPr="00913DFF">
        <w:rPr>
          <w:rFonts w:ascii="Calibri" w:hAnsi="Calibri" w:cs="Calibri"/>
          <w:color w:val="auto"/>
          <w:sz w:val="22"/>
          <w:lang w:val="en-US"/>
        </w:rPr>
        <w:t xml:space="preserve">. </w:t>
      </w:r>
    </w:p>
    <w:p w14:paraId="0F90015E" w14:textId="3AF35F61" w:rsidR="007E1FD2" w:rsidRPr="00913DFF" w:rsidRDefault="00B72D51"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LFMC</w:t>
      </w:r>
      <w:r w:rsidR="007E1FD2" w:rsidRPr="00913DFF">
        <w:rPr>
          <w:rFonts w:ascii="Calibri" w:hAnsi="Calibri" w:cs="Calibri"/>
          <w:color w:val="auto"/>
          <w:sz w:val="22"/>
          <w:lang w:val="en-US"/>
        </w:rPr>
        <w:t xml:space="preserve"> must also keep all books (e.g., written agreement</w:t>
      </w:r>
      <w:r w:rsidR="003421CA">
        <w:rPr>
          <w:rFonts w:ascii="Calibri" w:hAnsi="Calibri" w:cs="Calibri"/>
          <w:color w:val="auto"/>
          <w:sz w:val="22"/>
          <w:lang w:val="en-US"/>
        </w:rPr>
        <w:t>/</w:t>
      </w:r>
      <w:r w:rsidR="007E1FD2" w:rsidRPr="00913DFF">
        <w:rPr>
          <w:rFonts w:ascii="Calibri" w:hAnsi="Calibri" w:cs="Calibri"/>
          <w:color w:val="auto"/>
          <w:sz w:val="22"/>
          <w:lang w:val="en-US"/>
        </w:rPr>
        <w:t xml:space="preserve">acknowledgements, client transactions, accounts, financial statements etc.) </w:t>
      </w:r>
      <w:r w:rsidR="007E1FD2" w:rsidRPr="00913DFF">
        <w:rPr>
          <w:rFonts w:ascii="Calibri" w:hAnsi="Calibri" w:cs="Calibri"/>
          <w:color w:val="auto"/>
          <w:sz w:val="22"/>
          <w:u w:val="single"/>
          <w:lang w:val="en-US"/>
        </w:rPr>
        <w:t>on record for at least 5 years</w:t>
      </w:r>
      <w:r w:rsidR="007E1FD2" w:rsidRPr="00913DFF">
        <w:rPr>
          <w:rFonts w:ascii="Calibri" w:hAnsi="Calibri" w:cs="Calibri"/>
          <w:color w:val="auto"/>
          <w:sz w:val="22"/>
          <w:lang w:val="en-US"/>
        </w:rPr>
        <w:t>.</w:t>
      </w:r>
    </w:p>
    <w:p w14:paraId="3A37C6D7" w14:textId="545025F4" w:rsidR="00D55198" w:rsidRPr="00B52D53" w:rsidRDefault="00D55198" w:rsidP="00D55198">
      <w:pPr>
        <w:pStyle w:val="BodyText"/>
        <w:ind w:left="1080"/>
        <w:jc w:val="both"/>
        <w:rPr>
          <w:rFonts w:ascii="Calibri" w:hAnsi="Calibri" w:cs="Calibri"/>
          <w:color w:val="auto"/>
          <w:sz w:val="22"/>
          <w:lang w:val="en-US"/>
        </w:rPr>
      </w:pPr>
    </w:p>
    <w:p w14:paraId="5688C018" w14:textId="5AE20AF7" w:rsidR="00B46D0F" w:rsidRPr="00B52D53" w:rsidRDefault="00B72D51" w:rsidP="009F73BE">
      <w:pPr>
        <w:pStyle w:val="Heading3"/>
        <w:numPr>
          <w:ilvl w:val="0"/>
          <w:numId w:val="97"/>
        </w:numPr>
        <w:jc w:val="both"/>
        <w:rPr>
          <w:rFonts w:ascii="Calibri" w:hAnsi="Calibri" w:cs="Calibri"/>
          <w:color w:val="auto"/>
          <w:lang w:val="en-US"/>
        </w:rPr>
      </w:pPr>
      <w:r>
        <w:rPr>
          <w:rFonts w:ascii="Calibri" w:hAnsi="Calibri" w:cs="Calibri"/>
          <w:color w:val="auto"/>
          <w:lang w:val="en-US"/>
        </w:rPr>
        <w:t>LFMC</w:t>
      </w:r>
      <w:r w:rsidR="00E40F90">
        <w:rPr>
          <w:rFonts w:ascii="Calibri" w:hAnsi="Calibri" w:cs="Calibri"/>
          <w:color w:val="auto"/>
          <w:lang w:val="en-US"/>
        </w:rPr>
        <w:t xml:space="preserve"> </w:t>
      </w:r>
      <w:r w:rsidR="00B46D0F" w:rsidRPr="00B52D53">
        <w:rPr>
          <w:rFonts w:ascii="Calibri" w:hAnsi="Calibri" w:cs="Calibri"/>
          <w:color w:val="auto"/>
          <w:lang w:val="en-US"/>
        </w:rPr>
        <w:t>Outsourcing arrangements</w:t>
      </w:r>
    </w:p>
    <w:p w14:paraId="353FB434" w14:textId="15CA3723" w:rsidR="00F8759C" w:rsidRDefault="00F8759C" w:rsidP="009F73BE">
      <w:pPr>
        <w:pStyle w:val="BodyText"/>
        <w:numPr>
          <w:ilvl w:val="0"/>
          <w:numId w:val="96"/>
        </w:numPr>
        <w:jc w:val="both"/>
        <w:rPr>
          <w:rFonts w:ascii="Calibri" w:hAnsi="Calibri" w:cs="Calibri"/>
          <w:color w:val="auto"/>
          <w:sz w:val="22"/>
          <w:lang w:val="en-US"/>
        </w:rPr>
      </w:pPr>
      <w:r>
        <w:rPr>
          <w:rFonts w:ascii="Calibri" w:hAnsi="Calibri" w:cs="Calibri"/>
          <w:color w:val="auto"/>
          <w:sz w:val="22"/>
          <w:lang w:val="en-US"/>
        </w:rPr>
        <w:t>E</w:t>
      </w:r>
      <w:r w:rsidR="00AC360D">
        <w:rPr>
          <w:rFonts w:ascii="Calibri" w:hAnsi="Calibri" w:cs="Calibri"/>
          <w:color w:val="auto"/>
          <w:sz w:val="22"/>
          <w:lang w:val="en-US"/>
        </w:rPr>
        <w:t>xcept for those 3</w:t>
      </w:r>
      <w:r w:rsidR="00AC360D" w:rsidRPr="00AC360D">
        <w:rPr>
          <w:rFonts w:ascii="Calibri" w:hAnsi="Calibri" w:cs="Calibri"/>
          <w:color w:val="auto"/>
          <w:sz w:val="22"/>
          <w:vertAlign w:val="superscript"/>
          <w:lang w:val="en-US"/>
        </w:rPr>
        <w:t>rd</w:t>
      </w:r>
      <w:r w:rsidR="00AC360D">
        <w:rPr>
          <w:rFonts w:ascii="Calibri" w:hAnsi="Calibri" w:cs="Calibri"/>
          <w:color w:val="auto"/>
          <w:sz w:val="22"/>
          <w:lang w:val="en-US"/>
        </w:rPr>
        <w:t xml:space="preserve"> party services that are</w:t>
      </w:r>
      <w:r>
        <w:rPr>
          <w:rFonts w:ascii="Calibri" w:hAnsi="Calibri" w:cs="Calibri"/>
          <w:color w:val="auto"/>
          <w:sz w:val="22"/>
          <w:lang w:val="en-US"/>
        </w:rPr>
        <w:t xml:space="preserve"> designated (e.g., </w:t>
      </w:r>
      <w:r w:rsidR="00AC360D">
        <w:rPr>
          <w:rFonts w:ascii="Calibri" w:hAnsi="Calibri" w:cs="Calibri"/>
          <w:color w:val="auto"/>
          <w:sz w:val="22"/>
          <w:lang w:val="en-US"/>
        </w:rPr>
        <w:t>custodial arrangements as prescribed under MAS</w:t>
      </w:r>
      <w:r>
        <w:rPr>
          <w:rFonts w:ascii="Calibri" w:hAnsi="Calibri" w:cs="Calibri"/>
          <w:color w:val="auto"/>
          <w:sz w:val="22"/>
          <w:lang w:val="en-US"/>
        </w:rPr>
        <w:t xml:space="preserve">), </w:t>
      </w:r>
      <w:r w:rsidR="00B72D51">
        <w:rPr>
          <w:rFonts w:ascii="Calibri" w:hAnsi="Calibri" w:cs="Calibri"/>
          <w:color w:val="auto"/>
          <w:sz w:val="22"/>
          <w:lang w:val="en-US"/>
        </w:rPr>
        <w:t>LFMC</w:t>
      </w:r>
      <w:r>
        <w:rPr>
          <w:rFonts w:ascii="Calibri" w:hAnsi="Calibri" w:cs="Calibri"/>
          <w:color w:val="auto"/>
          <w:sz w:val="22"/>
          <w:lang w:val="en-US"/>
        </w:rPr>
        <w:t>s can outsource their services in accordance with the Outsourcing Guidelines provided that due diligence is carried out on those 3</w:t>
      </w:r>
      <w:r w:rsidRPr="00F8759C">
        <w:rPr>
          <w:rFonts w:ascii="Calibri" w:hAnsi="Calibri" w:cs="Calibri"/>
          <w:color w:val="auto"/>
          <w:sz w:val="22"/>
          <w:vertAlign w:val="superscript"/>
          <w:lang w:val="en-US"/>
        </w:rPr>
        <w:t>rd</w:t>
      </w:r>
      <w:r>
        <w:rPr>
          <w:rFonts w:ascii="Calibri" w:hAnsi="Calibri" w:cs="Calibri"/>
          <w:color w:val="auto"/>
          <w:sz w:val="22"/>
          <w:lang w:val="en-US"/>
        </w:rPr>
        <w:t xml:space="preserve"> parties. </w:t>
      </w:r>
      <w:r w:rsidR="00571071">
        <w:rPr>
          <w:rFonts w:ascii="Calibri" w:hAnsi="Calibri" w:cs="Calibri"/>
          <w:color w:val="auto"/>
          <w:sz w:val="22"/>
          <w:lang w:val="en-US"/>
        </w:rPr>
        <w:t xml:space="preserve">When outsourced, </w:t>
      </w:r>
      <w:r w:rsidR="00350118">
        <w:rPr>
          <w:rFonts w:ascii="Calibri" w:hAnsi="Calibri" w:cs="Calibri"/>
          <w:color w:val="auto"/>
          <w:sz w:val="22"/>
          <w:lang w:val="en-US"/>
        </w:rPr>
        <w:t xml:space="preserve">the </w:t>
      </w:r>
      <w:r w:rsidR="00350118" w:rsidRPr="00350118">
        <w:rPr>
          <w:rFonts w:ascii="Calibri" w:hAnsi="Calibri" w:cs="Calibri"/>
          <w:color w:val="auto"/>
          <w:sz w:val="22"/>
          <w:u w:val="single"/>
          <w:lang w:val="en-US"/>
        </w:rPr>
        <w:t>control is passed over to the outsourcing party</w:t>
      </w:r>
      <w:r w:rsidR="00350118">
        <w:rPr>
          <w:rFonts w:ascii="Calibri" w:hAnsi="Calibri" w:cs="Calibri"/>
          <w:color w:val="auto"/>
          <w:sz w:val="22"/>
          <w:lang w:val="en-US"/>
        </w:rPr>
        <w:t>.</w:t>
      </w:r>
    </w:p>
    <w:p w14:paraId="55B091F1" w14:textId="72476732" w:rsidR="00F8759C" w:rsidRDefault="00B72D51" w:rsidP="009F73BE">
      <w:pPr>
        <w:pStyle w:val="BodyText"/>
        <w:numPr>
          <w:ilvl w:val="0"/>
          <w:numId w:val="96"/>
        </w:numPr>
        <w:jc w:val="both"/>
        <w:rPr>
          <w:rFonts w:ascii="Calibri" w:hAnsi="Calibri" w:cs="Calibri"/>
          <w:color w:val="auto"/>
          <w:sz w:val="22"/>
          <w:lang w:val="en-US"/>
        </w:rPr>
      </w:pPr>
      <w:r>
        <w:rPr>
          <w:rFonts w:ascii="Calibri" w:hAnsi="Calibri" w:cs="Calibri"/>
          <w:color w:val="auto"/>
          <w:sz w:val="22"/>
          <w:lang w:val="en-US"/>
        </w:rPr>
        <w:t>LFMC</w:t>
      </w:r>
      <w:r w:rsidR="00F8759C">
        <w:rPr>
          <w:rFonts w:ascii="Calibri" w:hAnsi="Calibri" w:cs="Calibri"/>
          <w:color w:val="auto"/>
          <w:sz w:val="22"/>
          <w:lang w:val="en-US"/>
        </w:rPr>
        <w:t xml:space="preserve"> should </w:t>
      </w:r>
      <w:r w:rsidR="00F8759C" w:rsidRPr="00F8759C">
        <w:rPr>
          <w:rFonts w:ascii="Calibri" w:hAnsi="Calibri" w:cs="Calibri"/>
          <w:color w:val="auto"/>
          <w:sz w:val="22"/>
          <w:u w:val="single"/>
          <w:lang w:val="en-US"/>
        </w:rPr>
        <w:t>maintain a register of all its outsourcing arrangements and submit to MAS on an annual basis or upon request</w:t>
      </w:r>
      <w:r w:rsidR="00F8759C">
        <w:rPr>
          <w:rFonts w:ascii="Calibri" w:hAnsi="Calibri" w:cs="Calibri"/>
          <w:color w:val="auto"/>
          <w:sz w:val="22"/>
          <w:lang w:val="en-US"/>
        </w:rPr>
        <w:t xml:space="preserve">. </w:t>
      </w:r>
      <w:r w:rsidR="00F8759C" w:rsidRPr="00F8759C">
        <w:rPr>
          <w:rFonts w:ascii="Calibri" w:hAnsi="Calibri" w:cs="Calibri"/>
          <w:color w:val="auto"/>
          <w:sz w:val="22"/>
          <w:u w:val="single"/>
          <w:lang w:val="en-US"/>
        </w:rPr>
        <w:t>Any material outsourcing arrangements</w:t>
      </w:r>
      <w:r w:rsidR="00F8759C">
        <w:rPr>
          <w:rFonts w:ascii="Calibri" w:hAnsi="Calibri" w:cs="Calibri"/>
          <w:color w:val="auto"/>
          <w:sz w:val="22"/>
          <w:lang w:val="en-US"/>
        </w:rPr>
        <w:t xml:space="preserve"> (i.e., material impact on </w:t>
      </w:r>
      <w:r>
        <w:rPr>
          <w:rFonts w:ascii="Calibri" w:hAnsi="Calibri" w:cs="Calibri"/>
          <w:color w:val="auto"/>
          <w:sz w:val="22"/>
          <w:lang w:val="en-US"/>
        </w:rPr>
        <w:t>LFMC</w:t>
      </w:r>
      <w:r w:rsidR="00F8759C">
        <w:rPr>
          <w:rFonts w:ascii="Calibri" w:hAnsi="Calibri" w:cs="Calibri"/>
          <w:color w:val="auto"/>
          <w:sz w:val="22"/>
          <w:lang w:val="en-US"/>
        </w:rPr>
        <w:t xml:space="preserve">’s operations and/or customers) </w:t>
      </w:r>
      <w:r w:rsidR="00F8759C" w:rsidRPr="00F8759C">
        <w:rPr>
          <w:rFonts w:ascii="Calibri" w:hAnsi="Calibri" w:cs="Calibri"/>
          <w:color w:val="auto"/>
          <w:sz w:val="22"/>
          <w:u w:val="single"/>
          <w:lang w:val="en-US"/>
        </w:rPr>
        <w:t>should be kept in another register that is readily accessible to senior management</w:t>
      </w:r>
      <w:r w:rsidR="00F8759C">
        <w:rPr>
          <w:rFonts w:ascii="Calibri" w:hAnsi="Calibri" w:cs="Calibri"/>
          <w:color w:val="auto"/>
          <w:sz w:val="22"/>
          <w:lang w:val="en-US"/>
        </w:rPr>
        <w:t xml:space="preserve">. </w:t>
      </w:r>
    </w:p>
    <w:p w14:paraId="259A15A1" w14:textId="77777777" w:rsidR="00E40F90" w:rsidRDefault="00E40F90" w:rsidP="00E40F90">
      <w:pPr>
        <w:pStyle w:val="BodyText"/>
        <w:jc w:val="both"/>
        <w:rPr>
          <w:rFonts w:ascii="Calibri" w:hAnsi="Calibri" w:cs="Calibri"/>
          <w:color w:val="auto"/>
          <w:sz w:val="22"/>
          <w:lang w:val="en-US"/>
        </w:rPr>
      </w:pPr>
    </w:p>
    <w:p w14:paraId="5CE67599" w14:textId="44534461" w:rsidR="00E40F90" w:rsidRPr="00B52D53" w:rsidRDefault="00B72D51" w:rsidP="009F73BE">
      <w:pPr>
        <w:pStyle w:val="Heading3"/>
        <w:numPr>
          <w:ilvl w:val="0"/>
          <w:numId w:val="97"/>
        </w:numPr>
        <w:jc w:val="both"/>
        <w:rPr>
          <w:rFonts w:ascii="Calibri" w:hAnsi="Calibri" w:cs="Calibri"/>
          <w:color w:val="auto"/>
          <w:lang w:val="en-US"/>
        </w:rPr>
      </w:pPr>
      <w:r>
        <w:rPr>
          <w:rFonts w:ascii="Calibri" w:hAnsi="Calibri" w:cs="Calibri"/>
          <w:color w:val="auto"/>
          <w:lang w:val="en-US"/>
        </w:rPr>
        <w:t>LFMC</w:t>
      </w:r>
      <w:r w:rsidR="00E40F90">
        <w:rPr>
          <w:rFonts w:ascii="Calibri" w:hAnsi="Calibri" w:cs="Calibri"/>
          <w:color w:val="auto"/>
          <w:lang w:val="en-US"/>
        </w:rPr>
        <w:t xml:space="preserve"> investees that are listed entities </w:t>
      </w:r>
    </w:p>
    <w:p w14:paraId="103A50BE" w14:textId="1C0C77CA" w:rsidR="00E40F90" w:rsidRDefault="00E40F90" w:rsidP="009F73BE">
      <w:pPr>
        <w:pStyle w:val="BodyText"/>
        <w:numPr>
          <w:ilvl w:val="0"/>
          <w:numId w:val="96"/>
        </w:numPr>
        <w:jc w:val="both"/>
        <w:rPr>
          <w:rFonts w:ascii="Calibri" w:hAnsi="Calibri" w:cs="Calibri"/>
          <w:color w:val="auto"/>
          <w:sz w:val="22"/>
          <w:lang w:val="en-US"/>
        </w:rPr>
      </w:pPr>
      <w:r w:rsidRPr="00902B0D">
        <w:rPr>
          <w:rFonts w:ascii="Calibri" w:hAnsi="Calibri" w:cs="Calibri"/>
          <w:color w:val="auto"/>
          <w:sz w:val="22"/>
          <w:u w:val="single"/>
          <w:lang w:val="en-US"/>
        </w:rPr>
        <w:t>Directors and CEOs of listed entities</w:t>
      </w:r>
      <w:r w:rsidR="00902B0D">
        <w:rPr>
          <w:rFonts w:ascii="Calibri" w:hAnsi="Calibri" w:cs="Calibri"/>
          <w:color w:val="auto"/>
          <w:sz w:val="22"/>
          <w:u w:val="single"/>
          <w:lang w:val="en-US"/>
        </w:rPr>
        <w:t xml:space="preserve"> (including new appointments)</w:t>
      </w:r>
      <w:r w:rsidRPr="00902B0D">
        <w:rPr>
          <w:rFonts w:ascii="Calibri" w:hAnsi="Calibri" w:cs="Calibri"/>
          <w:color w:val="auto"/>
          <w:sz w:val="22"/>
          <w:u w:val="single"/>
          <w:lang w:val="en-US"/>
        </w:rPr>
        <w:t xml:space="preserve"> are obliged to disclose their interests </w:t>
      </w:r>
      <w:r w:rsidR="00902B0D" w:rsidRPr="00902B0D">
        <w:rPr>
          <w:rFonts w:ascii="Calibri" w:hAnsi="Calibri" w:cs="Calibri"/>
          <w:color w:val="auto"/>
          <w:sz w:val="22"/>
          <w:u w:val="single"/>
          <w:lang w:val="en-US"/>
        </w:rPr>
        <w:t xml:space="preserve">(including any changes/updates) </w:t>
      </w:r>
      <w:r w:rsidRPr="00902B0D">
        <w:rPr>
          <w:rFonts w:ascii="Calibri" w:hAnsi="Calibri" w:cs="Calibri"/>
          <w:color w:val="auto"/>
          <w:sz w:val="22"/>
          <w:u w:val="single"/>
          <w:lang w:val="en-US"/>
        </w:rPr>
        <w:t>in the securities</w:t>
      </w:r>
      <w:r>
        <w:rPr>
          <w:rFonts w:ascii="Calibri" w:hAnsi="Calibri" w:cs="Calibri"/>
          <w:color w:val="auto"/>
          <w:sz w:val="22"/>
          <w:lang w:val="en-US"/>
        </w:rPr>
        <w:t xml:space="preserve"> (e.g., shares, debentures, rights, options etc.) of that corporation</w:t>
      </w:r>
      <w:r w:rsidR="00902B0D">
        <w:rPr>
          <w:rFonts w:ascii="Calibri" w:hAnsi="Calibri" w:cs="Calibri"/>
          <w:color w:val="auto"/>
          <w:sz w:val="22"/>
          <w:lang w:val="en-US"/>
        </w:rPr>
        <w:t xml:space="preserve"> </w:t>
      </w:r>
      <w:r w:rsidR="00902B0D" w:rsidRPr="00902B0D">
        <w:rPr>
          <w:rFonts w:ascii="Calibri" w:hAnsi="Calibri" w:cs="Calibri"/>
          <w:color w:val="auto"/>
          <w:sz w:val="22"/>
          <w:u w:val="single"/>
          <w:lang w:val="en-US"/>
        </w:rPr>
        <w:t>within 2 business days</w:t>
      </w:r>
      <w:r>
        <w:rPr>
          <w:rFonts w:ascii="Calibri" w:hAnsi="Calibri" w:cs="Calibri"/>
          <w:color w:val="auto"/>
          <w:sz w:val="22"/>
          <w:lang w:val="en-US"/>
        </w:rPr>
        <w:t xml:space="preserve">. </w:t>
      </w:r>
    </w:p>
    <w:p w14:paraId="1A10F5E1" w14:textId="63EEDEC4" w:rsidR="00902B0D" w:rsidRDefault="00902B0D" w:rsidP="009F73BE">
      <w:pPr>
        <w:pStyle w:val="BodyText"/>
        <w:numPr>
          <w:ilvl w:val="0"/>
          <w:numId w:val="96"/>
        </w:numPr>
        <w:jc w:val="both"/>
        <w:rPr>
          <w:rFonts w:ascii="Calibri" w:hAnsi="Calibri" w:cs="Calibri"/>
          <w:color w:val="auto"/>
          <w:sz w:val="22"/>
          <w:lang w:val="en-US"/>
        </w:rPr>
      </w:pPr>
      <w:r w:rsidRPr="00902B0D">
        <w:rPr>
          <w:rFonts w:ascii="Calibri" w:hAnsi="Calibri" w:cs="Calibri"/>
          <w:color w:val="auto"/>
          <w:sz w:val="22"/>
          <w:u w:val="single"/>
          <w:lang w:val="en-US"/>
        </w:rPr>
        <w:t>Listed investees should disclose material information via SGXNet</w:t>
      </w:r>
      <w:r>
        <w:rPr>
          <w:rFonts w:ascii="Calibri" w:hAnsi="Calibri" w:cs="Calibri"/>
          <w:color w:val="auto"/>
          <w:sz w:val="22"/>
          <w:lang w:val="en-US"/>
        </w:rPr>
        <w:t xml:space="preserve"> </w:t>
      </w:r>
      <w:r w:rsidR="00374A35">
        <w:rPr>
          <w:rFonts w:ascii="Calibri" w:hAnsi="Calibri" w:cs="Calibri"/>
          <w:color w:val="auto"/>
          <w:sz w:val="22"/>
          <w:lang w:val="en-US"/>
        </w:rPr>
        <w:t xml:space="preserve">(including any restricted information disclosed at meetings with analysts, i.e., not released to </w:t>
      </w:r>
      <w:proofErr w:type="gramStart"/>
      <w:r w:rsidR="00374A35">
        <w:rPr>
          <w:rFonts w:ascii="Calibri" w:hAnsi="Calibri" w:cs="Calibri"/>
          <w:color w:val="auto"/>
          <w:sz w:val="22"/>
          <w:lang w:val="en-US"/>
        </w:rPr>
        <w:t>general public</w:t>
      </w:r>
      <w:proofErr w:type="gramEnd"/>
      <w:r w:rsidR="00374A35">
        <w:rPr>
          <w:rFonts w:ascii="Calibri" w:hAnsi="Calibri" w:cs="Calibri"/>
          <w:color w:val="auto"/>
          <w:sz w:val="22"/>
          <w:lang w:val="en-US"/>
        </w:rPr>
        <w:t xml:space="preserve">) </w:t>
      </w:r>
      <w:r>
        <w:rPr>
          <w:rFonts w:ascii="Calibri" w:hAnsi="Calibri" w:cs="Calibri"/>
          <w:color w:val="auto"/>
          <w:sz w:val="22"/>
          <w:lang w:val="en-US"/>
        </w:rPr>
        <w:t>as required by SGX-ST listing rules. Such disclosures must be released timely to prevent false market and unfair</w:t>
      </w:r>
      <w:r w:rsidR="003421CA">
        <w:rPr>
          <w:rFonts w:ascii="Calibri" w:hAnsi="Calibri" w:cs="Calibri"/>
          <w:color w:val="auto"/>
          <w:sz w:val="22"/>
          <w:lang w:val="en-US"/>
        </w:rPr>
        <w:t>/</w:t>
      </w:r>
      <w:r>
        <w:rPr>
          <w:rFonts w:ascii="Calibri" w:hAnsi="Calibri" w:cs="Calibri"/>
          <w:color w:val="auto"/>
          <w:sz w:val="22"/>
          <w:lang w:val="en-US"/>
        </w:rPr>
        <w:t>insider trading activities. Examples include M&amp;A activities, purchase/sale of significant assets, stock dividends/splits, litigation etc.</w:t>
      </w:r>
      <w:r w:rsidR="00E40F90">
        <w:rPr>
          <w:rFonts w:ascii="Calibri" w:hAnsi="Calibri" w:cs="Calibri"/>
          <w:color w:val="auto"/>
          <w:sz w:val="22"/>
          <w:lang w:val="en-US"/>
        </w:rPr>
        <w:t xml:space="preserve"> </w:t>
      </w:r>
      <w:r>
        <w:rPr>
          <w:rFonts w:ascii="Calibri" w:hAnsi="Calibri" w:cs="Calibri"/>
          <w:color w:val="auto"/>
          <w:sz w:val="22"/>
          <w:lang w:val="en-US"/>
        </w:rPr>
        <w:t xml:space="preserve">However, </w:t>
      </w:r>
      <w:r w:rsidRPr="00374A35">
        <w:rPr>
          <w:rFonts w:ascii="Calibri" w:hAnsi="Calibri" w:cs="Calibri"/>
          <w:color w:val="auto"/>
          <w:sz w:val="22"/>
          <w:u w:val="single"/>
          <w:lang w:val="en-US"/>
        </w:rPr>
        <w:t>non-disclosure is allowed if there is a (i) breach of law or (i) all the following 3 conditions are met</w:t>
      </w:r>
      <w:r>
        <w:rPr>
          <w:rFonts w:ascii="Calibri" w:hAnsi="Calibri" w:cs="Calibri"/>
          <w:color w:val="auto"/>
          <w:sz w:val="22"/>
          <w:lang w:val="en-US"/>
        </w:rPr>
        <w:t>:</w:t>
      </w:r>
    </w:p>
    <w:p w14:paraId="4504C6D4" w14:textId="77777777" w:rsidR="00902B0D" w:rsidRDefault="00902B0D"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A reasonable person would not expect it to be disclosed; and</w:t>
      </w:r>
    </w:p>
    <w:p w14:paraId="6E444061" w14:textId="77777777" w:rsidR="00374A35" w:rsidRDefault="00902B0D"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The information</w:t>
      </w:r>
      <w:r w:rsidR="00374A35">
        <w:rPr>
          <w:rFonts w:ascii="Calibri" w:hAnsi="Calibri" w:cs="Calibri"/>
          <w:color w:val="auto"/>
          <w:sz w:val="22"/>
          <w:lang w:val="en-US"/>
        </w:rPr>
        <w:t xml:space="preserve"> is kept confidential; and</w:t>
      </w:r>
    </w:p>
    <w:p w14:paraId="28383A8E" w14:textId="29B4B774" w:rsidR="00E40F90" w:rsidRDefault="00374A35"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 xml:space="preserve">The information concerns (i) an incomplete proposal, (ii) speculation, conjecture or supposition, (iii) internal management purposes or (iv) trade secret. </w:t>
      </w:r>
    </w:p>
    <w:p w14:paraId="19B1D5B4" w14:textId="1C6931AF" w:rsidR="00374A35" w:rsidRDefault="00374A35"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 xml:space="preserve">Listed investees may request a </w:t>
      </w:r>
      <w:r w:rsidRPr="00374A35">
        <w:rPr>
          <w:rFonts w:ascii="Calibri" w:hAnsi="Calibri" w:cs="Calibri"/>
          <w:color w:val="auto"/>
          <w:sz w:val="22"/>
          <w:u w:val="single"/>
          <w:lang w:val="en-US"/>
        </w:rPr>
        <w:t>trading halt or suspension to facilitate the dissemination of material information during trading hours</w:t>
      </w:r>
      <w:r>
        <w:rPr>
          <w:rFonts w:ascii="Calibri" w:hAnsi="Calibri" w:cs="Calibri"/>
          <w:color w:val="auto"/>
          <w:sz w:val="22"/>
          <w:lang w:val="en-US"/>
        </w:rPr>
        <w:t>. In essence, trade orders can still be modified during trading halts, while trade orders may be removed during suspensions.</w:t>
      </w:r>
    </w:p>
    <w:p w14:paraId="48D9B857" w14:textId="208AE0AC" w:rsidR="00374A35" w:rsidRDefault="00374A35"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If there is unusual trading activity in a listed security, SGX-ST would dictate the issuer to review the causes</w:t>
      </w:r>
      <w:r w:rsidR="00223652">
        <w:rPr>
          <w:rFonts w:ascii="Calibri" w:hAnsi="Calibri" w:cs="Calibri"/>
          <w:color w:val="auto"/>
          <w:sz w:val="22"/>
          <w:lang w:val="en-US"/>
        </w:rPr>
        <w:t xml:space="preserve"> and make a public announcement if the unusual trading activity cannot be explained by known factors.</w:t>
      </w:r>
    </w:p>
    <w:p w14:paraId="64459809" w14:textId="77777777" w:rsidR="00E40F90" w:rsidRPr="00F8759C" w:rsidRDefault="00E40F90" w:rsidP="00E40F90">
      <w:pPr>
        <w:pStyle w:val="BodyText"/>
        <w:jc w:val="both"/>
        <w:rPr>
          <w:rFonts w:ascii="Calibri" w:hAnsi="Calibri" w:cs="Calibri"/>
          <w:color w:val="auto"/>
          <w:sz w:val="22"/>
          <w:lang w:val="en-US"/>
        </w:rPr>
      </w:pPr>
    </w:p>
    <w:p w14:paraId="3188F97A" w14:textId="702E86CF" w:rsidR="008B5FFB" w:rsidRDefault="008B5FFB" w:rsidP="00DA459B">
      <w:pPr>
        <w:pStyle w:val="Heading2"/>
        <w:jc w:val="both"/>
        <w:rPr>
          <w:rFonts w:ascii="Calibri" w:hAnsi="Calibri" w:cs="Calibri"/>
          <w:color w:val="auto"/>
          <w:lang w:val="en-US"/>
        </w:rPr>
      </w:pPr>
      <w:r w:rsidRPr="00B52D53">
        <w:rPr>
          <w:rFonts w:ascii="Calibri" w:hAnsi="Calibri" w:cs="Calibri"/>
          <w:color w:val="auto"/>
          <w:lang w:val="en-US"/>
        </w:rPr>
        <w:lastRenderedPageBreak/>
        <w:t xml:space="preserve">Chapter </w:t>
      </w:r>
      <w:r w:rsidR="00223652">
        <w:rPr>
          <w:rFonts w:ascii="Calibri" w:hAnsi="Calibri" w:cs="Calibri"/>
          <w:color w:val="auto"/>
          <w:lang w:val="en-US"/>
        </w:rPr>
        <w:t>5</w:t>
      </w:r>
      <w:r w:rsidRPr="00B52D53">
        <w:rPr>
          <w:rFonts w:ascii="Calibri" w:hAnsi="Calibri" w:cs="Calibri"/>
          <w:color w:val="auto"/>
          <w:lang w:val="en-US"/>
        </w:rPr>
        <w:t xml:space="preserve"> – </w:t>
      </w:r>
      <w:r w:rsidR="00223652">
        <w:rPr>
          <w:rFonts w:ascii="Calibri" w:hAnsi="Calibri" w:cs="Calibri"/>
          <w:color w:val="auto"/>
          <w:lang w:val="en-US"/>
        </w:rPr>
        <w:t>Market Conduct</w:t>
      </w:r>
    </w:p>
    <w:p w14:paraId="26E63289" w14:textId="41604CD4" w:rsidR="00223652" w:rsidRPr="00B52D53" w:rsidRDefault="00223652" w:rsidP="009F73BE">
      <w:pPr>
        <w:pStyle w:val="Heading3"/>
        <w:numPr>
          <w:ilvl w:val="0"/>
          <w:numId w:val="102"/>
        </w:numPr>
        <w:jc w:val="both"/>
        <w:rPr>
          <w:rFonts w:ascii="Calibri" w:hAnsi="Calibri" w:cs="Calibri"/>
          <w:color w:val="auto"/>
          <w:lang w:val="en-US"/>
        </w:rPr>
      </w:pPr>
      <w:r>
        <w:rPr>
          <w:rFonts w:ascii="Calibri" w:hAnsi="Calibri" w:cs="Calibri"/>
          <w:color w:val="auto"/>
          <w:lang w:val="en-US"/>
        </w:rPr>
        <w:t>Types of Market Misconduct</w:t>
      </w:r>
    </w:p>
    <w:p w14:paraId="3BEA8595" w14:textId="4A873D73" w:rsidR="00223652" w:rsidRDefault="00223652"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False Trading and Market Rigging (S197 SFA)</w:t>
      </w:r>
      <w:r>
        <w:rPr>
          <w:rFonts w:ascii="Calibri" w:hAnsi="Calibri" w:cs="Calibri"/>
          <w:color w:val="auto"/>
          <w:sz w:val="22"/>
          <w:lang w:val="en-US"/>
        </w:rPr>
        <w:t xml:space="preserve">: Transactions designed to </w:t>
      </w:r>
      <w:r w:rsidRPr="00322DD2">
        <w:rPr>
          <w:rFonts w:ascii="Calibri" w:hAnsi="Calibri" w:cs="Calibri"/>
          <w:color w:val="auto"/>
          <w:sz w:val="22"/>
          <w:u w:val="single"/>
          <w:lang w:val="en-US"/>
        </w:rPr>
        <w:t>create the false impression of significant market activity</w:t>
      </w:r>
      <w:r w:rsidR="004F667D" w:rsidRPr="00322DD2">
        <w:rPr>
          <w:rFonts w:ascii="Calibri" w:hAnsi="Calibri" w:cs="Calibri"/>
          <w:color w:val="auto"/>
          <w:sz w:val="22"/>
          <w:u w:val="single"/>
          <w:lang w:val="en-US"/>
        </w:rPr>
        <w:t xml:space="preserve"> </w:t>
      </w:r>
      <w:proofErr w:type="gramStart"/>
      <w:r w:rsidR="004F667D" w:rsidRPr="00322DD2">
        <w:rPr>
          <w:rFonts w:ascii="Calibri" w:hAnsi="Calibri" w:cs="Calibri"/>
          <w:color w:val="auto"/>
          <w:sz w:val="22"/>
          <w:u w:val="single"/>
          <w:lang w:val="en-US"/>
        </w:rPr>
        <w:t>so as</w:t>
      </w:r>
      <w:r w:rsidRPr="00322DD2">
        <w:rPr>
          <w:rFonts w:ascii="Calibri" w:hAnsi="Calibri" w:cs="Calibri"/>
          <w:color w:val="auto"/>
          <w:sz w:val="22"/>
          <w:u w:val="single"/>
          <w:lang w:val="en-US"/>
        </w:rPr>
        <w:t xml:space="preserve"> to</w:t>
      </w:r>
      <w:proofErr w:type="gramEnd"/>
      <w:r w:rsidRPr="00322DD2">
        <w:rPr>
          <w:rFonts w:ascii="Calibri" w:hAnsi="Calibri" w:cs="Calibri"/>
          <w:color w:val="auto"/>
          <w:sz w:val="22"/>
          <w:u w:val="single"/>
          <w:lang w:val="en-US"/>
        </w:rPr>
        <w:t xml:space="preserve"> influence prices</w:t>
      </w:r>
      <w:r>
        <w:rPr>
          <w:rFonts w:ascii="Calibri" w:hAnsi="Calibri" w:cs="Calibri"/>
          <w:color w:val="auto"/>
          <w:sz w:val="22"/>
          <w:lang w:val="en-US"/>
        </w:rPr>
        <w:t xml:space="preserve"> through </w:t>
      </w:r>
      <w:r w:rsidR="004F667D">
        <w:rPr>
          <w:rFonts w:ascii="Calibri" w:hAnsi="Calibri" w:cs="Calibri"/>
          <w:color w:val="auto"/>
          <w:sz w:val="22"/>
          <w:lang w:val="en-US"/>
        </w:rPr>
        <w:t>(</w:t>
      </w:r>
      <w:proofErr w:type="spellStart"/>
      <w:r w:rsidR="004F667D">
        <w:rPr>
          <w:rFonts w:ascii="Calibri" w:hAnsi="Calibri" w:cs="Calibri"/>
          <w:color w:val="auto"/>
          <w:sz w:val="22"/>
          <w:lang w:val="en-US"/>
        </w:rPr>
        <w:t>i</w:t>
      </w:r>
      <w:proofErr w:type="spellEnd"/>
      <w:r w:rsidR="004F667D">
        <w:rPr>
          <w:rFonts w:ascii="Calibri" w:hAnsi="Calibri" w:cs="Calibri"/>
          <w:color w:val="auto"/>
          <w:sz w:val="22"/>
          <w:lang w:val="en-US"/>
        </w:rPr>
        <w:t xml:space="preserve">) </w:t>
      </w:r>
      <w:r>
        <w:rPr>
          <w:rFonts w:ascii="Calibri" w:hAnsi="Calibri" w:cs="Calibri"/>
          <w:color w:val="auto"/>
          <w:sz w:val="22"/>
          <w:lang w:val="en-US"/>
        </w:rPr>
        <w:t>wash trades</w:t>
      </w:r>
      <w:r w:rsidR="003421CA">
        <w:rPr>
          <w:rFonts w:ascii="Calibri" w:hAnsi="Calibri" w:cs="Calibri"/>
          <w:color w:val="auto"/>
          <w:sz w:val="22"/>
          <w:lang w:val="en-US"/>
        </w:rPr>
        <w:t>/</w:t>
      </w:r>
      <w:r w:rsidR="004F667D">
        <w:rPr>
          <w:rFonts w:ascii="Calibri" w:hAnsi="Calibri" w:cs="Calibri"/>
          <w:color w:val="auto"/>
          <w:sz w:val="22"/>
          <w:lang w:val="en-US"/>
        </w:rPr>
        <w:t>matching orders</w:t>
      </w:r>
      <w:r w:rsidR="003421CA">
        <w:rPr>
          <w:rFonts w:ascii="Calibri" w:hAnsi="Calibri" w:cs="Calibri"/>
          <w:color w:val="auto"/>
          <w:sz w:val="22"/>
          <w:lang w:val="en-US"/>
        </w:rPr>
        <w:t>/</w:t>
      </w:r>
      <w:r w:rsidR="004F667D">
        <w:rPr>
          <w:rFonts w:ascii="Calibri" w:hAnsi="Calibri" w:cs="Calibri"/>
          <w:color w:val="auto"/>
          <w:sz w:val="22"/>
          <w:lang w:val="en-US"/>
        </w:rPr>
        <w:t>pre-arranged trading (i.e., buy and sell transactions without change of beneficial ownership), (ii) window dressing (i.e., employed by fund manager to improve fund performance).</w:t>
      </w:r>
    </w:p>
    <w:p w14:paraId="19EC626A" w14:textId="7851578B" w:rsidR="00223652" w:rsidRDefault="00223652"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Market Manipulation (S198 SFA)</w:t>
      </w:r>
      <w:r w:rsidR="004F667D">
        <w:rPr>
          <w:rFonts w:ascii="Calibri" w:hAnsi="Calibri" w:cs="Calibri"/>
          <w:color w:val="auto"/>
          <w:sz w:val="22"/>
          <w:lang w:val="en-US"/>
        </w:rPr>
        <w:t xml:space="preserve">: Taking part in </w:t>
      </w:r>
      <w:r w:rsidR="004F667D" w:rsidRPr="00322DD2">
        <w:rPr>
          <w:rFonts w:ascii="Calibri" w:hAnsi="Calibri" w:cs="Calibri"/>
          <w:color w:val="auto"/>
          <w:sz w:val="22"/>
          <w:u w:val="single"/>
          <w:lang w:val="en-US"/>
        </w:rPr>
        <w:t>multiple transactions that have the effect of stabilizing</w:t>
      </w:r>
      <w:r w:rsidR="003421CA">
        <w:rPr>
          <w:rFonts w:ascii="Calibri" w:hAnsi="Calibri" w:cs="Calibri"/>
          <w:color w:val="auto"/>
          <w:sz w:val="22"/>
          <w:u w:val="single"/>
          <w:lang w:val="en-US"/>
        </w:rPr>
        <w:t>/</w:t>
      </w:r>
      <w:r w:rsidR="004F667D" w:rsidRPr="00322DD2">
        <w:rPr>
          <w:rFonts w:ascii="Calibri" w:hAnsi="Calibri" w:cs="Calibri"/>
          <w:color w:val="auto"/>
          <w:sz w:val="22"/>
          <w:u w:val="single"/>
          <w:lang w:val="en-US"/>
        </w:rPr>
        <w:t>destabilizing security prices</w:t>
      </w:r>
      <w:r w:rsidR="004F667D">
        <w:rPr>
          <w:rFonts w:ascii="Calibri" w:hAnsi="Calibri" w:cs="Calibri"/>
          <w:color w:val="auto"/>
          <w:sz w:val="22"/>
          <w:lang w:val="en-US"/>
        </w:rPr>
        <w:t xml:space="preserve"> through </w:t>
      </w:r>
      <w:r w:rsidR="001A3F52">
        <w:rPr>
          <w:rFonts w:ascii="Calibri" w:hAnsi="Calibri" w:cs="Calibri"/>
          <w:color w:val="auto"/>
          <w:sz w:val="22"/>
          <w:lang w:val="en-US"/>
        </w:rPr>
        <w:t xml:space="preserve">(i) </w:t>
      </w:r>
      <w:r w:rsidR="004F667D">
        <w:rPr>
          <w:rFonts w:ascii="Calibri" w:hAnsi="Calibri" w:cs="Calibri"/>
          <w:color w:val="auto"/>
          <w:sz w:val="22"/>
          <w:lang w:val="en-US"/>
        </w:rPr>
        <w:t>“greenshoe” option (during IPOs)</w:t>
      </w:r>
      <w:r w:rsidR="001A3F52">
        <w:rPr>
          <w:rFonts w:ascii="Calibri" w:hAnsi="Calibri" w:cs="Calibri"/>
          <w:color w:val="auto"/>
          <w:sz w:val="22"/>
          <w:lang w:val="en-US"/>
        </w:rPr>
        <w:t xml:space="preserve">, (ii) </w:t>
      </w:r>
      <w:r w:rsidR="004F667D">
        <w:rPr>
          <w:rFonts w:ascii="Calibri" w:hAnsi="Calibri" w:cs="Calibri"/>
          <w:color w:val="auto"/>
          <w:sz w:val="22"/>
          <w:lang w:val="en-US"/>
        </w:rPr>
        <w:t>cornering the market (i.e., Acquiring monopolistic control of securities and driving up their prices artificially to create short squeezes)</w:t>
      </w:r>
      <w:r w:rsidR="001A3F52">
        <w:rPr>
          <w:rFonts w:ascii="Calibri" w:hAnsi="Calibri" w:cs="Calibri"/>
          <w:color w:val="auto"/>
          <w:sz w:val="22"/>
          <w:lang w:val="en-US"/>
        </w:rPr>
        <w:t>, (iii) “pump and dump”</w:t>
      </w:r>
      <w:r w:rsidR="00A5052C">
        <w:rPr>
          <w:rFonts w:ascii="Calibri" w:hAnsi="Calibri" w:cs="Calibri"/>
          <w:color w:val="auto"/>
          <w:sz w:val="22"/>
          <w:lang w:val="en-US"/>
        </w:rPr>
        <w:t xml:space="preserve"> </w:t>
      </w:r>
      <w:r w:rsidR="003421CA">
        <w:rPr>
          <w:rFonts w:ascii="Calibri" w:hAnsi="Calibri" w:cs="Calibri"/>
          <w:color w:val="auto"/>
          <w:sz w:val="22"/>
          <w:lang w:val="en-US"/>
        </w:rPr>
        <w:t>/</w:t>
      </w:r>
      <w:r w:rsidR="00A5052C">
        <w:rPr>
          <w:rFonts w:ascii="Calibri" w:hAnsi="Calibri" w:cs="Calibri"/>
          <w:color w:val="auto"/>
          <w:sz w:val="22"/>
          <w:lang w:val="en-US"/>
        </w:rPr>
        <w:t xml:space="preserve"> </w:t>
      </w:r>
      <w:r w:rsidR="001A3F52">
        <w:rPr>
          <w:rFonts w:ascii="Calibri" w:hAnsi="Calibri" w:cs="Calibri"/>
          <w:color w:val="auto"/>
          <w:sz w:val="22"/>
          <w:lang w:val="en-US"/>
        </w:rPr>
        <w:t>“short and distort” through spreading falsehoods</w:t>
      </w:r>
      <w:r w:rsidR="004F667D">
        <w:rPr>
          <w:rFonts w:ascii="Calibri" w:hAnsi="Calibri" w:cs="Calibri"/>
          <w:color w:val="auto"/>
          <w:sz w:val="22"/>
          <w:lang w:val="en-US"/>
        </w:rPr>
        <w:t>.</w:t>
      </w:r>
    </w:p>
    <w:p w14:paraId="32AAE56E" w14:textId="3B959290" w:rsidR="00223652" w:rsidRDefault="00223652"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False or Misleading Statements (S199 SFA)</w:t>
      </w:r>
      <w:r w:rsidR="004F667D">
        <w:rPr>
          <w:rFonts w:ascii="Calibri" w:hAnsi="Calibri" w:cs="Calibri"/>
          <w:color w:val="auto"/>
          <w:sz w:val="22"/>
          <w:lang w:val="en-US"/>
        </w:rPr>
        <w:t xml:space="preserve">: </w:t>
      </w:r>
      <w:r w:rsidR="001A3F52" w:rsidRPr="00322DD2">
        <w:rPr>
          <w:rFonts w:ascii="Calibri" w:hAnsi="Calibri" w:cs="Calibri"/>
          <w:color w:val="auto"/>
          <w:sz w:val="22"/>
          <w:u w:val="single"/>
          <w:lang w:val="en-US"/>
        </w:rPr>
        <w:t>Information that is materially fraudulent or inaccurate</w:t>
      </w:r>
      <w:r w:rsidR="001A3F52">
        <w:rPr>
          <w:rFonts w:ascii="Calibri" w:hAnsi="Calibri" w:cs="Calibri"/>
          <w:color w:val="auto"/>
          <w:sz w:val="22"/>
          <w:lang w:val="en-US"/>
        </w:rPr>
        <w:t xml:space="preserve"> that impact investment decision-making.</w:t>
      </w:r>
    </w:p>
    <w:p w14:paraId="1E375212" w14:textId="4C149688" w:rsidR="00223652" w:rsidRDefault="001A3F52"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Fraudulent</w:t>
      </w:r>
      <w:r w:rsidR="00223652">
        <w:rPr>
          <w:rFonts w:ascii="Calibri" w:hAnsi="Calibri" w:cs="Calibri"/>
          <w:b/>
          <w:bCs/>
          <w:color w:val="auto"/>
          <w:sz w:val="22"/>
          <w:lang w:val="en-US"/>
        </w:rPr>
        <w:t xml:space="preserve"> inducement (S200 SFA)</w:t>
      </w:r>
      <w:r>
        <w:rPr>
          <w:rFonts w:ascii="Calibri" w:hAnsi="Calibri" w:cs="Calibri"/>
          <w:color w:val="auto"/>
          <w:sz w:val="22"/>
          <w:lang w:val="en-US"/>
        </w:rPr>
        <w:t xml:space="preserve">: The intent to </w:t>
      </w:r>
      <w:r w:rsidRPr="00322DD2">
        <w:rPr>
          <w:rFonts w:ascii="Calibri" w:hAnsi="Calibri" w:cs="Calibri"/>
          <w:color w:val="auto"/>
          <w:sz w:val="22"/>
          <w:u w:val="single"/>
          <w:lang w:val="en-US"/>
        </w:rPr>
        <w:t>induce another person to deal in capital market products</w:t>
      </w:r>
      <w:r w:rsidRPr="00322DD2">
        <w:rPr>
          <w:rFonts w:ascii="Calibri" w:hAnsi="Calibri" w:cs="Calibri"/>
          <w:color w:val="auto"/>
          <w:sz w:val="22"/>
          <w:lang w:val="en-US"/>
        </w:rPr>
        <w:t xml:space="preserve"> </w:t>
      </w:r>
      <w:r>
        <w:rPr>
          <w:rFonts w:ascii="Calibri" w:hAnsi="Calibri" w:cs="Calibri"/>
          <w:color w:val="auto"/>
          <w:sz w:val="22"/>
          <w:lang w:val="en-US"/>
        </w:rPr>
        <w:t>must be clearly established. Essentially, the quality or type of information (i.e., S199 SFA) would not be the priority.</w:t>
      </w:r>
    </w:p>
    <w:p w14:paraId="7769BF22" w14:textId="23DB47F9" w:rsidR="00223652" w:rsidRDefault="00223652"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Manipulative or Deceptive Devices (S201 SFA)</w:t>
      </w:r>
    </w:p>
    <w:p w14:paraId="6A7984A8" w14:textId="6F743530" w:rsidR="00223652" w:rsidRDefault="00223652"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Dissemination of information about illegal transactions (S202 SFA)</w:t>
      </w:r>
    </w:p>
    <w:p w14:paraId="53CFB550" w14:textId="77777777" w:rsidR="00322DD2" w:rsidRPr="00322DD2" w:rsidRDefault="00223652" w:rsidP="009F73BE">
      <w:pPr>
        <w:pStyle w:val="BodyText"/>
        <w:numPr>
          <w:ilvl w:val="0"/>
          <w:numId w:val="96"/>
        </w:numPr>
        <w:jc w:val="both"/>
        <w:rPr>
          <w:rFonts w:ascii="Calibri" w:hAnsi="Calibri" w:cs="Calibri"/>
          <w:b/>
          <w:bCs/>
          <w:color w:val="auto"/>
          <w:sz w:val="22"/>
          <w:lang w:val="en-US"/>
        </w:rPr>
      </w:pPr>
      <w:r>
        <w:rPr>
          <w:rFonts w:ascii="Calibri" w:hAnsi="Calibri" w:cs="Calibri"/>
          <w:b/>
          <w:bCs/>
          <w:color w:val="auto"/>
          <w:sz w:val="22"/>
          <w:lang w:val="en-US"/>
        </w:rPr>
        <w:t>Insider Trading (S218 SFA)</w:t>
      </w:r>
      <w:r w:rsidR="001A3F52">
        <w:rPr>
          <w:rFonts w:ascii="Calibri" w:hAnsi="Calibri" w:cs="Calibri"/>
          <w:color w:val="auto"/>
          <w:sz w:val="22"/>
          <w:lang w:val="en-US"/>
        </w:rPr>
        <w:t>:</w:t>
      </w:r>
      <w:r w:rsidR="00A52297">
        <w:rPr>
          <w:rFonts w:ascii="Calibri" w:hAnsi="Calibri" w:cs="Calibri"/>
          <w:color w:val="auto"/>
          <w:sz w:val="22"/>
          <w:lang w:val="en-US"/>
        </w:rPr>
        <w:t xml:space="preserve"> </w:t>
      </w:r>
    </w:p>
    <w:p w14:paraId="5FDD496D" w14:textId="66BC22AE" w:rsidR="001F2F10" w:rsidRDefault="00942BB5"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 xml:space="preserve">To convict someone of insider trading offence, </w:t>
      </w:r>
      <w:r w:rsidR="001F2F10">
        <w:rPr>
          <w:rFonts w:ascii="Calibri" w:hAnsi="Calibri" w:cs="Calibri"/>
          <w:color w:val="auto"/>
          <w:sz w:val="22"/>
          <w:lang w:val="en-US"/>
        </w:rPr>
        <w:t>these steps are followed –</w:t>
      </w:r>
    </w:p>
    <w:p w14:paraId="57420621" w14:textId="26E2BFFD" w:rsidR="001F2F10" w:rsidRDefault="001F2F10" w:rsidP="009F73BE">
      <w:pPr>
        <w:pStyle w:val="BodyText"/>
        <w:numPr>
          <w:ilvl w:val="2"/>
          <w:numId w:val="96"/>
        </w:numPr>
        <w:jc w:val="both"/>
        <w:rPr>
          <w:rFonts w:ascii="Calibri" w:hAnsi="Calibri" w:cs="Calibri"/>
          <w:color w:val="auto"/>
          <w:sz w:val="22"/>
          <w:lang w:val="en-US"/>
        </w:rPr>
      </w:pPr>
      <w:r>
        <w:rPr>
          <w:rFonts w:ascii="Calibri" w:hAnsi="Calibri" w:cs="Calibri"/>
          <w:color w:val="auto"/>
          <w:sz w:val="22"/>
          <w:lang w:val="en-US"/>
        </w:rPr>
        <w:t xml:space="preserve">First, it </w:t>
      </w:r>
      <w:r w:rsidRPr="00942BB5">
        <w:rPr>
          <w:rFonts w:ascii="Calibri" w:hAnsi="Calibri" w:cs="Calibri"/>
          <w:color w:val="auto"/>
          <w:sz w:val="22"/>
          <w:u w:val="single"/>
          <w:lang w:val="en-US"/>
        </w:rPr>
        <w:t>must be proven that the inside information</w:t>
      </w:r>
      <w:r w:rsidRPr="001F2F10">
        <w:rPr>
          <w:rFonts w:ascii="Calibri" w:hAnsi="Calibri" w:cs="Calibri"/>
          <w:color w:val="auto"/>
          <w:sz w:val="22"/>
          <w:lang w:val="en-US"/>
        </w:rPr>
        <w:t xml:space="preserve"> </w:t>
      </w:r>
      <w:r>
        <w:rPr>
          <w:rFonts w:ascii="Calibri" w:hAnsi="Calibri" w:cs="Calibri"/>
          <w:color w:val="auto"/>
          <w:sz w:val="22"/>
          <w:lang w:val="en-US"/>
        </w:rPr>
        <w:t xml:space="preserve">(i.e., </w:t>
      </w:r>
      <w:r w:rsidRPr="00942BB5">
        <w:rPr>
          <w:rFonts w:ascii="Calibri" w:hAnsi="Calibri" w:cs="Calibri"/>
          <w:color w:val="auto"/>
          <w:sz w:val="22"/>
          <w:lang w:val="en-US"/>
        </w:rPr>
        <w:t>privileged</w:t>
      </w:r>
      <w:r w:rsidR="003421CA">
        <w:rPr>
          <w:rFonts w:ascii="Calibri" w:hAnsi="Calibri" w:cs="Calibri"/>
          <w:color w:val="auto"/>
          <w:sz w:val="22"/>
          <w:lang w:val="en-US"/>
        </w:rPr>
        <w:t>/</w:t>
      </w:r>
      <w:r w:rsidRPr="00942BB5">
        <w:rPr>
          <w:rFonts w:ascii="Calibri" w:hAnsi="Calibri" w:cs="Calibri"/>
          <w:color w:val="auto"/>
          <w:sz w:val="22"/>
          <w:lang w:val="en-US"/>
        </w:rPr>
        <w:t>confidential</w:t>
      </w:r>
      <w:r w:rsidR="003421CA">
        <w:rPr>
          <w:rFonts w:ascii="Calibri" w:hAnsi="Calibri" w:cs="Calibri"/>
          <w:color w:val="auto"/>
          <w:sz w:val="22"/>
          <w:lang w:val="en-US"/>
        </w:rPr>
        <w:t>/</w:t>
      </w:r>
      <w:r w:rsidRPr="00942BB5">
        <w:rPr>
          <w:rFonts w:ascii="Calibri" w:hAnsi="Calibri" w:cs="Calibri"/>
          <w:color w:val="auto"/>
          <w:sz w:val="22"/>
          <w:lang w:val="en-US"/>
        </w:rPr>
        <w:t>non-public price information</w:t>
      </w:r>
      <w:r>
        <w:rPr>
          <w:rFonts w:ascii="Calibri" w:hAnsi="Calibri" w:cs="Calibri"/>
          <w:color w:val="auto"/>
          <w:sz w:val="22"/>
          <w:lang w:val="en-US"/>
        </w:rPr>
        <w:t xml:space="preserve">) </w:t>
      </w:r>
      <w:r w:rsidRPr="00942BB5">
        <w:rPr>
          <w:rFonts w:ascii="Calibri" w:hAnsi="Calibri" w:cs="Calibri"/>
          <w:color w:val="auto"/>
          <w:sz w:val="22"/>
          <w:u w:val="single"/>
          <w:lang w:val="en-US"/>
        </w:rPr>
        <w:t>is passed</w:t>
      </w:r>
      <w:r>
        <w:rPr>
          <w:rFonts w:ascii="Calibri" w:hAnsi="Calibri" w:cs="Calibri"/>
          <w:color w:val="auto"/>
          <w:sz w:val="22"/>
          <w:u w:val="single"/>
          <w:lang w:val="en-US"/>
        </w:rPr>
        <w:t xml:space="preserve"> on</w:t>
      </w:r>
      <w:r w:rsidRPr="00942BB5">
        <w:rPr>
          <w:rFonts w:ascii="Calibri" w:hAnsi="Calibri" w:cs="Calibri"/>
          <w:color w:val="auto"/>
          <w:sz w:val="22"/>
          <w:u w:val="single"/>
          <w:lang w:val="en-US"/>
        </w:rPr>
        <w:t xml:space="preserve"> to them</w:t>
      </w:r>
      <w:r>
        <w:rPr>
          <w:rFonts w:ascii="Calibri" w:hAnsi="Calibri" w:cs="Calibri"/>
          <w:color w:val="auto"/>
          <w:sz w:val="22"/>
          <w:u w:val="single"/>
          <w:lang w:val="en-US"/>
        </w:rPr>
        <w:t xml:space="preserve"> or in their possession</w:t>
      </w:r>
      <w:r w:rsidRPr="001F2F10">
        <w:rPr>
          <w:rFonts w:ascii="Calibri" w:hAnsi="Calibri" w:cs="Calibri"/>
          <w:color w:val="auto"/>
          <w:sz w:val="22"/>
          <w:lang w:val="en-US"/>
        </w:rPr>
        <w:t>.</w:t>
      </w:r>
      <w:r>
        <w:rPr>
          <w:rFonts w:ascii="Calibri" w:hAnsi="Calibri" w:cs="Calibri"/>
          <w:color w:val="auto"/>
          <w:sz w:val="22"/>
          <w:lang w:val="en-US"/>
        </w:rPr>
        <w:t xml:space="preserve"> </w:t>
      </w:r>
    </w:p>
    <w:p w14:paraId="7A5EC4E3" w14:textId="35285DEB" w:rsidR="00942BB5" w:rsidRDefault="001F2F10" w:rsidP="009F73BE">
      <w:pPr>
        <w:pStyle w:val="BodyText"/>
        <w:numPr>
          <w:ilvl w:val="2"/>
          <w:numId w:val="96"/>
        </w:numPr>
        <w:jc w:val="both"/>
        <w:rPr>
          <w:rFonts w:ascii="Calibri" w:hAnsi="Calibri" w:cs="Calibri"/>
          <w:color w:val="auto"/>
          <w:sz w:val="22"/>
          <w:lang w:val="en-US"/>
        </w:rPr>
      </w:pPr>
      <w:r>
        <w:rPr>
          <w:rFonts w:ascii="Calibri" w:hAnsi="Calibri" w:cs="Calibri"/>
          <w:color w:val="auto"/>
          <w:sz w:val="22"/>
          <w:lang w:val="en-US"/>
        </w:rPr>
        <w:t xml:space="preserve">Second, there is a need to </w:t>
      </w:r>
      <w:r w:rsidRPr="001F2F10">
        <w:rPr>
          <w:rFonts w:ascii="Calibri" w:hAnsi="Calibri" w:cs="Calibri"/>
          <w:color w:val="auto"/>
          <w:sz w:val="22"/>
          <w:u w:val="single"/>
          <w:lang w:val="en-US"/>
        </w:rPr>
        <w:t>establish whether they knew the information is non-public and price sensitive</w:t>
      </w:r>
      <w:r>
        <w:rPr>
          <w:rFonts w:ascii="Calibri" w:hAnsi="Calibri" w:cs="Calibri"/>
          <w:color w:val="auto"/>
          <w:sz w:val="22"/>
          <w:lang w:val="en-US"/>
        </w:rPr>
        <w:t xml:space="preserve">. </w:t>
      </w:r>
      <w:r w:rsidR="00942BB5">
        <w:rPr>
          <w:rFonts w:ascii="Calibri" w:hAnsi="Calibri" w:cs="Calibri"/>
          <w:color w:val="auto"/>
          <w:sz w:val="22"/>
          <w:lang w:val="en-US"/>
        </w:rPr>
        <w:t>Distinction is made between connected persons (i.e., insider who can be an officer, substantial shareholder, family members, issuer’s lawyers, accountants etc.) vs. non-connected persons (i.e., tippee)</w:t>
      </w:r>
      <w:r>
        <w:rPr>
          <w:rFonts w:ascii="Calibri" w:hAnsi="Calibri" w:cs="Calibri"/>
          <w:color w:val="auto"/>
          <w:sz w:val="22"/>
          <w:lang w:val="en-US"/>
        </w:rPr>
        <w:t xml:space="preserve"> – </w:t>
      </w:r>
    </w:p>
    <w:p w14:paraId="3E0B488E" w14:textId="4FBF1907" w:rsidR="001F2F10" w:rsidRDefault="001F2F10" w:rsidP="009F73BE">
      <w:pPr>
        <w:pStyle w:val="BodyText"/>
        <w:numPr>
          <w:ilvl w:val="3"/>
          <w:numId w:val="96"/>
        </w:numPr>
        <w:jc w:val="both"/>
        <w:rPr>
          <w:rFonts w:ascii="Calibri" w:hAnsi="Calibri" w:cs="Calibri"/>
          <w:color w:val="auto"/>
          <w:sz w:val="22"/>
          <w:lang w:val="en-US"/>
        </w:rPr>
      </w:pPr>
      <w:r>
        <w:rPr>
          <w:rFonts w:ascii="Calibri" w:hAnsi="Calibri" w:cs="Calibri"/>
          <w:color w:val="auto"/>
          <w:sz w:val="22"/>
          <w:lang w:val="en-US"/>
        </w:rPr>
        <w:t xml:space="preserve">Connected persons – </w:t>
      </w:r>
      <w:r>
        <w:rPr>
          <w:rFonts w:ascii="Calibri" w:hAnsi="Calibri" w:cs="Calibri"/>
          <w:color w:val="auto"/>
          <w:sz w:val="22"/>
          <w:u w:val="single"/>
          <w:lang w:val="en-US"/>
        </w:rPr>
        <w:t>A</w:t>
      </w:r>
      <w:r w:rsidRPr="00942BB5">
        <w:rPr>
          <w:rFonts w:ascii="Calibri" w:hAnsi="Calibri" w:cs="Calibri"/>
          <w:color w:val="auto"/>
          <w:sz w:val="22"/>
          <w:u w:val="single"/>
          <w:lang w:val="en-US"/>
        </w:rPr>
        <w:t>utomatically assumed that they know the information is non-public and price sensitive</w:t>
      </w:r>
    </w:p>
    <w:p w14:paraId="34BD4AF5" w14:textId="65005DB1" w:rsidR="001F2F10" w:rsidRPr="001F2F10" w:rsidRDefault="001F2F10" w:rsidP="009F73BE">
      <w:pPr>
        <w:pStyle w:val="BodyText"/>
        <w:numPr>
          <w:ilvl w:val="3"/>
          <w:numId w:val="96"/>
        </w:numPr>
        <w:jc w:val="both"/>
        <w:rPr>
          <w:rFonts w:ascii="Calibri" w:hAnsi="Calibri" w:cs="Calibri"/>
          <w:color w:val="auto"/>
          <w:sz w:val="22"/>
          <w:lang w:val="en-US"/>
        </w:rPr>
      </w:pPr>
      <w:r>
        <w:rPr>
          <w:rFonts w:ascii="Calibri" w:hAnsi="Calibri" w:cs="Calibri"/>
          <w:color w:val="auto"/>
          <w:sz w:val="22"/>
          <w:lang w:val="en-US"/>
        </w:rPr>
        <w:t xml:space="preserve">Non-connected persons – </w:t>
      </w:r>
      <w:r>
        <w:rPr>
          <w:rFonts w:ascii="Calibri" w:hAnsi="Calibri" w:cs="Calibri"/>
          <w:color w:val="auto"/>
          <w:sz w:val="22"/>
          <w:u w:val="single"/>
          <w:lang w:val="en-US"/>
        </w:rPr>
        <w:t>N</w:t>
      </w:r>
      <w:r w:rsidRPr="00942BB5">
        <w:rPr>
          <w:rFonts w:ascii="Calibri" w:hAnsi="Calibri" w:cs="Calibri"/>
          <w:color w:val="auto"/>
          <w:sz w:val="22"/>
          <w:u w:val="single"/>
          <w:lang w:val="en-US"/>
        </w:rPr>
        <w:t xml:space="preserve">eed to </w:t>
      </w:r>
      <w:r>
        <w:rPr>
          <w:rFonts w:ascii="Calibri" w:hAnsi="Calibri" w:cs="Calibri"/>
          <w:color w:val="auto"/>
          <w:sz w:val="22"/>
          <w:u w:val="single"/>
          <w:lang w:val="en-US"/>
        </w:rPr>
        <w:t>prove that the information is non-public and price sensitive</w:t>
      </w:r>
      <w:r>
        <w:rPr>
          <w:rFonts w:ascii="Calibri" w:hAnsi="Calibri" w:cs="Calibri"/>
          <w:color w:val="auto"/>
          <w:sz w:val="22"/>
          <w:lang w:val="en-US"/>
        </w:rPr>
        <w:t>. The source where they obtain the inside information is irrelevant.</w:t>
      </w:r>
    </w:p>
    <w:p w14:paraId="7230E979" w14:textId="625674C0" w:rsidR="00322DD2" w:rsidRDefault="00322DD2" w:rsidP="009F73BE">
      <w:pPr>
        <w:pStyle w:val="BodyText"/>
        <w:numPr>
          <w:ilvl w:val="2"/>
          <w:numId w:val="96"/>
        </w:numPr>
        <w:jc w:val="both"/>
        <w:rPr>
          <w:rFonts w:ascii="Calibri" w:hAnsi="Calibri" w:cs="Calibri"/>
          <w:color w:val="auto"/>
          <w:sz w:val="22"/>
          <w:lang w:val="en-US"/>
        </w:rPr>
      </w:pPr>
      <w:r>
        <w:rPr>
          <w:rFonts w:ascii="Calibri" w:hAnsi="Calibri" w:cs="Calibri"/>
          <w:color w:val="auto"/>
          <w:sz w:val="22"/>
          <w:lang w:val="en-US"/>
        </w:rPr>
        <w:t xml:space="preserve">Once a person </w:t>
      </w:r>
      <w:r w:rsidR="00942BB5">
        <w:rPr>
          <w:rFonts w:ascii="Calibri" w:hAnsi="Calibri" w:cs="Calibri"/>
          <w:color w:val="auto"/>
          <w:sz w:val="22"/>
          <w:lang w:val="en-US"/>
        </w:rPr>
        <w:t xml:space="preserve">is established to </w:t>
      </w:r>
      <w:r w:rsidR="001F2F10">
        <w:rPr>
          <w:rFonts w:ascii="Calibri" w:hAnsi="Calibri" w:cs="Calibri"/>
          <w:color w:val="auto"/>
          <w:sz w:val="22"/>
          <w:lang w:val="en-US"/>
        </w:rPr>
        <w:t>possess</w:t>
      </w:r>
      <w:r>
        <w:rPr>
          <w:rFonts w:ascii="Calibri" w:hAnsi="Calibri" w:cs="Calibri"/>
          <w:color w:val="auto"/>
          <w:sz w:val="22"/>
          <w:lang w:val="en-US"/>
        </w:rPr>
        <w:t xml:space="preserve"> inside information</w:t>
      </w:r>
      <w:r w:rsidR="001F2F10">
        <w:rPr>
          <w:rFonts w:ascii="Calibri" w:hAnsi="Calibri" w:cs="Calibri"/>
          <w:color w:val="auto"/>
          <w:sz w:val="22"/>
          <w:lang w:val="en-US"/>
        </w:rPr>
        <w:t xml:space="preserve"> and know the information is non-public and price sensitive</w:t>
      </w:r>
      <w:r>
        <w:rPr>
          <w:rFonts w:ascii="Calibri" w:hAnsi="Calibri" w:cs="Calibri"/>
          <w:color w:val="auto"/>
          <w:sz w:val="22"/>
          <w:lang w:val="en-US"/>
        </w:rPr>
        <w:t xml:space="preserve">, the </w:t>
      </w:r>
      <w:r w:rsidRPr="00322DD2">
        <w:rPr>
          <w:rFonts w:ascii="Calibri" w:hAnsi="Calibri" w:cs="Calibri"/>
          <w:color w:val="auto"/>
          <w:sz w:val="22"/>
          <w:u w:val="single"/>
          <w:lang w:val="en-US"/>
        </w:rPr>
        <w:t>intention of use</w:t>
      </w:r>
      <w:r w:rsidR="00942BB5" w:rsidRPr="00942BB5">
        <w:rPr>
          <w:rFonts w:ascii="Calibri" w:hAnsi="Calibri" w:cs="Calibri"/>
          <w:color w:val="auto"/>
          <w:sz w:val="22"/>
          <w:lang w:val="en-US"/>
        </w:rPr>
        <w:t xml:space="preserve"> (of the inside information)</w:t>
      </w:r>
      <w:r w:rsidRPr="00942BB5">
        <w:rPr>
          <w:rFonts w:ascii="Calibri" w:hAnsi="Calibri" w:cs="Calibri"/>
          <w:color w:val="auto"/>
          <w:sz w:val="22"/>
          <w:lang w:val="en-US"/>
        </w:rPr>
        <w:t xml:space="preserve"> </w:t>
      </w:r>
      <w:r w:rsidRPr="00322DD2">
        <w:rPr>
          <w:rFonts w:ascii="Calibri" w:hAnsi="Calibri" w:cs="Calibri"/>
          <w:color w:val="auto"/>
          <w:sz w:val="22"/>
          <w:u w:val="single"/>
          <w:lang w:val="en-US"/>
        </w:rPr>
        <w:t>is automatically established</w:t>
      </w:r>
      <w:r>
        <w:rPr>
          <w:rFonts w:ascii="Calibri" w:hAnsi="Calibri" w:cs="Calibri"/>
          <w:color w:val="auto"/>
          <w:sz w:val="22"/>
          <w:lang w:val="en-US"/>
        </w:rPr>
        <w:t xml:space="preserve">. In other words, </w:t>
      </w:r>
      <w:r w:rsidR="00942BB5" w:rsidRPr="00942BB5">
        <w:rPr>
          <w:rFonts w:ascii="Calibri" w:hAnsi="Calibri" w:cs="Calibri"/>
          <w:color w:val="auto"/>
          <w:sz w:val="22"/>
          <w:u w:val="single"/>
          <w:lang w:val="en-US"/>
        </w:rPr>
        <w:t>no</w:t>
      </w:r>
      <w:r w:rsidRPr="00942BB5">
        <w:rPr>
          <w:rFonts w:ascii="Calibri" w:hAnsi="Calibri" w:cs="Calibri"/>
          <w:color w:val="auto"/>
          <w:sz w:val="22"/>
          <w:u w:val="single"/>
          <w:lang w:val="en-US"/>
        </w:rPr>
        <w:t xml:space="preserve"> </w:t>
      </w:r>
      <w:r w:rsidRPr="00322DD2">
        <w:rPr>
          <w:rFonts w:ascii="Calibri" w:hAnsi="Calibri" w:cs="Calibri"/>
          <w:color w:val="auto"/>
          <w:sz w:val="22"/>
          <w:u w:val="single"/>
          <w:lang w:val="en-US"/>
        </w:rPr>
        <w:t>pro</w:t>
      </w:r>
      <w:r w:rsidR="00942BB5">
        <w:rPr>
          <w:rFonts w:ascii="Calibri" w:hAnsi="Calibri" w:cs="Calibri"/>
          <w:color w:val="auto"/>
          <w:sz w:val="22"/>
          <w:u w:val="single"/>
          <w:lang w:val="en-US"/>
        </w:rPr>
        <w:t>of is required</w:t>
      </w:r>
      <w:r w:rsidRPr="00322DD2">
        <w:rPr>
          <w:rFonts w:ascii="Calibri" w:hAnsi="Calibri" w:cs="Calibri"/>
          <w:color w:val="auto"/>
          <w:sz w:val="22"/>
          <w:u w:val="single"/>
          <w:lang w:val="en-US"/>
        </w:rPr>
        <w:t xml:space="preserve"> that the person intend</w:t>
      </w:r>
      <w:r w:rsidR="00942BB5">
        <w:rPr>
          <w:rFonts w:ascii="Calibri" w:hAnsi="Calibri" w:cs="Calibri"/>
          <w:color w:val="auto"/>
          <w:sz w:val="22"/>
          <w:u w:val="single"/>
          <w:lang w:val="en-US"/>
        </w:rPr>
        <w:t>s</w:t>
      </w:r>
      <w:r w:rsidRPr="00322DD2">
        <w:rPr>
          <w:rFonts w:ascii="Calibri" w:hAnsi="Calibri" w:cs="Calibri"/>
          <w:color w:val="auto"/>
          <w:sz w:val="22"/>
          <w:u w:val="single"/>
          <w:lang w:val="en-US"/>
        </w:rPr>
        <w:t xml:space="preserve"> to use the inside information to commit insider trading</w:t>
      </w:r>
      <w:r>
        <w:rPr>
          <w:rFonts w:ascii="Calibri" w:hAnsi="Calibri" w:cs="Calibri"/>
          <w:color w:val="auto"/>
          <w:sz w:val="22"/>
          <w:lang w:val="en-US"/>
        </w:rPr>
        <w:t xml:space="preserve">. </w:t>
      </w:r>
    </w:p>
    <w:p w14:paraId="5A06A834" w14:textId="445842FD" w:rsidR="0004778D" w:rsidRDefault="0004778D"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 xml:space="preserve">However, individuals can rely on (i) “Chinese wall” or (ii) “the information is known to anyone who commonly invests” as a defense to insider trading.  </w:t>
      </w:r>
    </w:p>
    <w:p w14:paraId="4E2826D4" w14:textId="42773AA8" w:rsidR="00942BB5" w:rsidRDefault="00942BB5" w:rsidP="009F73BE">
      <w:pPr>
        <w:pStyle w:val="BodyText"/>
        <w:numPr>
          <w:ilvl w:val="1"/>
          <w:numId w:val="96"/>
        </w:numPr>
        <w:jc w:val="both"/>
        <w:rPr>
          <w:rFonts w:ascii="Calibri" w:hAnsi="Calibri" w:cs="Calibri"/>
          <w:color w:val="auto"/>
          <w:sz w:val="22"/>
          <w:lang w:val="en-US"/>
        </w:rPr>
      </w:pPr>
      <w:r>
        <w:rPr>
          <w:rFonts w:ascii="Calibri" w:hAnsi="Calibri" w:cs="Calibri"/>
          <w:color w:val="auto"/>
          <w:sz w:val="22"/>
          <w:lang w:val="en-US"/>
        </w:rPr>
        <w:t xml:space="preserve">Tipping-off </w:t>
      </w:r>
      <w:r w:rsidR="0004778D">
        <w:rPr>
          <w:rFonts w:ascii="Calibri" w:hAnsi="Calibri" w:cs="Calibri"/>
          <w:color w:val="auto"/>
          <w:sz w:val="22"/>
          <w:lang w:val="en-US"/>
        </w:rPr>
        <w:t>of</w:t>
      </w:r>
      <w:r>
        <w:rPr>
          <w:rFonts w:ascii="Calibri" w:hAnsi="Calibri" w:cs="Calibri"/>
          <w:color w:val="auto"/>
          <w:sz w:val="22"/>
          <w:lang w:val="en-US"/>
        </w:rPr>
        <w:t>fence would arise when a</w:t>
      </w:r>
      <w:r w:rsidR="00322DD2">
        <w:rPr>
          <w:rFonts w:ascii="Calibri" w:hAnsi="Calibri" w:cs="Calibri"/>
          <w:color w:val="auto"/>
          <w:sz w:val="22"/>
          <w:lang w:val="en-US"/>
        </w:rPr>
        <w:t xml:space="preserve"> person with inside information </w:t>
      </w:r>
      <w:r>
        <w:rPr>
          <w:rFonts w:ascii="Calibri" w:hAnsi="Calibri" w:cs="Calibri"/>
          <w:color w:val="auto"/>
          <w:sz w:val="22"/>
          <w:lang w:val="en-US"/>
        </w:rPr>
        <w:t xml:space="preserve">communicates </w:t>
      </w:r>
      <w:r w:rsidR="00322DD2">
        <w:rPr>
          <w:rFonts w:ascii="Calibri" w:hAnsi="Calibri" w:cs="Calibri"/>
          <w:color w:val="auto"/>
          <w:sz w:val="22"/>
          <w:lang w:val="en-US"/>
        </w:rPr>
        <w:t>the inside information to another party if the former kn</w:t>
      </w:r>
      <w:r w:rsidR="001F2F10">
        <w:rPr>
          <w:rFonts w:ascii="Calibri" w:hAnsi="Calibri" w:cs="Calibri"/>
          <w:color w:val="auto"/>
          <w:sz w:val="22"/>
          <w:lang w:val="en-US"/>
        </w:rPr>
        <w:t>ows</w:t>
      </w:r>
      <w:r w:rsidR="00322DD2">
        <w:rPr>
          <w:rFonts w:ascii="Calibri" w:hAnsi="Calibri" w:cs="Calibri"/>
          <w:color w:val="auto"/>
          <w:sz w:val="22"/>
          <w:lang w:val="en-US"/>
        </w:rPr>
        <w:t xml:space="preserve"> or reasonably kn</w:t>
      </w:r>
      <w:r w:rsidR="001F2F10">
        <w:rPr>
          <w:rFonts w:ascii="Calibri" w:hAnsi="Calibri" w:cs="Calibri"/>
          <w:color w:val="auto"/>
          <w:sz w:val="22"/>
          <w:lang w:val="en-US"/>
        </w:rPr>
        <w:t>o</w:t>
      </w:r>
      <w:r w:rsidR="00322DD2">
        <w:rPr>
          <w:rFonts w:ascii="Calibri" w:hAnsi="Calibri" w:cs="Calibri"/>
          <w:color w:val="auto"/>
          <w:sz w:val="22"/>
          <w:lang w:val="en-US"/>
        </w:rPr>
        <w:t>w</w:t>
      </w:r>
      <w:r w:rsidR="001F2F10">
        <w:rPr>
          <w:rFonts w:ascii="Calibri" w:hAnsi="Calibri" w:cs="Calibri"/>
          <w:color w:val="auto"/>
          <w:sz w:val="22"/>
          <w:lang w:val="en-US"/>
        </w:rPr>
        <w:t>s</w:t>
      </w:r>
      <w:r w:rsidR="00322DD2">
        <w:rPr>
          <w:rFonts w:ascii="Calibri" w:hAnsi="Calibri" w:cs="Calibri"/>
          <w:color w:val="auto"/>
          <w:sz w:val="22"/>
          <w:lang w:val="en-US"/>
        </w:rPr>
        <w:t xml:space="preserve"> the latter would likely to deal in the securities. </w:t>
      </w:r>
    </w:p>
    <w:p w14:paraId="2BA9531D" w14:textId="45F2C59C" w:rsidR="00D15F13" w:rsidRDefault="00D15F13" w:rsidP="009F73BE">
      <w:pPr>
        <w:pStyle w:val="BodyText"/>
        <w:numPr>
          <w:ilvl w:val="0"/>
          <w:numId w:val="96"/>
        </w:numPr>
        <w:jc w:val="both"/>
        <w:rPr>
          <w:rFonts w:ascii="Calibri" w:hAnsi="Calibri" w:cs="Calibri"/>
          <w:color w:val="auto"/>
          <w:sz w:val="22"/>
          <w:lang w:val="en-US"/>
        </w:rPr>
      </w:pPr>
      <w:r w:rsidRPr="00D15F13">
        <w:rPr>
          <w:rFonts w:ascii="Calibri" w:hAnsi="Calibri" w:cs="Calibri"/>
          <w:b/>
          <w:bCs/>
          <w:color w:val="auto"/>
          <w:sz w:val="22"/>
          <w:lang w:val="en-US"/>
        </w:rPr>
        <w:t>Bucketing (S201A SFA)</w:t>
      </w:r>
      <w:r>
        <w:rPr>
          <w:rFonts w:ascii="Calibri" w:hAnsi="Calibri" w:cs="Calibri"/>
          <w:color w:val="auto"/>
          <w:sz w:val="22"/>
          <w:lang w:val="en-US"/>
        </w:rPr>
        <w:t xml:space="preserve">: Usually occurs in derivative contracts when the representative takes an opposite side of a customer’s order in his own account.   </w:t>
      </w:r>
    </w:p>
    <w:p w14:paraId="7BC1FD70" w14:textId="5DC1525A" w:rsidR="00D15F13" w:rsidRDefault="00D15F13" w:rsidP="009F73BE">
      <w:pPr>
        <w:pStyle w:val="BodyText"/>
        <w:numPr>
          <w:ilvl w:val="0"/>
          <w:numId w:val="96"/>
        </w:numPr>
        <w:jc w:val="both"/>
        <w:rPr>
          <w:rFonts w:ascii="Calibri" w:hAnsi="Calibri" w:cs="Calibri"/>
          <w:color w:val="auto"/>
          <w:sz w:val="22"/>
          <w:lang w:val="en-US"/>
        </w:rPr>
      </w:pPr>
      <w:r>
        <w:rPr>
          <w:rFonts w:ascii="Calibri" w:hAnsi="Calibri" w:cs="Calibri"/>
          <w:b/>
          <w:bCs/>
          <w:color w:val="auto"/>
          <w:sz w:val="22"/>
          <w:lang w:val="en-US"/>
        </w:rPr>
        <w:lastRenderedPageBreak/>
        <w:t>Pre</w:t>
      </w:r>
      <w:r w:rsidRPr="00D15F13">
        <w:rPr>
          <w:rFonts w:ascii="Calibri" w:hAnsi="Calibri" w:cs="Calibri"/>
          <w:b/>
          <w:bCs/>
          <w:color w:val="auto"/>
          <w:sz w:val="22"/>
          <w:lang w:val="en-US"/>
        </w:rPr>
        <w:t>-arranged trades</w:t>
      </w:r>
      <w:r>
        <w:rPr>
          <w:rFonts w:ascii="Calibri" w:hAnsi="Calibri" w:cs="Calibri"/>
          <w:b/>
          <w:bCs/>
          <w:color w:val="auto"/>
          <w:sz w:val="22"/>
          <w:lang w:val="en-US"/>
        </w:rPr>
        <w:t xml:space="preserve"> (SGX-DT Trading Rules)</w:t>
      </w:r>
      <w:r>
        <w:rPr>
          <w:rFonts w:ascii="Calibri" w:hAnsi="Calibri" w:cs="Calibri"/>
          <w:color w:val="auto"/>
          <w:sz w:val="22"/>
          <w:lang w:val="en-US"/>
        </w:rPr>
        <w:t xml:space="preserve">: Any pre-arranged trades outside the system are prohibited. </w:t>
      </w:r>
    </w:p>
    <w:p w14:paraId="6905C791" w14:textId="497E042A" w:rsidR="00D15F13" w:rsidRPr="00942BB5" w:rsidRDefault="00D15F13" w:rsidP="009F73BE">
      <w:pPr>
        <w:pStyle w:val="BodyText"/>
        <w:numPr>
          <w:ilvl w:val="0"/>
          <w:numId w:val="96"/>
        </w:numPr>
        <w:jc w:val="both"/>
        <w:rPr>
          <w:rFonts w:ascii="Calibri" w:hAnsi="Calibri" w:cs="Calibri"/>
          <w:color w:val="auto"/>
          <w:sz w:val="22"/>
          <w:lang w:val="en-US"/>
        </w:rPr>
      </w:pPr>
      <w:r>
        <w:rPr>
          <w:rFonts w:ascii="Calibri" w:hAnsi="Calibri" w:cs="Calibri"/>
          <w:b/>
          <w:bCs/>
          <w:color w:val="auto"/>
          <w:sz w:val="22"/>
          <w:lang w:val="en-US"/>
        </w:rPr>
        <w:t>Front Running (SGX-DT Trading Rules)</w:t>
      </w:r>
      <w:r>
        <w:rPr>
          <w:rFonts w:ascii="Calibri" w:hAnsi="Calibri" w:cs="Calibri"/>
          <w:color w:val="auto"/>
          <w:sz w:val="22"/>
          <w:lang w:val="en-US"/>
        </w:rPr>
        <w:t xml:space="preserve">: Representatives are prohibited from prioritizing their own trading over customer’s orders. </w:t>
      </w:r>
    </w:p>
    <w:p w14:paraId="74046E3B" w14:textId="17587A66" w:rsidR="00D15F13" w:rsidRPr="00D15F13" w:rsidRDefault="00D15F13" w:rsidP="009F73BE">
      <w:pPr>
        <w:pStyle w:val="BodyText"/>
        <w:numPr>
          <w:ilvl w:val="0"/>
          <w:numId w:val="96"/>
        </w:numPr>
        <w:jc w:val="both"/>
        <w:rPr>
          <w:rFonts w:ascii="Calibri" w:hAnsi="Calibri" w:cs="Calibri"/>
          <w:color w:val="auto"/>
          <w:sz w:val="22"/>
          <w:lang w:val="en-US"/>
        </w:rPr>
      </w:pPr>
      <w:r>
        <w:rPr>
          <w:rFonts w:ascii="Calibri" w:hAnsi="Calibri" w:cs="Calibri"/>
          <w:b/>
          <w:bCs/>
          <w:color w:val="auto"/>
          <w:sz w:val="22"/>
          <w:lang w:val="en-US"/>
        </w:rPr>
        <w:t>Cross</w:t>
      </w:r>
      <w:r w:rsidRPr="00D15F13">
        <w:rPr>
          <w:rFonts w:ascii="Calibri" w:hAnsi="Calibri" w:cs="Calibri"/>
          <w:b/>
          <w:bCs/>
          <w:color w:val="auto"/>
          <w:sz w:val="22"/>
          <w:lang w:val="en-US"/>
        </w:rPr>
        <w:t xml:space="preserve"> trades</w:t>
      </w:r>
      <w:r>
        <w:rPr>
          <w:rFonts w:ascii="Calibri" w:hAnsi="Calibri" w:cs="Calibri"/>
          <w:b/>
          <w:bCs/>
          <w:color w:val="auto"/>
          <w:sz w:val="22"/>
          <w:lang w:val="en-US"/>
        </w:rPr>
        <w:t xml:space="preserve"> (SGX-DT Trading Rules)</w:t>
      </w:r>
      <w:r>
        <w:rPr>
          <w:rFonts w:ascii="Calibri" w:hAnsi="Calibri" w:cs="Calibri"/>
          <w:color w:val="auto"/>
          <w:sz w:val="22"/>
          <w:lang w:val="en-US"/>
        </w:rPr>
        <w:t xml:space="preserve">: If representatives receive buy and sell orders from different customers at the same time and price, they are not allowed to match/cross the 2 orders internally. Instead, they should enter the order which has the better price than the last traded price. </w:t>
      </w:r>
    </w:p>
    <w:p w14:paraId="7169E401" w14:textId="0E2421FF" w:rsidR="00F05A2E" w:rsidRPr="00B52D53" w:rsidRDefault="00F05A2E" w:rsidP="009F73BE">
      <w:pPr>
        <w:pStyle w:val="Heading3"/>
        <w:numPr>
          <w:ilvl w:val="0"/>
          <w:numId w:val="102"/>
        </w:numPr>
        <w:jc w:val="both"/>
        <w:rPr>
          <w:rFonts w:ascii="Calibri" w:hAnsi="Calibri" w:cs="Calibri"/>
          <w:color w:val="auto"/>
          <w:lang w:val="en-US"/>
        </w:rPr>
      </w:pPr>
      <w:r>
        <w:rPr>
          <w:rFonts w:ascii="Calibri" w:hAnsi="Calibri" w:cs="Calibri"/>
          <w:color w:val="auto"/>
          <w:lang w:val="en-US"/>
        </w:rPr>
        <w:t>Other Market Conducts</w:t>
      </w:r>
    </w:p>
    <w:p w14:paraId="66E69B80" w14:textId="5F16579D" w:rsidR="00F05A2E" w:rsidRPr="00F05A2E" w:rsidRDefault="0004778D" w:rsidP="009F73BE">
      <w:pPr>
        <w:pStyle w:val="BodyText"/>
        <w:numPr>
          <w:ilvl w:val="0"/>
          <w:numId w:val="96"/>
        </w:numPr>
        <w:jc w:val="both"/>
        <w:rPr>
          <w:rFonts w:ascii="Calibri" w:hAnsi="Calibri" w:cs="Calibri"/>
          <w:b/>
          <w:bCs/>
          <w:color w:val="auto"/>
          <w:sz w:val="22"/>
          <w:lang w:val="en-US"/>
        </w:rPr>
      </w:pPr>
      <w:r w:rsidRPr="0004778D">
        <w:rPr>
          <w:rFonts w:ascii="Calibri" w:hAnsi="Calibri" w:cs="Calibri"/>
          <w:b/>
          <w:bCs/>
          <w:color w:val="auto"/>
          <w:sz w:val="22"/>
          <w:lang w:val="en-US"/>
        </w:rPr>
        <w:t>Short-Selling</w:t>
      </w:r>
      <w:r>
        <w:rPr>
          <w:rFonts w:ascii="Calibri" w:hAnsi="Calibri" w:cs="Calibri"/>
          <w:color w:val="auto"/>
          <w:sz w:val="22"/>
          <w:lang w:val="en-US"/>
        </w:rPr>
        <w:t xml:space="preserve">: </w:t>
      </w:r>
    </w:p>
    <w:p w14:paraId="36E6AD5E" w14:textId="16E12EC5" w:rsidR="00322DD2" w:rsidRPr="00F05A2E" w:rsidRDefault="00F05A2E"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 xml:space="preserve">To counter naked short selling (aka uncovered short selling, where there are no plans to buy back whatever has been shorted), CDP would buy securities on behalf of short sellers and charge additional penalty for short sellers who failed to deliver the securities. </w:t>
      </w:r>
    </w:p>
    <w:p w14:paraId="13DDC541" w14:textId="359C8AD4" w:rsidR="00F05A2E" w:rsidRPr="00F05A2E" w:rsidRDefault="00F05A2E"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 xml:space="preserve">All market participants are required to disclose their short positions and short sell orders (separate from their normal sell orders) to SGX-ST. </w:t>
      </w:r>
    </w:p>
    <w:p w14:paraId="0B50CB86" w14:textId="08E6607E" w:rsidR="00F05A2E" w:rsidRPr="0004778D" w:rsidRDefault="00F05A2E"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Any short positions above specified threshold (i.e., Lower of 0.2% of total issued shares and $2M) are required to be reported to MAS within 2 business days after each Friday.</w:t>
      </w:r>
    </w:p>
    <w:p w14:paraId="32ED9867" w14:textId="09CCABD3" w:rsidR="00223652" w:rsidRPr="00B52D53" w:rsidRDefault="0067008E" w:rsidP="009F73BE">
      <w:pPr>
        <w:pStyle w:val="Heading3"/>
        <w:numPr>
          <w:ilvl w:val="0"/>
          <w:numId w:val="102"/>
        </w:numPr>
        <w:jc w:val="both"/>
        <w:rPr>
          <w:rFonts w:ascii="Calibri" w:hAnsi="Calibri" w:cs="Calibri"/>
          <w:color w:val="auto"/>
          <w:lang w:val="en-US"/>
        </w:rPr>
      </w:pPr>
      <w:r>
        <w:rPr>
          <w:rFonts w:ascii="Calibri" w:hAnsi="Calibri" w:cs="Calibri"/>
          <w:color w:val="auto"/>
          <w:lang w:val="en-US"/>
        </w:rPr>
        <w:t>Vigilant Practices to combat Market Misconduct</w:t>
      </w:r>
      <w:r w:rsidR="00223652">
        <w:rPr>
          <w:rFonts w:ascii="Calibri" w:hAnsi="Calibri" w:cs="Calibri"/>
          <w:color w:val="auto"/>
          <w:lang w:val="en-US"/>
        </w:rPr>
        <w:t>s</w:t>
      </w:r>
    </w:p>
    <w:p w14:paraId="5A663816" w14:textId="0BE9EE54" w:rsidR="0067008E" w:rsidRPr="0067008E" w:rsidRDefault="00B72D51" w:rsidP="009F73BE">
      <w:pPr>
        <w:pStyle w:val="BodyText"/>
        <w:numPr>
          <w:ilvl w:val="0"/>
          <w:numId w:val="96"/>
        </w:numPr>
        <w:jc w:val="both"/>
        <w:rPr>
          <w:rFonts w:ascii="Calibri" w:hAnsi="Calibri" w:cs="Calibri"/>
          <w:b/>
          <w:bCs/>
          <w:color w:val="auto"/>
          <w:sz w:val="22"/>
          <w:lang w:val="en-US"/>
        </w:rPr>
      </w:pPr>
      <w:r w:rsidRPr="00D72EF1">
        <w:rPr>
          <w:rFonts w:ascii="Calibri" w:hAnsi="Calibri" w:cs="Calibri"/>
          <w:b/>
          <w:bCs/>
          <w:color w:val="auto"/>
          <w:sz w:val="22"/>
          <w:lang w:val="en-US"/>
        </w:rPr>
        <w:t>LFMC</w:t>
      </w:r>
      <w:r w:rsidR="0067008E" w:rsidRPr="00D72EF1">
        <w:rPr>
          <w:rFonts w:ascii="Calibri" w:hAnsi="Calibri" w:cs="Calibri"/>
          <w:b/>
          <w:bCs/>
          <w:color w:val="auto"/>
          <w:sz w:val="22"/>
          <w:lang w:val="en-US"/>
        </w:rPr>
        <w:t>s</w:t>
      </w:r>
      <w:r w:rsidR="0067008E">
        <w:rPr>
          <w:rFonts w:ascii="Calibri" w:hAnsi="Calibri" w:cs="Calibri"/>
          <w:color w:val="auto"/>
          <w:sz w:val="22"/>
          <w:lang w:val="en-US"/>
        </w:rPr>
        <w:t xml:space="preserve"> should not blindly accept instructions from customers at face value when an unusual order is received. Instead, it should conduct the following due diligence processes to obtain reasonable assurance –</w:t>
      </w:r>
    </w:p>
    <w:p w14:paraId="0C351CD1" w14:textId="24483BC2" w:rsidR="0067008E" w:rsidRPr="0067008E" w:rsidRDefault="0067008E" w:rsidP="009F73BE">
      <w:pPr>
        <w:pStyle w:val="BodyText"/>
        <w:numPr>
          <w:ilvl w:val="1"/>
          <w:numId w:val="96"/>
        </w:numPr>
        <w:jc w:val="both"/>
        <w:rPr>
          <w:rFonts w:ascii="Calibri" w:hAnsi="Calibri" w:cs="Calibri"/>
          <w:b/>
          <w:bCs/>
          <w:color w:val="auto"/>
          <w:sz w:val="22"/>
          <w:lang w:val="en-US"/>
        </w:rPr>
      </w:pPr>
      <w:r w:rsidRPr="00FE3E47">
        <w:rPr>
          <w:rFonts w:ascii="Calibri" w:hAnsi="Calibri" w:cs="Calibri"/>
          <w:color w:val="auto"/>
          <w:sz w:val="22"/>
          <w:u w:val="single"/>
          <w:lang w:val="en-US"/>
        </w:rPr>
        <w:t>Review the history</w:t>
      </w:r>
      <w:r>
        <w:rPr>
          <w:rFonts w:ascii="Calibri" w:hAnsi="Calibri" w:cs="Calibri"/>
          <w:color w:val="auto"/>
          <w:sz w:val="22"/>
          <w:lang w:val="en-US"/>
        </w:rPr>
        <w:t xml:space="preserve"> or recent trading of the customer to ensure consistency</w:t>
      </w:r>
      <w:r w:rsidR="00FE3E47">
        <w:rPr>
          <w:rFonts w:ascii="Calibri" w:hAnsi="Calibri" w:cs="Calibri"/>
          <w:color w:val="auto"/>
          <w:sz w:val="22"/>
          <w:lang w:val="en-US"/>
        </w:rPr>
        <w:t>.</w:t>
      </w:r>
    </w:p>
    <w:p w14:paraId="65412BE1" w14:textId="56FEB4E8" w:rsidR="00FE3E47" w:rsidRPr="00FE3E47" w:rsidRDefault="0067008E"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 xml:space="preserve">Consider whether </w:t>
      </w:r>
      <w:r w:rsidRPr="00FE3E47">
        <w:rPr>
          <w:rFonts w:ascii="Calibri" w:hAnsi="Calibri" w:cs="Calibri"/>
          <w:color w:val="auto"/>
          <w:sz w:val="22"/>
          <w:u w:val="single"/>
          <w:lang w:val="en-US"/>
        </w:rPr>
        <w:t xml:space="preserve">proposed transactions are </w:t>
      </w:r>
      <w:r w:rsidR="00FE3E47" w:rsidRPr="00FE3E47">
        <w:rPr>
          <w:rFonts w:ascii="Calibri" w:hAnsi="Calibri" w:cs="Calibri"/>
          <w:color w:val="auto"/>
          <w:sz w:val="22"/>
          <w:u w:val="single"/>
          <w:lang w:val="en-US"/>
        </w:rPr>
        <w:t xml:space="preserve">suspicious or </w:t>
      </w:r>
      <w:r w:rsidRPr="00FE3E47">
        <w:rPr>
          <w:rFonts w:ascii="Calibri" w:hAnsi="Calibri" w:cs="Calibri"/>
          <w:color w:val="auto"/>
          <w:sz w:val="22"/>
          <w:u w:val="single"/>
          <w:lang w:val="en-US"/>
        </w:rPr>
        <w:t>manipulative</w:t>
      </w:r>
      <w:r w:rsidR="00FE3E47">
        <w:rPr>
          <w:rFonts w:ascii="Calibri" w:hAnsi="Calibri" w:cs="Calibri"/>
          <w:color w:val="auto"/>
          <w:sz w:val="22"/>
          <w:lang w:val="en-US"/>
        </w:rPr>
        <w:t>.</w:t>
      </w:r>
      <w:r>
        <w:rPr>
          <w:rFonts w:ascii="Calibri" w:hAnsi="Calibri" w:cs="Calibri"/>
          <w:color w:val="auto"/>
          <w:sz w:val="22"/>
          <w:lang w:val="en-US"/>
        </w:rPr>
        <w:t xml:space="preserve"> </w:t>
      </w:r>
      <w:r w:rsidR="00B72D51">
        <w:rPr>
          <w:rFonts w:ascii="Calibri" w:hAnsi="Calibri" w:cs="Calibri"/>
          <w:color w:val="auto"/>
          <w:sz w:val="22"/>
          <w:lang w:val="en-US"/>
        </w:rPr>
        <w:t>LFMC</w:t>
      </w:r>
      <w:r w:rsidR="00FE3E47">
        <w:rPr>
          <w:rFonts w:ascii="Calibri" w:hAnsi="Calibri" w:cs="Calibri"/>
          <w:color w:val="auto"/>
          <w:sz w:val="22"/>
          <w:lang w:val="en-US"/>
        </w:rPr>
        <w:t xml:space="preserve">s are required to </w:t>
      </w:r>
      <w:r w:rsidR="00FE3E47" w:rsidRPr="00FE3E47">
        <w:rPr>
          <w:rFonts w:ascii="Calibri" w:hAnsi="Calibri" w:cs="Calibri"/>
          <w:color w:val="auto"/>
          <w:sz w:val="22"/>
          <w:u w:val="single"/>
          <w:lang w:val="en-US"/>
        </w:rPr>
        <w:t>report any suspicious activities within 5 working days</w:t>
      </w:r>
      <w:r w:rsidR="00FE3E47">
        <w:rPr>
          <w:rFonts w:ascii="Calibri" w:hAnsi="Calibri" w:cs="Calibri"/>
          <w:color w:val="auto"/>
          <w:sz w:val="22"/>
          <w:lang w:val="en-US"/>
        </w:rPr>
        <w:t xml:space="preserve">. </w:t>
      </w:r>
    </w:p>
    <w:p w14:paraId="1127AAFE" w14:textId="1976160D" w:rsidR="00FE3E47" w:rsidRPr="00FE3E47" w:rsidRDefault="00FE3E47"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 xml:space="preserve">Consider whether the </w:t>
      </w:r>
      <w:r w:rsidRPr="00FE3E47">
        <w:rPr>
          <w:rFonts w:ascii="Calibri" w:hAnsi="Calibri" w:cs="Calibri"/>
          <w:color w:val="auto"/>
          <w:sz w:val="22"/>
          <w:u w:val="single"/>
          <w:lang w:val="en-US"/>
        </w:rPr>
        <w:t>multiple or large orders give rise to false trading</w:t>
      </w:r>
      <w:r>
        <w:rPr>
          <w:rFonts w:ascii="Calibri" w:hAnsi="Calibri" w:cs="Calibri"/>
          <w:color w:val="auto"/>
          <w:sz w:val="22"/>
          <w:lang w:val="en-US"/>
        </w:rPr>
        <w:t>.</w:t>
      </w:r>
    </w:p>
    <w:p w14:paraId="1A06E6B4" w14:textId="20CAA704" w:rsidR="00FE3E47" w:rsidRPr="00FE3E47" w:rsidRDefault="00FE3E47"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 xml:space="preserve">Evaluate the </w:t>
      </w:r>
      <w:r w:rsidRPr="00FE3E47">
        <w:rPr>
          <w:rFonts w:ascii="Calibri" w:hAnsi="Calibri" w:cs="Calibri"/>
          <w:color w:val="auto"/>
          <w:sz w:val="22"/>
          <w:u w:val="single"/>
          <w:lang w:val="en-US"/>
        </w:rPr>
        <w:t>timing</w:t>
      </w:r>
      <w:r>
        <w:rPr>
          <w:rFonts w:ascii="Calibri" w:hAnsi="Calibri" w:cs="Calibri"/>
          <w:color w:val="auto"/>
          <w:sz w:val="22"/>
          <w:lang w:val="en-US"/>
        </w:rPr>
        <w:t xml:space="preserve"> of those transactions (e.g., transactions at or near the close of trading day might be manipulative).  </w:t>
      </w:r>
    </w:p>
    <w:p w14:paraId="36A334CA" w14:textId="1BDCA602" w:rsidR="00FE3E47" w:rsidRPr="00FE3E47" w:rsidRDefault="00FE3E47"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Repeated removal of orders before execution may indicate no genuine interest but to entice markets.</w:t>
      </w:r>
    </w:p>
    <w:p w14:paraId="7DB0F186" w14:textId="7BFBDB02" w:rsidR="00FE3E47" w:rsidRPr="00FE3E47" w:rsidRDefault="00FE3E47" w:rsidP="009F73BE">
      <w:pPr>
        <w:pStyle w:val="BodyText"/>
        <w:numPr>
          <w:ilvl w:val="1"/>
          <w:numId w:val="96"/>
        </w:numPr>
        <w:jc w:val="both"/>
        <w:rPr>
          <w:rFonts w:ascii="Calibri" w:hAnsi="Calibri" w:cs="Calibri"/>
          <w:b/>
          <w:bCs/>
          <w:color w:val="auto"/>
          <w:sz w:val="22"/>
          <w:lang w:val="en-US"/>
        </w:rPr>
      </w:pPr>
      <w:r>
        <w:rPr>
          <w:rFonts w:ascii="Calibri" w:hAnsi="Calibri" w:cs="Calibri"/>
          <w:color w:val="auto"/>
          <w:sz w:val="22"/>
          <w:lang w:val="en-US"/>
        </w:rPr>
        <w:t xml:space="preserve">Unrealistic buy orders above market price may signal pump and dump strategy. </w:t>
      </w:r>
    </w:p>
    <w:p w14:paraId="269EF5B8" w14:textId="5A168FF3" w:rsidR="00223652" w:rsidRPr="00427460" w:rsidRDefault="00FE3E47" w:rsidP="009F73BE">
      <w:pPr>
        <w:pStyle w:val="BodyText"/>
        <w:numPr>
          <w:ilvl w:val="0"/>
          <w:numId w:val="96"/>
        </w:numPr>
        <w:jc w:val="both"/>
        <w:rPr>
          <w:lang w:val="en-US"/>
        </w:rPr>
      </w:pPr>
      <w:r w:rsidRPr="00D72EF1">
        <w:rPr>
          <w:rFonts w:ascii="Calibri" w:hAnsi="Calibri" w:cs="Calibri"/>
          <w:b/>
          <w:bCs/>
          <w:color w:val="auto"/>
          <w:sz w:val="22"/>
          <w:lang w:val="en-US"/>
        </w:rPr>
        <w:t xml:space="preserve">SGX </w:t>
      </w:r>
      <w:r w:rsidRPr="00D15F13">
        <w:rPr>
          <w:rFonts w:ascii="Calibri" w:hAnsi="Calibri" w:cs="Calibri"/>
          <w:color w:val="auto"/>
          <w:sz w:val="22"/>
          <w:lang w:val="en-US"/>
        </w:rPr>
        <w:t xml:space="preserve">has regulatory tools, e.g., </w:t>
      </w:r>
      <w:r w:rsidR="00D15F13" w:rsidRPr="00D15F13">
        <w:rPr>
          <w:rFonts w:ascii="Calibri" w:hAnsi="Calibri" w:cs="Calibri"/>
          <w:color w:val="auto"/>
          <w:sz w:val="22"/>
          <w:lang w:val="en-US"/>
        </w:rPr>
        <w:t xml:space="preserve">(i) </w:t>
      </w:r>
      <w:r w:rsidRPr="00D15F13">
        <w:rPr>
          <w:rFonts w:ascii="Calibri" w:hAnsi="Calibri" w:cs="Calibri"/>
          <w:color w:val="auto"/>
          <w:sz w:val="22"/>
          <w:lang w:val="en-US"/>
        </w:rPr>
        <w:t xml:space="preserve">“Public Query”, </w:t>
      </w:r>
      <w:r w:rsidR="00D15F13" w:rsidRPr="00D15F13">
        <w:rPr>
          <w:rFonts w:ascii="Calibri" w:hAnsi="Calibri" w:cs="Calibri"/>
          <w:color w:val="auto"/>
          <w:sz w:val="22"/>
          <w:lang w:val="en-US"/>
        </w:rPr>
        <w:t xml:space="preserve">(ii) </w:t>
      </w:r>
      <w:r w:rsidRPr="00D15F13">
        <w:rPr>
          <w:rFonts w:ascii="Calibri" w:hAnsi="Calibri" w:cs="Calibri"/>
          <w:color w:val="auto"/>
          <w:sz w:val="22"/>
          <w:lang w:val="en-US"/>
        </w:rPr>
        <w:t xml:space="preserve">“Trade with Caution” announcements, </w:t>
      </w:r>
      <w:r w:rsidR="00D15F13" w:rsidRPr="00D15F13">
        <w:rPr>
          <w:rFonts w:ascii="Calibri" w:hAnsi="Calibri" w:cs="Calibri"/>
          <w:color w:val="auto"/>
          <w:sz w:val="22"/>
          <w:lang w:val="en-US"/>
        </w:rPr>
        <w:t xml:space="preserve">(iii) </w:t>
      </w:r>
      <w:r w:rsidRPr="00D15F13">
        <w:rPr>
          <w:rFonts w:ascii="Calibri" w:hAnsi="Calibri" w:cs="Calibri"/>
          <w:color w:val="auto"/>
          <w:sz w:val="22"/>
          <w:lang w:val="en-US"/>
        </w:rPr>
        <w:t>Trading halts</w:t>
      </w:r>
      <w:r w:rsidR="003421CA">
        <w:rPr>
          <w:rFonts w:ascii="Calibri" w:hAnsi="Calibri" w:cs="Calibri"/>
          <w:color w:val="auto"/>
          <w:sz w:val="22"/>
          <w:lang w:val="en-US"/>
        </w:rPr>
        <w:t>/</w:t>
      </w:r>
      <w:r w:rsidRPr="00D15F13">
        <w:rPr>
          <w:rFonts w:ascii="Calibri" w:hAnsi="Calibri" w:cs="Calibri"/>
          <w:color w:val="auto"/>
          <w:sz w:val="22"/>
          <w:lang w:val="en-US"/>
        </w:rPr>
        <w:t>suspensions</w:t>
      </w:r>
      <w:r w:rsidR="003421CA">
        <w:rPr>
          <w:rFonts w:ascii="Calibri" w:hAnsi="Calibri" w:cs="Calibri"/>
          <w:color w:val="auto"/>
          <w:sz w:val="22"/>
          <w:lang w:val="en-US"/>
        </w:rPr>
        <w:t>/</w:t>
      </w:r>
      <w:r w:rsidRPr="00D15F13">
        <w:rPr>
          <w:rFonts w:ascii="Calibri" w:hAnsi="Calibri" w:cs="Calibri"/>
          <w:color w:val="auto"/>
          <w:sz w:val="22"/>
          <w:lang w:val="en-US"/>
        </w:rPr>
        <w:t xml:space="preserve">circuit breakers (i.e., trading within assigned price bands), </w:t>
      </w:r>
      <w:r w:rsidR="00D15F13" w:rsidRPr="00D15F13">
        <w:rPr>
          <w:rFonts w:ascii="Calibri" w:hAnsi="Calibri" w:cs="Calibri"/>
          <w:color w:val="auto"/>
          <w:sz w:val="22"/>
          <w:lang w:val="en-US"/>
        </w:rPr>
        <w:t xml:space="preserve">(iv) “Designated Instruments”, (v) Declaring a corner </w:t>
      </w:r>
      <w:r w:rsidRPr="00D15F13">
        <w:rPr>
          <w:rFonts w:ascii="Calibri" w:hAnsi="Calibri" w:cs="Calibri"/>
          <w:color w:val="auto"/>
          <w:sz w:val="22"/>
          <w:lang w:val="en-US"/>
        </w:rPr>
        <w:t xml:space="preserve">to regulate </w:t>
      </w:r>
      <w:r w:rsidR="00D15F13" w:rsidRPr="00D15F13">
        <w:rPr>
          <w:rFonts w:ascii="Calibri" w:hAnsi="Calibri" w:cs="Calibri"/>
          <w:color w:val="auto"/>
          <w:sz w:val="22"/>
          <w:lang w:val="en-US"/>
        </w:rPr>
        <w:t xml:space="preserve">trading </w:t>
      </w:r>
      <w:r w:rsidRPr="00D15F13">
        <w:rPr>
          <w:rFonts w:ascii="Calibri" w:hAnsi="Calibri" w:cs="Calibri"/>
          <w:color w:val="auto"/>
          <w:sz w:val="22"/>
          <w:lang w:val="en-US"/>
        </w:rPr>
        <w:t xml:space="preserve">activities. </w:t>
      </w:r>
    </w:p>
    <w:p w14:paraId="463175BD" w14:textId="77777777" w:rsidR="00427460" w:rsidRPr="00427460" w:rsidRDefault="00427460" w:rsidP="00427460">
      <w:pPr>
        <w:pStyle w:val="BodyText"/>
        <w:ind w:left="360"/>
        <w:jc w:val="both"/>
        <w:rPr>
          <w:lang w:val="en-US"/>
        </w:rPr>
      </w:pPr>
    </w:p>
    <w:p w14:paraId="69BBE673" w14:textId="6FB1076D" w:rsidR="00427460" w:rsidRPr="00B52D53" w:rsidRDefault="00427460" w:rsidP="009F73BE">
      <w:pPr>
        <w:pStyle w:val="Heading3"/>
        <w:numPr>
          <w:ilvl w:val="0"/>
          <w:numId w:val="102"/>
        </w:numPr>
        <w:jc w:val="both"/>
        <w:rPr>
          <w:rFonts w:ascii="Calibri" w:hAnsi="Calibri" w:cs="Calibri"/>
          <w:color w:val="auto"/>
          <w:lang w:val="en-US"/>
        </w:rPr>
      </w:pPr>
      <w:r>
        <w:rPr>
          <w:rFonts w:ascii="Calibri" w:hAnsi="Calibri" w:cs="Calibri"/>
          <w:color w:val="auto"/>
          <w:lang w:val="en-US"/>
        </w:rPr>
        <w:t>Penalties</w:t>
      </w:r>
    </w:p>
    <w:p w14:paraId="04EABC87" w14:textId="79D677B4" w:rsidR="00427460" w:rsidRPr="00CC60D3" w:rsidRDefault="00CC60D3" w:rsidP="009F73BE">
      <w:pPr>
        <w:pStyle w:val="BodyText"/>
        <w:numPr>
          <w:ilvl w:val="0"/>
          <w:numId w:val="96"/>
        </w:numPr>
        <w:jc w:val="both"/>
        <w:rPr>
          <w:rFonts w:ascii="Calibri" w:hAnsi="Calibri" w:cs="Calibri"/>
          <w:color w:val="auto"/>
          <w:sz w:val="22"/>
          <w:lang w:val="en-US"/>
        </w:rPr>
      </w:pPr>
      <w:r w:rsidRPr="00CC60D3">
        <w:rPr>
          <w:rFonts w:ascii="Calibri" w:hAnsi="Calibri" w:cs="Calibri"/>
          <w:color w:val="auto"/>
          <w:sz w:val="22"/>
          <w:lang w:val="en-US"/>
        </w:rPr>
        <w:t xml:space="preserve">Any </w:t>
      </w:r>
      <w:r w:rsidRPr="00337D0E">
        <w:rPr>
          <w:rFonts w:ascii="Calibri" w:hAnsi="Calibri" w:cs="Calibri"/>
          <w:color w:val="auto"/>
          <w:sz w:val="22"/>
          <w:u w:val="single"/>
          <w:lang w:val="en-US"/>
        </w:rPr>
        <w:t>contravention will result in criminal and civil penalties</w:t>
      </w:r>
      <w:r>
        <w:rPr>
          <w:rFonts w:ascii="Calibri" w:hAnsi="Calibri" w:cs="Calibri"/>
          <w:color w:val="auto"/>
          <w:sz w:val="22"/>
          <w:lang w:val="en-US"/>
        </w:rPr>
        <w:t xml:space="preserve"> (between $100K and </w:t>
      </w:r>
      <w:proofErr w:type="gramStart"/>
      <w:r>
        <w:rPr>
          <w:rFonts w:ascii="Calibri" w:hAnsi="Calibri" w:cs="Calibri"/>
          <w:color w:val="auto"/>
          <w:sz w:val="22"/>
          <w:lang w:val="en-US"/>
        </w:rPr>
        <w:t>max(</w:t>
      </w:r>
      <w:proofErr w:type="gramEnd"/>
      <w:r>
        <w:rPr>
          <w:rFonts w:ascii="Calibri" w:hAnsi="Calibri" w:cs="Calibri"/>
          <w:color w:val="auto"/>
          <w:sz w:val="22"/>
          <w:lang w:val="en-US"/>
        </w:rPr>
        <w:t xml:space="preserve">3 times the amount of profit, $2M), </w:t>
      </w:r>
      <w:r w:rsidRPr="00337D0E">
        <w:rPr>
          <w:rFonts w:ascii="Calibri" w:hAnsi="Calibri" w:cs="Calibri"/>
          <w:color w:val="auto"/>
          <w:sz w:val="22"/>
          <w:u w:val="single"/>
          <w:lang w:val="en-US"/>
        </w:rPr>
        <w:t>civil liabilities, financial and reputational loss or license suspension</w:t>
      </w:r>
      <w:r>
        <w:rPr>
          <w:rFonts w:ascii="Calibri" w:hAnsi="Calibri" w:cs="Calibri"/>
          <w:color w:val="auto"/>
          <w:sz w:val="22"/>
          <w:lang w:val="en-US"/>
        </w:rPr>
        <w:t xml:space="preserve">. Note that both the individuals and corporation (if all the directors connive to engage in the offence) can be liable. </w:t>
      </w:r>
    </w:p>
    <w:p w14:paraId="6884A843" w14:textId="39CC8806" w:rsidR="00427460" w:rsidRPr="0067008E" w:rsidRDefault="00427460" w:rsidP="009F73BE">
      <w:pPr>
        <w:pStyle w:val="BodyText"/>
        <w:numPr>
          <w:ilvl w:val="0"/>
          <w:numId w:val="96"/>
        </w:numPr>
        <w:jc w:val="both"/>
        <w:rPr>
          <w:rFonts w:ascii="Calibri" w:hAnsi="Calibri" w:cs="Calibri"/>
          <w:b/>
          <w:bCs/>
          <w:color w:val="auto"/>
          <w:sz w:val="22"/>
          <w:lang w:val="en-US"/>
        </w:rPr>
      </w:pPr>
      <w:r w:rsidRPr="00427460">
        <w:rPr>
          <w:rFonts w:ascii="Calibri" w:hAnsi="Calibri" w:cs="Calibri"/>
          <w:b/>
          <w:bCs/>
          <w:color w:val="auto"/>
          <w:sz w:val="22"/>
          <w:lang w:val="en-US"/>
        </w:rPr>
        <w:t>Extra-Territorial Jurisdiction</w:t>
      </w:r>
      <w:r>
        <w:rPr>
          <w:rFonts w:ascii="Calibri" w:hAnsi="Calibri" w:cs="Calibri"/>
          <w:color w:val="auto"/>
          <w:sz w:val="22"/>
          <w:lang w:val="en-US"/>
        </w:rPr>
        <w:t xml:space="preserve">: Note that any acts committed outside Singapore would be deemed to be carried out in Singapore if the person (i) does it partly in and partly outside Singapore, or (ii) covered under Effects Doctrine (see Chapter 3 – Other take-aways) where </w:t>
      </w:r>
      <w:r w:rsidR="00CC60D3" w:rsidRPr="00B52D53">
        <w:rPr>
          <w:rFonts w:ascii="Calibri" w:hAnsi="Calibri" w:cs="Calibri"/>
          <w:color w:val="auto"/>
          <w:sz w:val="22"/>
          <w:lang w:val="en-US"/>
        </w:rPr>
        <w:lastRenderedPageBreak/>
        <w:t xml:space="preserve">the </w:t>
      </w:r>
      <w:r w:rsidR="00CC60D3" w:rsidRPr="00B52D53">
        <w:rPr>
          <w:rFonts w:ascii="Calibri" w:hAnsi="Calibri" w:cs="Calibri"/>
          <w:color w:val="auto"/>
          <w:sz w:val="22"/>
          <w:u w:val="single"/>
          <w:lang w:val="en-US"/>
        </w:rPr>
        <w:t>effect of the act in Singapore</w:t>
      </w:r>
      <w:r w:rsidR="00CC60D3" w:rsidRPr="00B52D53">
        <w:rPr>
          <w:rFonts w:ascii="Calibri" w:hAnsi="Calibri" w:cs="Calibri"/>
          <w:color w:val="auto"/>
          <w:sz w:val="22"/>
          <w:lang w:val="en-US"/>
        </w:rPr>
        <w:t xml:space="preserve"> </w:t>
      </w:r>
      <w:r w:rsidR="00CC60D3">
        <w:rPr>
          <w:rFonts w:ascii="Calibri" w:hAnsi="Calibri" w:cs="Calibri"/>
          <w:color w:val="auto"/>
          <w:sz w:val="22"/>
          <w:lang w:val="en-US"/>
        </w:rPr>
        <w:t>is</w:t>
      </w:r>
      <w:r w:rsidR="00CC60D3" w:rsidRPr="00B52D53">
        <w:rPr>
          <w:rFonts w:ascii="Calibri" w:hAnsi="Calibri" w:cs="Calibri"/>
          <w:color w:val="auto"/>
          <w:sz w:val="22"/>
          <w:lang w:val="en-US"/>
        </w:rPr>
        <w:t xml:space="preserve"> both </w:t>
      </w:r>
      <w:r w:rsidR="00CC60D3" w:rsidRPr="00B52D53">
        <w:rPr>
          <w:rFonts w:ascii="Calibri" w:hAnsi="Calibri" w:cs="Calibri"/>
          <w:color w:val="auto"/>
          <w:sz w:val="22"/>
          <w:u w:val="single"/>
          <w:lang w:val="en-US"/>
        </w:rPr>
        <w:t>substantia</w:t>
      </w:r>
      <w:r w:rsidR="00CC60D3" w:rsidRPr="00B52D53">
        <w:rPr>
          <w:rFonts w:ascii="Calibri" w:hAnsi="Calibri" w:cs="Calibri"/>
          <w:color w:val="auto"/>
          <w:sz w:val="22"/>
          <w:lang w:val="en-US"/>
        </w:rPr>
        <w:t xml:space="preserve">l (e.g., affecting a large number of people in Singapore; have adverse effects on the financial stability of SG) and </w:t>
      </w:r>
      <w:r w:rsidR="00CC60D3" w:rsidRPr="00B52D53">
        <w:rPr>
          <w:rFonts w:ascii="Calibri" w:hAnsi="Calibri" w:cs="Calibri"/>
          <w:color w:val="auto"/>
          <w:sz w:val="22"/>
          <w:u w:val="single"/>
          <w:lang w:val="en-US"/>
        </w:rPr>
        <w:t>reasonably foreseeable</w:t>
      </w:r>
      <w:r w:rsidR="00CC60D3" w:rsidRPr="00B52D53">
        <w:rPr>
          <w:rFonts w:ascii="Calibri" w:hAnsi="Calibri" w:cs="Calibri"/>
          <w:color w:val="auto"/>
          <w:sz w:val="22"/>
          <w:lang w:val="en-US"/>
        </w:rPr>
        <w:t xml:space="preserve"> (e.g., targeting persons in SG; entering contractual relationships with persons in SG; accepting SGD orders from persons in SG)</w:t>
      </w:r>
      <w:r w:rsidR="00CC60D3">
        <w:rPr>
          <w:rFonts w:ascii="Calibri" w:hAnsi="Calibri" w:cs="Calibri"/>
          <w:color w:val="auto"/>
          <w:sz w:val="22"/>
          <w:lang w:val="en-US"/>
        </w:rPr>
        <w:t>.</w:t>
      </w:r>
    </w:p>
    <w:p w14:paraId="1189ACEE" w14:textId="77777777" w:rsidR="00427460" w:rsidRPr="00D15F13" w:rsidRDefault="00427460" w:rsidP="00427460">
      <w:pPr>
        <w:pStyle w:val="BodyText"/>
        <w:jc w:val="both"/>
        <w:rPr>
          <w:lang w:val="en-US"/>
        </w:rPr>
      </w:pPr>
    </w:p>
    <w:p w14:paraId="6ED79476" w14:textId="345719B1" w:rsidR="008B5FFB" w:rsidRPr="00B52D53" w:rsidRDefault="008B5FFB" w:rsidP="00DA459B">
      <w:pPr>
        <w:pStyle w:val="Heading2"/>
        <w:jc w:val="both"/>
        <w:rPr>
          <w:rFonts w:ascii="Calibri" w:hAnsi="Calibri" w:cs="Calibri"/>
          <w:color w:val="auto"/>
          <w:lang w:val="en-US"/>
        </w:rPr>
      </w:pPr>
      <w:r w:rsidRPr="00B52D53">
        <w:rPr>
          <w:rFonts w:ascii="Calibri" w:hAnsi="Calibri" w:cs="Calibri"/>
          <w:color w:val="auto"/>
          <w:lang w:val="en-US"/>
        </w:rPr>
        <w:t xml:space="preserve">Chapter </w:t>
      </w:r>
      <w:r w:rsidR="007B4941" w:rsidRPr="00B52D53">
        <w:rPr>
          <w:rFonts w:ascii="Calibri" w:hAnsi="Calibri" w:cs="Calibri"/>
          <w:color w:val="auto"/>
          <w:lang w:val="en-US"/>
        </w:rPr>
        <w:t>6</w:t>
      </w:r>
      <w:r w:rsidRPr="00B52D53">
        <w:rPr>
          <w:rFonts w:ascii="Calibri" w:hAnsi="Calibri" w:cs="Calibri"/>
          <w:color w:val="auto"/>
          <w:lang w:val="en-US"/>
        </w:rPr>
        <w:t xml:space="preserve"> </w:t>
      </w:r>
      <w:r w:rsidR="005F74C5">
        <w:rPr>
          <w:rFonts w:ascii="Calibri" w:hAnsi="Calibri" w:cs="Calibri"/>
          <w:color w:val="auto"/>
          <w:lang w:val="en-US"/>
        </w:rPr>
        <w:t xml:space="preserve">&amp; 7 </w:t>
      </w:r>
      <w:r w:rsidRPr="00B52D53">
        <w:rPr>
          <w:rFonts w:ascii="Calibri" w:hAnsi="Calibri" w:cs="Calibri"/>
          <w:color w:val="auto"/>
          <w:lang w:val="en-US"/>
        </w:rPr>
        <w:t xml:space="preserve">– </w:t>
      </w:r>
      <w:r w:rsidR="007B4941" w:rsidRPr="00B52D53">
        <w:rPr>
          <w:rFonts w:ascii="Calibri" w:hAnsi="Calibri" w:cs="Calibri"/>
          <w:color w:val="auto"/>
          <w:lang w:val="en-US"/>
        </w:rPr>
        <w:t>Collective Investment Schemes</w:t>
      </w:r>
      <w:r w:rsidR="005F74C5">
        <w:rPr>
          <w:rFonts w:ascii="Calibri" w:hAnsi="Calibri" w:cs="Calibri"/>
          <w:color w:val="auto"/>
          <w:lang w:val="en-US"/>
        </w:rPr>
        <w:t xml:space="preserve"> (CIS)</w:t>
      </w:r>
    </w:p>
    <w:p w14:paraId="0097AFD7" w14:textId="0AB47FDB" w:rsidR="00741B48" w:rsidRPr="00741B48" w:rsidRDefault="00741B48"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Type of Investors</w:t>
      </w:r>
    </w:p>
    <w:p w14:paraId="194B6223" w14:textId="032DC470" w:rsidR="00741B48" w:rsidRDefault="00741B48" w:rsidP="009F73BE">
      <w:pPr>
        <w:pStyle w:val="ListParagraph"/>
        <w:numPr>
          <w:ilvl w:val="0"/>
          <w:numId w:val="107"/>
        </w:numPr>
        <w:jc w:val="both"/>
        <w:rPr>
          <w:rFonts w:ascii="Calibri" w:hAnsi="Calibri" w:cs="Calibri"/>
          <w:color w:val="auto"/>
          <w:sz w:val="22"/>
          <w:lang w:val="en-US"/>
        </w:rPr>
      </w:pPr>
      <w:r w:rsidRPr="00741B48">
        <w:rPr>
          <w:rFonts w:ascii="Calibri" w:hAnsi="Calibri" w:cs="Calibri"/>
          <w:b/>
          <w:bCs/>
          <w:color w:val="auto"/>
          <w:sz w:val="22"/>
          <w:lang w:val="en-US"/>
        </w:rPr>
        <w:t>Accredited investors</w:t>
      </w:r>
      <w:r w:rsidR="008B1487">
        <w:rPr>
          <w:rFonts w:ascii="Calibri" w:hAnsi="Calibri" w:cs="Calibri"/>
          <w:b/>
          <w:bCs/>
          <w:color w:val="auto"/>
          <w:sz w:val="22"/>
          <w:lang w:val="en-US"/>
        </w:rPr>
        <w:t xml:space="preserve"> (AI)</w:t>
      </w:r>
      <w:r w:rsidRPr="00741B48">
        <w:rPr>
          <w:rFonts w:ascii="Calibri" w:hAnsi="Calibri" w:cs="Calibri"/>
          <w:color w:val="auto"/>
          <w:sz w:val="22"/>
          <w:lang w:val="en-US"/>
        </w:rPr>
        <w:t xml:space="preserve">: </w:t>
      </w:r>
    </w:p>
    <w:p w14:paraId="7E709D9F" w14:textId="642C79D9" w:rsidR="00741B48" w:rsidRDefault="00741B48" w:rsidP="009F73BE">
      <w:pPr>
        <w:pStyle w:val="ListParagraph"/>
        <w:numPr>
          <w:ilvl w:val="1"/>
          <w:numId w:val="107"/>
        </w:numPr>
        <w:jc w:val="both"/>
        <w:rPr>
          <w:rFonts w:ascii="Calibri" w:hAnsi="Calibri" w:cs="Calibri"/>
          <w:color w:val="auto"/>
          <w:sz w:val="22"/>
          <w:lang w:val="en-US"/>
        </w:rPr>
      </w:pPr>
      <w:r w:rsidRPr="00741B48">
        <w:rPr>
          <w:rFonts w:ascii="Calibri" w:hAnsi="Calibri" w:cs="Calibri"/>
          <w:color w:val="auto"/>
          <w:sz w:val="22"/>
          <w:lang w:val="en-US"/>
        </w:rPr>
        <w:t xml:space="preserve">They can be </w:t>
      </w:r>
    </w:p>
    <w:p w14:paraId="4CEA2BD9" w14:textId="77777777" w:rsidR="00741B48" w:rsidRDefault="00741B48" w:rsidP="009F73BE">
      <w:pPr>
        <w:pStyle w:val="ListParagraph"/>
        <w:numPr>
          <w:ilvl w:val="2"/>
          <w:numId w:val="107"/>
        </w:numPr>
        <w:jc w:val="both"/>
        <w:rPr>
          <w:rFonts w:ascii="Calibri" w:hAnsi="Calibri" w:cs="Calibri"/>
          <w:color w:val="auto"/>
          <w:sz w:val="22"/>
          <w:lang w:val="en-US"/>
        </w:rPr>
      </w:pPr>
      <w:r w:rsidRPr="008B1487">
        <w:rPr>
          <w:rFonts w:ascii="Calibri" w:hAnsi="Calibri" w:cs="Calibri"/>
          <w:color w:val="auto"/>
          <w:sz w:val="22"/>
          <w:u w:val="single"/>
          <w:lang w:val="en-US"/>
        </w:rPr>
        <w:t>Individuals whose net personal assets exceed $2M</w:t>
      </w:r>
      <w:r w:rsidRPr="00741B48">
        <w:rPr>
          <w:rFonts w:ascii="Calibri" w:hAnsi="Calibri" w:cs="Calibri"/>
          <w:color w:val="auto"/>
          <w:sz w:val="22"/>
          <w:lang w:val="en-US"/>
        </w:rPr>
        <w:t xml:space="preserve"> (with their primary residence contributing up to $1M, net of any outstanding loans)</w:t>
      </w:r>
    </w:p>
    <w:p w14:paraId="19FE21BB" w14:textId="77777777" w:rsidR="00741B48" w:rsidRDefault="00741B48" w:rsidP="009F73BE">
      <w:pPr>
        <w:pStyle w:val="ListParagraph"/>
        <w:numPr>
          <w:ilvl w:val="2"/>
          <w:numId w:val="107"/>
        </w:numPr>
        <w:jc w:val="both"/>
        <w:rPr>
          <w:rFonts w:ascii="Calibri" w:hAnsi="Calibri" w:cs="Calibri"/>
          <w:color w:val="auto"/>
          <w:sz w:val="22"/>
          <w:lang w:val="en-US"/>
        </w:rPr>
      </w:pPr>
      <w:r w:rsidRPr="008B1487">
        <w:rPr>
          <w:rFonts w:ascii="Calibri" w:hAnsi="Calibri" w:cs="Calibri"/>
          <w:color w:val="auto"/>
          <w:sz w:val="22"/>
          <w:u w:val="single"/>
          <w:lang w:val="en-US"/>
        </w:rPr>
        <w:t>Individuals whose financial assets</w:t>
      </w:r>
      <w:r w:rsidRPr="00741B48">
        <w:rPr>
          <w:rFonts w:ascii="Calibri" w:hAnsi="Calibri" w:cs="Calibri"/>
          <w:color w:val="auto"/>
          <w:sz w:val="22"/>
          <w:lang w:val="en-US"/>
        </w:rPr>
        <w:t xml:space="preserve"> (includes deposits, investment product etc. that are net of related liabilities) </w:t>
      </w:r>
      <w:r w:rsidRPr="008B1487">
        <w:rPr>
          <w:rFonts w:ascii="Calibri" w:hAnsi="Calibri" w:cs="Calibri"/>
          <w:color w:val="auto"/>
          <w:sz w:val="22"/>
          <w:u w:val="single"/>
          <w:lang w:val="en-US"/>
        </w:rPr>
        <w:t>exceed $1M</w:t>
      </w:r>
    </w:p>
    <w:p w14:paraId="6976CDF4" w14:textId="77777777" w:rsidR="00741B48" w:rsidRDefault="00741B48" w:rsidP="009F73BE">
      <w:pPr>
        <w:pStyle w:val="ListParagraph"/>
        <w:numPr>
          <w:ilvl w:val="2"/>
          <w:numId w:val="107"/>
        </w:numPr>
        <w:jc w:val="both"/>
        <w:rPr>
          <w:rFonts w:ascii="Calibri" w:hAnsi="Calibri" w:cs="Calibri"/>
          <w:color w:val="auto"/>
          <w:sz w:val="22"/>
          <w:lang w:val="en-US"/>
        </w:rPr>
      </w:pPr>
      <w:r w:rsidRPr="00741B48">
        <w:rPr>
          <w:rFonts w:ascii="Calibri" w:hAnsi="Calibri" w:cs="Calibri"/>
          <w:color w:val="auto"/>
          <w:sz w:val="22"/>
          <w:lang w:val="en-US"/>
        </w:rPr>
        <w:t xml:space="preserve">Individuals whose </w:t>
      </w:r>
      <w:r w:rsidRPr="008B1487">
        <w:rPr>
          <w:rFonts w:ascii="Calibri" w:hAnsi="Calibri" w:cs="Calibri"/>
          <w:color w:val="auto"/>
          <w:sz w:val="22"/>
          <w:u w:val="single"/>
          <w:lang w:val="en-US"/>
        </w:rPr>
        <w:t>annual income exceed $300K</w:t>
      </w:r>
      <w:r w:rsidRPr="00741B48">
        <w:rPr>
          <w:rFonts w:ascii="Calibri" w:hAnsi="Calibri" w:cs="Calibri"/>
          <w:color w:val="auto"/>
          <w:sz w:val="22"/>
          <w:lang w:val="en-US"/>
        </w:rPr>
        <w:t xml:space="preserve"> (i.e., $25K per month)</w:t>
      </w:r>
    </w:p>
    <w:p w14:paraId="448A6B7C" w14:textId="77777777" w:rsidR="00741B48" w:rsidRDefault="00741B48" w:rsidP="009F73BE">
      <w:pPr>
        <w:pStyle w:val="ListParagraph"/>
        <w:numPr>
          <w:ilvl w:val="2"/>
          <w:numId w:val="107"/>
        </w:numPr>
        <w:jc w:val="both"/>
        <w:rPr>
          <w:rFonts w:ascii="Calibri" w:hAnsi="Calibri" w:cs="Calibri"/>
          <w:color w:val="auto"/>
          <w:sz w:val="22"/>
          <w:lang w:val="en-US"/>
        </w:rPr>
      </w:pPr>
      <w:r w:rsidRPr="008B1487">
        <w:rPr>
          <w:rFonts w:ascii="Calibri" w:hAnsi="Calibri" w:cs="Calibri"/>
          <w:color w:val="auto"/>
          <w:sz w:val="22"/>
          <w:u w:val="single"/>
          <w:lang w:val="en-US"/>
        </w:rPr>
        <w:t>Corporations with net assets exceeding $10M</w:t>
      </w:r>
      <w:r w:rsidRPr="00741B48">
        <w:rPr>
          <w:rFonts w:ascii="Calibri" w:hAnsi="Calibri" w:cs="Calibri"/>
          <w:color w:val="auto"/>
          <w:sz w:val="22"/>
          <w:lang w:val="en-US"/>
        </w:rPr>
        <w:t xml:space="preserve"> in latest audit balance sheet</w:t>
      </w:r>
    </w:p>
    <w:p w14:paraId="0419467F" w14:textId="0CC0D0FF" w:rsidR="00741B48" w:rsidRDefault="00741B48" w:rsidP="009F73BE">
      <w:pPr>
        <w:pStyle w:val="ListParagraph"/>
        <w:numPr>
          <w:ilvl w:val="2"/>
          <w:numId w:val="107"/>
        </w:numPr>
        <w:jc w:val="both"/>
        <w:rPr>
          <w:rFonts w:ascii="Calibri" w:hAnsi="Calibri" w:cs="Calibri"/>
          <w:color w:val="auto"/>
          <w:sz w:val="22"/>
          <w:lang w:val="en-US"/>
        </w:rPr>
      </w:pPr>
      <w:r w:rsidRPr="00741B48">
        <w:rPr>
          <w:rFonts w:ascii="Calibri" w:hAnsi="Calibri" w:cs="Calibri"/>
          <w:color w:val="auto"/>
          <w:sz w:val="22"/>
          <w:lang w:val="en-US"/>
        </w:rPr>
        <w:t>Trustee</w:t>
      </w:r>
    </w:p>
    <w:p w14:paraId="3B290FD2" w14:textId="45F4957C" w:rsidR="00741B48" w:rsidRDefault="00741B48" w:rsidP="009F73BE">
      <w:pPr>
        <w:pStyle w:val="ListParagraph"/>
        <w:numPr>
          <w:ilvl w:val="1"/>
          <w:numId w:val="107"/>
        </w:numPr>
        <w:jc w:val="both"/>
        <w:rPr>
          <w:rFonts w:ascii="Calibri" w:hAnsi="Calibri" w:cs="Calibri"/>
          <w:color w:val="auto"/>
          <w:sz w:val="22"/>
          <w:lang w:val="en-US"/>
        </w:rPr>
      </w:pPr>
      <w:r w:rsidRPr="00741B48">
        <w:rPr>
          <w:rFonts w:ascii="Calibri" w:hAnsi="Calibri" w:cs="Calibri"/>
          <w:b/>
          <w:bCs/>
          <w:color w:val="auto"/>
          <w:sz w:val="22"/>
          <w:lang w:val="en-US"/>
        </w:rPr>
        <w:t>Before Apr 2019</w:t>
      </w:r>
      <w:r>
        <w:rPr>
          <w:rFonts w:ascii="Calibri" w:hAnsi="Calibri" w:cs="Calibri"/>
          <w:color w:val="auto"/>
          <w:sz w:val="22"/>
          <w:lang w:val="en-US"/>
        </w:rPr>
        <w:t>: The</w:t>
      </w:r>
      <w:r w:rsidR="008B1487">
        <w:rPr>
          <w:rFonts w:ascii="Calibri" w:hAnsi="Calibri" w:cs="Calibri"/>
          <w:color w:val="auto"/>
          <w:sz w:val="22"/>
          <w:lang w:val="en-US"/>
        </w:rPr>
        <w:t xml:space="preserve"> </w:t>
      </w:r>
      <w:r w:rsidR="008B1487" w:rsidRPr="008B1487">
        <w:rPr>
          <w:rFonts w:ascii="Calibri" w:hAnsi="Calibri" w:cs="Calibri"/>
          <w:color w:val="auto"/>
          <w:sz w:val="22"/>
          <w:u w:val="single"/>
          <w:lang w:val="en-US"/>
        </w:rPr>
        <w:t xml:space="preserve">AI-eligible persons would be deemed automatically as AIs </w:t>
      </w:r>
      <w:r w:rsidR="008B1487">
        <w:rPr>
          <w:rFonts w:ascii="Calibri" w:hAnsi="Calibri" w:cs="Calibri"/>
          <w:color w:val="auto"/>
          <w:sz w:val="22"/>
          <w:lang w:val="en-US"/>
        </w:rPr>
        <w:t xml:space="preserve">if they meet the AI definition. They would be </w:t>
      </w:r>
      <w:r w:rsidR="008B1487" w:rsidRPr="008B1487">
        <w:rPr>
          <w:rFonts w:ascii="Calibri" w:hAnsi="Calibri" w:cs="Calibri"/>
          <w:color w:val="auto"/>
          <w:sz w:val="22"/>
          <w:u w:val="single"/>
          <w:lang w:val="en-US"/>
        </w:rPr>
        <w:t>required to opt out of the AI category</w:t>
      </w:r>
      <w:r w:rsidR="008B1487">
        <w:rPr>
          <w:rFonts w:ascii="Calibri" w:hAnsi="Calibri" w:cs="Calibri"/>
          <w:color w:val="auto"/>
          <w:sz w:val="22"/>
          <w:lang w:val="en-US"/>
        </w:rPr>
        <w:t xml:space="preserve">. If the AI-eligible stays silent, then he would </w:t>
      </w:r>
      <w:r w:rsidR="008B1487" w:rsidRPr="008B1487">
        <w:rPr>
          <w:rFonts w:ascii="Calibri" w:hAnsi="Calibri" w:cs="Calibri"/>
          <w:color w:val="auto"/>
          <w:sz w:val="22"/>
          <w:u w:val="single"/>
          <w:lang w:val="en-US"/>
        </w:rPr>
        <w:t>continue to be assessed as AI until 8 July 2020, where the opt-in provision below would apply</w:t>
      </w:r>
      <w:r w:rsidR="008B1487">
        <w:rPr>
          <w:rFonts w:ascii="Calibri" w:hAnsi="Calibri" w:cs="Calibri"/>
          <w:color w:val="auto"/>
          <w:sz w:val="22"/>
          <w:lang w:val="en-US"/>
        </w:rPr>
        <w:t xml:space="preserve">. </w:t>
      </w:r>
    </w:p>
    <w:p w14:paraId="40CFA982" w14:textId="06CA28D3" w:rsidR="00741B48" w:rsidRPr="00741B48" w:rsidRDefault="00741B48" w:rsidP="009F73BE">
      <w:pPr>
        <w:pStyle w:val="ListParagraph"/>
        <w:numPr>
          <w:ilvl w:val="1"/>
          <w:numId w:val="107"/>
        </w:numPr>
        <w:jc w:val="both"/>
        <w:rPr>
          <w:rFonts w:ascii="Calibri" w:hAnsi="Calibri" w:cs="Calibri"/>
          <w:color w:val="auto"/>
          <w:sz w:val="22"/>
          <w:lang w:val="en-US"/>
        </w:rPr>
      </w:pPr>
      <w:r w:rsidRPr="00741B48">
        <w:rPr>
          <w:rFonts w:ascii="Calibri" w:hAnsi="Calibri" w:cs="Calibri"/>
          <w:b/>
          <w:bCs/>
          <w:color w:val="auto"/>
          <w:sz w:val="22"/>
          <w:lang w:val="en-US"/>
        </w:rPr>
        <w:t>After Apr 2019</w:t>
      </w:r>
      <w:r>
        <w:rPr>
          <w:rFonts w:ascii="Calibri" w:hAnsi="Calibri" w:cs="Calibri"/>
          <w:color w:val="auto"/>
          <w:sz w:val="22"/>
          <w:lang w:val="en-US"/>
        </w:rPr>
        <w:t xml:space="preserve">: The </w:t>
      </w:r>
      <w:r w:rsidRPr="008B1487">
        <w:rPr>
          <w:rFonts w:ascii="Calibri" w:hAnsi="Calibri" w:cs="Calibri"/>
          <w:color w:val="auto"/>
          <w:sz w:val="22"/>
          <w:u w:val="single"/>
          <w:lang w:val="en-US"/>
        </w:rPr>
        <w:t>person who is AI-eligible would be given the opportunity to opt-in by giving written consent</w:t>
      </w:r>
      <w:r>
        <w:rPr>
          <w:rFonts w:ascii="Calibri" w:hAnsi="Calibri" w:cs="Calibri"/>
          <w:color w:val="auto"/>
          <w:sz w:val="22"/>
          <w:lang w:val="en-US"/>
        </w:rPr>
        <w:t xml:space="preserve">. </w:t>
      </w:r>
      <w:r w:rsidR="008B1487">
        <w:rPr>
          <w:rFonts w:ascii="Calibri" w:hAnsi="Calibri" w:cs="Calibri"/>
          <w:color w:val="auto"/>
          <w:sz w:val="22"/>
          <w:lang w:val="en-US"/>
        </w:rPr>
        <w:t xml:space="preserve">The AI-eligible investor may choose to be treated AI by one party but opt not to be treated as AI by another party. </w:t>
      </w:r>
      <w:r>
        <w:rPr>
          <w:rFonts w:ascii="Calibri" w:hAnsi="Calibri" w:cs="Calibri"/>
          <w:color w:val="auto"/>
          <w:sz w:val="22"/>
          <w:lang w:val="en-US"/>
        </w:rPr>
        <w:t xml:space="preserve"> </w:t>
      </w:r>
    </w:p>
    <w:p w14:paraId="3DD8D563" w14:textId="77777777" w:rsidR="00741B48" w:rsidRDefault="00741B48" w:rsidP="009F73BE">
      <w:pPr>
        <w:pStyle w:val="ListParagraph"/>
        <w:numPr>
          <w:ilvl w:val="0"/>
          <w:numId w:val="107"/>
        </w:numPr>
        <w:jc w:val="both"/>
        <w:rPr>
          <w:rFonts w:ascii="Calibri" w:hAnsi="Calibri" w:cs="Calibri"/>
          <w:color w:val="auto"/>
          <w:sz w:val="22"/>
          <w:lang w:val="en-US"/>
        </w:rPr>
      </w:pPr>
      <w:r w:rsidRPr="00741B48">
        <w:rPr>
          <w:rFonts w:ascii="Calibri" w:hAnsi="Calibri" w:cs="Calibri"/>
          <w:b/>
          <w:bCs/>
          <w:color w:val="auto"/>
          <w:sz w:val="22"/>
          <w:lang w:val="en-US"/>
        </w:rPr>
        <w:t>Expert Investors</w:t>
      </w:r>
      <w:r w:rsidRPr="00741B48">
        <w:rPr>
          <w:rFonts w:ascii="Calibri" w:hAnsi="Calibri" w:cs="Calibri"/>
          <w:color w:val="auto"/>
          <w:sz w:val="22"/>
          <w:lang w:val="en-US"/>
        </w:rPr>
        <w:t>: (i) Person whose business involves buying/selling of capital market products, (ii) Trustee</w:t>
      </w:r>
    </w:p>
    <w:p w14:paraId="6BA65D50" w14:textId="77777777" w:rsidR="00741B48" w:rsidRDefault="00741B48" w:rsidP="009F73BE">
      <w:pPr>
        <w:pStyle w:val="ListParagraph"/>
        <w:numPr>
          <w:ilvl w:val="0"/>
          <w:numId w:val="107"/>
        </w:numPr>
        <w:jc w:val="both"/>
        <w:rPr>
          <w:rFonts w:ascii="Calibri" w:hAnsi="Calibri" w:cs="Calibri"/>
          <w:color w:val="auto"/>
          <w:sz w:val="22"/>
          <w:lang w:val="en-US"/>
        </w:rPr>
      </w:pPr>
      <w:r w:rsidRPr="00741B48">
        <w:rPr>
          <w:rFonts w:ascii="Calibri" w:hAnsi="Calibri" w:cs="Calibri"/>
          <w:b/>
          <w:bCs/>
          <w:color w:val="auto"/>
          <w:sz w:val="22"/>
          <w:lang w:val="en-US"/>
        </w:rPr>
        <w:t>Institutional investors</w:t>
      </w:r>
      <w:r w:rsidRPr="00741B48">
        <w:rPr>
          <w:rFonts w:ascii="Calibri" w:hAnsi="Calibri" w:cs="Calibri"/>
          <w:color w:val="auto"/>
          <w:sz w:val="22"/>
          <w:lang w:val="en-US"/>
        </w:rPr>
        <w:t xml:space="preserve">: Includes licensed banks, merchant banks, finance companies, Government, statutory bodies, CIS, sovereign wealth funds etc.  </w:t>
      </w:r>
    </w:p>
    <w:p w14:paraId="60355C29" w14:textId="3AC38959" w:rsidR="00741B48" w:rsidRDefault="00741B48" w:rsidP="009F73BE">
      <w:pPr>
        <w:pStyle w:val="ListParagraph"/>
        <w:numPr>
          <w:ilvl w:val="0"/>
          <w:numId w:val="107"/>
        </w:numPr>
        <w:jc w:val="both"/>
        <w:rPr>
          <w:rFonts w:ascii="Calibri" w:hAnsi="Calibri" w:cs="Calibri"/>
          <w:color w:val="auto"/>
          <w:sz w:val="22"/>
          <w:lang w:val="en-US"/>
        </w:rPr>
      </w:pPr>
      <w:r w:rsidRPr="00741B48">
        <w:rPr>
          <w:rFonts w:ascii="Calibri" w:hAnsi="Calibri" w:cs="Calibri"/>
          <w:b/>
          <w:bCs/>
          <w:color w:val="auto"/>
          <w:sz w:val="22"/>
          <w:lang w:val="en-US"/>
        </w:rPr>
        <w:t>Qualified Investors</w:t>
      </w:r>
      <w:r w:rsidRPr="00741B48">
        <w:rPr>
          <w:rFonts w:ascii="Calibri" w:hAnsi="Calibri" w:cs="Calibri"/>
          <w:color w:val="auto"/>
          <w:sz w:val="22"/>
          <w:lang w:val="en-US"/>
        </w:rPr>
        <w:t>: Both accredited and institutional investors</w:t>
      </w:r>
      <w:r>
        <w:rPr>
          <w:rFonts w:ascii="Calibri" w:hAnsi="Calibri" w:cs="Calibri"/>
          <w:color w:val="auto"/>
          <w:sz w:val="22"/>
          <w:lang w:val="en-US"/>
        </w:rPr>
        <w:t>.</w:t>
      </w:r>
    </w:p>
    <w:p w14:paraId="0BA215D6" w14:textId="77777777" w:rsidR="00741B48" w:rsidRPr="00741B48" w:rsidRDefault="00741B48" w:rsidP="00741B48">
      <w:pPr>
        <w:pStyle w:val="ListParagraph"/>
        <w:ind w:left="360"/>
        <w:jc w:val="both"/>
        <w:rPr>
          <w:rFonts w:ascii="Calibri" w:hAnsi="Calibri" w:cs="Calibri"/>
          <w:color w:val="auto"/>
          <w:sz w:val="22"/>
          <w:lang w:val="en-US"/>
        </w:rPr>
      </w:pPr>
    </w:p>
    <w:p w14:paraId="669A8C51" w14:textId="557E5CED" w:rsidR="00741B48" w:rsidRDefault="00741B48"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 xml:space="preserve">CIS Definition </w:t>
      </w:r>
      <w:r w:rsidR="00BB4863">
        <w:rPr>
          <w:rFonts w:ascii="Calibri" w:hAnsi="Calibri" w:cs="Calibri"/>
          <w:color w:val="auto"/>
          <w:lang w:val="en-US"/>
        </w:rPr>
        <w:t>&amp;</w:t>
      </w:r>
      <w:r>
        <w:rPr>
          <w:rFonts w:ascii="Calibri" w:hAnsi="Calibri" w:cs="Calibri"/>
          <w:color w:val="auto"/>
          <w:lang w:val="en-US"/>
        </w:rPr>
        <w:t xml:space="preserve"> General Structure</w:t>
      </w:r>
    </w:p>
    <w:p w14:paraId="419D40FA" w14:textId="68D14BE7" w:rsidR="005F74C5" w:rsidRDefault="008F1A5C" w:rsidP="009F73BE">
      <w:pPr>
        <w:pStyle w:val="BodyText"/>
        <w:numPr>
          <w:ilvl w:val="0"/>
          <w:numId w:val="104"/>
        </w:numPr>
        <w:jc w:val="both"/>
        <w:rPr>
          <w:rFonts w:ascii="Calibri" w:hAnsi="Calibri" w:cs="Calibri"/>
          <w:color w:val="auto"/>
          <w:sz w:val="22"/>
          <w:lang w:val="en-US"/>
        </w:rPr>
      </w:pPr>
      <w:r w:rsidRPr="008F1A5C">
        <w:rPr>
          <w:rFonts w:ascii="Calibri" w:hAnsi="Calibri" w:cs="Calibri"/>
          <w:b/>
          <w:bCs/>
          <w:color w:val="auto"/>
          <w:sz w:val="22"/>
          <w:lang w:val="en-US"/>
        </w:rPr>
        <w:t>Definition</w:t>
      </w:r>
      <w:r>
        <w:rPr>
          <w:rFonts w:ascii="Calibri" w:hAnsi="Calibri" w:cs="Calibri"/>
          <w:color w:val="auto"/>
          <w:sz w:val="22"/>
          <w:lang w:val="en-US"/>
        </w:rPr>
        <w:t xml:space="preserve">: </w:t>
      </w:r>
      <w:r w:rsidR="005F74C5">
        <w:rPr>
          <w:rFonts w:ascii="Calibri" w:hAnsi="Calibri" w:cs="Calibri"/>
          <w:color w:val="auto"/>
          <w:sz w:val="22"/>
          <w:lang w:val="en-US"/>
        </w:rPr>
        <w:t xml:space="preserve">CIS are </w:t>
      </w:r>
      <w:r w:rsidR="005F74C5" w:rsidRPr="005F74C5">
        <w:rPr>
          <w:rFonts w:ascii="Calibri" w:hAnsi="Calibri" w:cs="Calibri"/>
          <w:color w:val="auto"/>
          <w:sz w:val="22"/>
          <w:u w:val="single"/>
          <w:lang w:val="en-US"/>
        </w:rPr>
        <w:t>investment pooling vehicles</w:t>
      </w:r>
      <w:r w:rsidR="005F74C5">
        <w:rPr>
          <w:rFonts w:ascii="Calibri" w:hAnsi="Calibri" w:cs="Calibri"/>
          <w:color w:val="auto"/>
          <w:sz w:val="22"/>
          <w:lang w:val="en-US"/>
        </w:rPr>
        <w:t xml:space="preserve"> used by investors to </w:t>
      </w:r>
      <w:r w:rsidR="005F74C5" w:rsidRPr="005F74C5">
        <w:rPr>
          <w:rFonts w:ascii="Calibri" w:hAnsi="Calibri" w:cs="Calibri"/>
          <w:color w:val="auto"/>
          <w:sz w:val="22"/>
          <w:u w:val="single"/>
          <w:lang w:val="en-US"/>
        </w:rPr>
        <w:t>invest alongside other investors</w:t>
      </w:r>
      <w:r w:rsidR="005F74C5">
        <w:rPr>
          <w:rFonts w:ascii="Calibri" w:hAnsi="Calibri" w:cs="Calibri"/>
          <w:color w:val="auto"/>
          <w:sz w:val="22"/>
          <w:lang w:val="en-US"/>
        </w:rPr>
        <w:t xml:space="preserve"> to benefit from the advantages of investing as a group. In general, (i) participants </w:t>
      </w:r>
      <w:r w:rsidR="005F74C5" w:rsidRPr="005F74C5">
        <w:rPr>
          <w:rFonts w:ascii="Calibri" w:hAnsi="Calibri" w:cs="Calibri"/>
          <w:color w:val="auto"/>
          <w:sz w:val="22"/>
          <w:u w:val="single"/>
          <w:lang w:val="en-US"/>
        </w:rPr>
        <w:t>do not have management control</w:t>
      </w:r>
      <w:r w:rsidR="005F74C5">
        <w:rPr>
          <w:rFonts w:ascii="Calibri" w:hAnsi="Calibri" w:cs="Calibri"/>
          <w:color w:val="auto"/>
          <w:sz w:val="22"/>
          <w:u w:val="single"/>
          <w:lang w:val="en-US"/>
        </w:rPr>
        <w:t xml:space="preserve"> (i.e., managed wholly by a manager)</w:t>
      </w:r>
      <w:r w:rsidR="005F74C5">
        <w:rPr>
          <w:rFonts w:ascii="Calibri" w:hAnsi="Calibri" w:cs="Calibri"/>
          <w:color w:val="auto"/>
          <w:sz w:val="22"/>
          <w:lang w:val="en-US"/>
        </w:rPr>
        <w:t xml:space="preserve">, and (ii) </w:t>
      </w:r>
      <w:r w:rsidR="005F74C5" w:rsidRPr="005F74C5">
        <w:rPr>
          <w:rFonts w:ascii="Calibri" w:hAnsi="Calibri" w:cs="Calibri"/>
          <w:color w:val="auto"/>
          <w:sz w:val="22"/>
          <w:u w:val="single"/>
          <w:lang w:val="en-US"/>
        </w:rPr>
        <w:t xml:space="preserve">the economic benefits </w:t>
      </w:r>
      <w:r w:rsidR="005F74C5">
        <w:rPr>
          <w:rFonts w:ascii="Calibri" w:hAnsi="Calibri" w:cs="Calibri"/>
          <w:color w:val="auto"/>
          <w:sz w:val="22"/>
          <w:u w:val="single"/>
          <w:lang w:val="en-US"/>
        </w:rPr>
        <w:t xml:space="preserve">arising </w:t>
      </w:r>
      <w:r w:rsidR="005F74C5" w:rsidRPr="005F74C5">
        <w:rPr>
          <w:rFonts w:ascii="Calibri" w:hAnsi="Calibri" w:cs="Calibri"/>
          <w:color w:val="auto"/>
          <w:sz w:val="22"/>
          <w:u w:val="single"/>
          <w:lang w:val="en-US"/>
        </w:rPr>
        <w:t>from the CIS flow into the pooled vehicle</w:t>
      </w:r>
      <w:r w:rsidR="005F74C5">
        <w:rPr>
          <w:rFonts w:ascii="Calibri" w:hAnsi="Calibri" w:cs="Calibri"/>
          <w:color w:val="auto"/>
          <w:sz w:val="22"/>
          <w:lang w:val="en-US"/>
        </w:rPr>
        <w:t xml:space="preserve">. </w:t>
      </w:r>
      <w:r w:rsidR="0057720E">
        <w:rPr>
          <w:rFonts w:ascii="Calibri" w:hAnsi="Calibri" w:cs="Calibri"/>
          <w:color w:val="auto"/>
          <w:sz w:val="22"/>
          <w:lang w:val="en-US"/>
        </w:rPr>
        <w:t xml:space="preserve">Examples include REITs and certain closed-end funds that meet the above definitions. </w:t>
      </w:r>
    </w:p>
    <w:p w14:paraId="7C39B4CB" w14:textId="0E74674B" w:rsidR="0065264D" w:rsidRDefault="0065264D" w:rsidP="009F73BE">
      <w:pPr>
        <w:pStyle w:val="BodyText"/>
        <w:numPr>
          <w:ilvl w:val="0"/>
          <w:numId w:val="104"/>
        </w:numPr>
        <w:jc w:val="both"/>
        <w:rPr>
          <w:rFonts w:ascii="Calibri" w:hAnsi="Calibri" w:cs="Calibri"/>
          <w:color w:val="auto"/>
          <w:sz w:val="22"/>
          <w:lang w:val="en-US"/>
        </w:rPr>
      </w:pPr>
      <w:r w:rsidRPr="0065264D">
        <w:rPr>
          <w:rFonts w:ascii="Calibri" w:hAnsi="Calibri" w:cs="Calibri"/>
          <w:b/>
          <w:bCs/>
          <w:color w:val="auto"/>
          <w:sz w:val="22"/>
          <w:lang w:val="en-US"/>
        </w:rPr>
        <w:t>Structure</w:t>
      </w:r>
      <w:r>
        <w:rPr>
          <w:rFonts w:ascii="Calibri" w:hAnsi="Calibri" w:cs="Calibri"/>
          <w:color w:val="auto"/>
          <w:sz w:val="22"/>
          <w:lang w:val="en-US"/>
        </w:rPr>
        <w:t>:</w:t>
      </w:r>
    </w:p>
    <w:p w14:paraId="247AA0A7" w14:textId="76E4725D" w:rsidR="00EC4016" w:rsidRPr="00CC60D3" w:rsidRDefault="00EC4016" w:rsidP="00EC4016">
      <w:pPr>
        <w:pStyle w:val="BodyText"/>
        <w:ind w:left="360"/>
        <w:jc w:val="both"/>
        <w:rPr>
          <w:rFonts w:ascii="Calibri" w:hAnsi="Calibri" w:cs="Calibri"/>
          <w:color w:val="auto"/>
          <w:sz w:val="22"/>
          <w:lang w:val="en-US"/>
        </w:rPr>
      </w:pPr>
      <w:r w:rsidRPr="00EC4016">
        <w:rPr>
          <w:rFonts w:ascii="Calibri" w:hAnsi="Calibri" w:cs="Calibri"/>
          <w:noProof/>
          <w:color w:val="auto"/>
          <w:sz w:val="22"/>
          <w:lang w:val="en-US"/>
        </w:rPr>
        <w:lastRenderedPageBreak/>
        <w:drawing>
          <wp:inline distT="0" distB="0" distL="0" distR="0" wp14:anchorId="35044708" wp14:editId="34A466CC">
            <wp:extent cx="3923930" cy="1945640"/>
            <wp:effectExtent l="0" t="0" r="635" b="0"/>
            <wp:docPr id="130604615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6156" name="Picture 1" descr="A diagram of a company&#10;&#10;AI-generated content may be incorrect."/>
                    <pic:cNvPicPr/>
                  </pic:nvPicPr>
                  <pic:blipFill rotWithShape="1">
                    <a:blip r:embed="rId10"/>
                    <a:srcRect t="8592"/>
                    <a:stretch/>
                  </pic:blipFill>
                  <pic:spPr bwMode="auto">
                    <a:xfrm>
                      <a:off x="0" y="0"/>
                      <a:ext cx="3927097" cy="1947210"/>
                    </a:xfrm>
                    <a:prstGeom prst="rect">
                      <a:avLst/>
                    </a:prstGeom>
                    <a:ln>
                      <a:noFill/>
                    </a:ln>
                    <a:extLst>
                      <a:ext uri="{53640926-AAD7-44D8-BBD7-CCE9431645EC}">
                        <a14:shadowObscured xmlns:a14="http://schemas.microsoft.com/office/drawing/2010/main"/>
                      </a:ext>
                    </a:extLst>
                  </pic:spPr>
                </pic:pic>
              </a:graphicData>
            </a:graphic>
          </wp:inline>
        </w:drawing>
      </w:r>
    </w:p>
    <w:p w14:paraId="39E7CFAA" w14:textId="25BCC271" w:rsidR="004E03B7" w:rsidRPr="004E03B7" w:rsidRDefault="00A53571" w:rsidP="009F73BE">
      <w:pPr>
        <w:pStyle w:val="BodyText"/>
        <w:numPr>
          <w:ilvl w:val="1"/>
          <w:numId w:val="104"/>
        </w:numPr>
        <w:jc w:val="both"/>
        <w:rPr>
          <w:rFonts w:ascii="Calibri" w:hAnsi="Calibri" w:cs="Calibri"/>
          <w:color w:val="auto"/>
          <w:sz w:val="22"/>
          <w:lang w:val="en-US"/>
        </w:rPr>
      </w:pPr>
      <w:r>
        <w:rPr>
          <w:rFonts w:ascii="Calibri" w:hAnsi="Calibri" w:cs="Calibri"/>
          <w:color w:val="auto"/>
          <w:sz w:val="22"/>
          <w:lang w:val="en-US"/>
        </w:rPr>
        <w:t xml:space="preserve">Any </w:t>
      </w:r>
      <w:r w:rsidRPr="00A53571">
        <w:rPr>
          <w:rFonts w:ascii="Calibri" w:hAnsi="Calibri" w:cs="Calibri"/>
          <w:color w:val="auto"/>
          <w:sz w:val="22"/>
          <w:u w:val="single"/>
          <w:lang w:val="en-US"/>
        </w:rPr>
        <w:t>authorization or recognition of CIS must be accompanied by prospectus</w:t>
      </w:r>
      <w:r w:rsidR="003421CA">
        <w:rPr>
          <w:rFonts w:ascii="Calibri" w:hAnsi="Calibri" w:cs="Calibri"/>
          <w:color w:val="auto"/>
          <w:sz w:val="22"/>
          <w:u w:val="single"/>
          <w:lang w:val="en-US"/>
        </w:rPr>
        <w:t>/</w:t>
      </w:r>
      <w:r w:rsidR="006E29E9">
        <w:rPr>
          <w:rFonts w:ascii="Calibri" w:hAnsi="Calibri" w:cs="Calibri"/>
          <w:color w:val="auto"/>
          <w:sz w:val="22"/>
          <w:u w:val="single"/>
          <w:lang w:val="en-US"/>
        </w:rPr>
        <w:t>profile statement</w:t>
      </w:r>
      <w:r w:rsidRPr="00A53571">
        <w:rPr>
          <w:rFonts w:ascii="Calibri" w:hAnsi="Calibri" w:cs="Calibri"/>
          <w:color w:val="auto"/>
          <w:sz w:val="22"/>
          <w:u w:val="single"/>
          <w:lang w:val="en-US"/>
        </w:rPr>
        <w:t xml:space="preserve"> made to MAS</w:t>
      </w:r>
      <w:r w:rsidR="006E29E9">
        <w:rPr>
          <w:rFonts w:ascii="Calibri" w:hAnsi="Calibri" w:cs="Calibri"/>
          <w:color w:val="auto"/>
          <w:sz w:val="22"/>
          <w:lang w:val="en-US"/>
        </w:rPr>
        <w:t xml:space="preserve">, assuming the CIS is not offered to </w:t>
      </w:r>
      <w:r w:rsidR="00741B48">
        <w:rPr>
          <w:rFonts w:ascii="Calibri" w:hAnsi="Calibri" w:cs="Calibri"/>
          <w:color w:val="auto"/>
          <w:sz w:val="22"/>
          <w:lang w:val="en-US"/>
        </w:rPr>
        <w:t>qualified investors</w:t>
      </w:r>
      <w:r>
        <w:rPr>
          <w:rFonts w:ascii="Calibri" w:hAnsi="Calibri" w:cs="Calibri"/>
          <w:color w:val="auto"/>
          <w:sz w:val="22"/>
          <w:lang w:val="en-US"/>
        </w:rPr>
        <w:t>.</w:t>
      </w:r>
      <w:r w:rsidR="004E03B7">
        <w:rPr>
          <w:rFonts w:ascii="Calibri" w:hAnsi="Calibri" w:cs="Calibri"/>
          <w:color w:val="auto"/>
          <w:sz w:val="22"/>
          <w:lang w:val="en-US"/>
        </w:rPr>
        <w:t xml:space="preserve"> MAS </w:t>
      </w:r>
      <w:r w:rsidR="004E03B7" w:rsidRPr="004E03B7">
        <w:rPr>
          <w:rFonts w:ascii="Calibri" w:hAnsi="Calibri" w:cs="Calibri"/>
          <w:color w:val="auto"/>
          <w:sz w:val="22"/>
          <w:u w:val="single"/>
          <w:lang w:val="en-US"/>
        </w:rPr>
        <w:t xml:space="preserve">can also </w:t>
      </w:r>
      <w:r w:rsidR="004E03B7">
        <w:rPr>
          <w:rFonts w:ascii="Calibri" w:hAnsi="Calibri" w:cs="Calibri"/>
          <w:color w:val="auto"/>
          <w:sz w:val="22"/>
          <w:u w:val="single"/>
          <w:lang w:val="en-US"/>
        </w:rPr>
        <w:t>suspend</w:t>
      </w:r>
      <w:r w:rsidR="003421CA">
        <w:rPr>
          <w:rFonts w:ascii="Calibri" w:hAnsi="Calibri" w:cs="Calibri"/>
          <w:color w:val="auto"/>
          <w:sz w:val="22"/>
          <w:u w:val="single"/>
          <w:lang w:val="en-US"/>
        </w:rPr>
        <w:t>/</w:t>
      </w:r>
      <w:r w:rsidR="00FD69E9">
        <w:rPr>
          <w:rFonts w:ascii="Calibri" w:hAnsi="Calibri" w:cs="Calibri"/>
          <w:color w:val="auto"/>
          <w:sz w:val="22"/>
          <w:u w:val="single"/>
          <w:lang w:val="en-US"/>
        </w:rPr>
        <w:t>refuse</w:t>
      </w:r>
      <w:r w:rsidR="003421CA">
        <w:rPr>
          <w:rFonts w:ascii="Calibri" w:hAnsi="Calibri" w:cs="Calibri"/>
          <w:color w:val="auto"/>
          <w:sz w:val="22"/>
          <w:u w:val="single"/>
          <w:lang w:val="en-US"/>
        </w:rPr>
        <w:t>/</w:t>
      </w:r>
      <w:r w:rsidR="004E03B7" w:rsidRPr="004E03B7">
        <w:rPr>
          <w:rFonts w:ascii="Calibri" w:hAnsi="Calibri" w:cs="Calibri"/>
          <w:color w:val="auto"/>
          <w:sz w:val="22"/>
          <w:u w:val="single"/>
          <w:lang w:val="en-US"/>
        </w:rPr>
        <w:t xml:space="preserve">revoke any authorization or recognition if </w:t>
      </w:r>
      <w:r w:rsidR="004E03B7">
        <w:rPr>
          <w:rFonts w:ascii="Calibri" w:hAnsi="Calibri" w:cs="Calibri"/>
          <w:color w:val="auto"/>
          <w:sz w:val="22"/>
          <w:u w:val="single"/>
          <w:lang w:val="en-US"/>
        </w:rPr>
        <w:t xml:space="preserve">(i) </w:t>
      </w:r>
      <w:r w:rsidR="004E03B7" w:rsidRPr="004E03B7">
        <w:rPr>
          <w:rFonts w:ascii="Calibri" w:hAnsi="Calibri" w:cs="Calibri"/>
          <w:color w:val="auto"/>
          <w:sz w:val="22"/>
          <w:u w:val="single"/>
          <w:lang w:val="en-US"/>
        </w:rPr>
        <w:t>the information presented is false</w:t>
      </w:r>
      <w:r w:rsidR="004E03B7">
        <w:rPr>
          <w:rFonts w:ascii="Calibri" w:hAnsi="Calibri" w:cs="Calibri"/>
          <w:color w:val="auto"/>
          <w:sz w:val="22"/>
          <w:u w:val="single"/>
          <w:lang w:val="en-US"/>
        </w:rPr>
        <w:t xml:space="preserve">, </w:t>
      </w:r>
      <w:r w:rsidR="004E03B7" w:rsidRPr="004E03B7">
        <w:rPr>
          <w:rFonts w:ascii="Calibri" w:hAnsi="Calibri" w:cs="Calibri"/>
          <w:color w:val="auto"/>
          <w:sz w:val="22"/>
          <w:u w:val="single"/>
          <w:lang w:val="en-US"/>
        </w:rPr>
        <w:t>misleading or against public interest</w:t>
      </w:r>
      <w:r w:rsidR="00C76AE8">
        <w:rPr>
          <w:rFonts w:ascii="Calibri" w:hAnsi="Calibri" w:cs="Calibri"/>
          <w:color w:val="auto"/>
          <w:sz w:val="22"/>
          <w:lang w:val="en-US"/>
        </w:rPr>
        <w:t xml:space="preserve"> or</w:t>
      </w:r>
      <w:r w:rsidR="004E03B7">
        <w:rPr>
          <w:rFonts w:ascii="Calibri" w:hAnsi="Calibri" w:cs="Calibri"/>
          <w:color w:val="auto"/>
          <w:sz w:val="22"/>
          <w:lang w:val="en-US"/>
        </w:rPr>
        <w:t xml:space="preserve"> </w:t>
      </w:r>
      <w:r w:rsidR="00C76AE8">
        <w:rPr>
          <w:rFonts w:ascii="Calibri" w:hAnsi="Calibri" w:cs="Calibri"/>
          <w:color w:val="auto"/>
          <w:sz w:val="22"/>
          <w:lang w:val="en-US"/>
        </w:rPr>
        <w:t>(</w:t>
      </w:r>
      <w:r w:rsidR="004E03B7">
        <w:rPr>
          <w:rFonts w:ascii="Calibri" w:hAnsi="Calibri" w:cs="Calibri"/>
          <w:color w:val="auto"/>
          <w:sz w:val="22"/>
          <w:lang w:val="en-US"/>
        </w:rPr>
        <w:t xml:space="preserve">ii) the </w:t>
      </w:r>
      <w:r w:rsidR="004E03B7" w:rsidRPr="004E03B7">
        <w:rPr>
          <w:rFonts w:ascii="Calibri" w:hAnsi="Calibri" w:cs="Calibri"/>
          <w:color w:val="auto"/>
          <w:sz w:val="22"/>
          <w:u w:val="single"/>
          <w:lang w:val="en-US"/>
        </w:rPr>
        <w:t>offeror is an undischarged bankrupt</w:t>
      </w:r>
      <w:r w:rsidR="004E03B7">
        <w:rPr>
          <w:rFonts w:ascii="Calibri" w:hAnsi="Calibri" w:cs="Calibri"/>
          <w:color w:val="auto"/>
          <w:sz w:val="22"/>
          <w:lang w:val="en-US"/>
        </w:rPr>
        <w:t>. In the event of revocation, MAS would -</w:t>
      </w:r>
    </w:p>
    <w:p w14:paraId="69898E0A" w14:textId="77777777" w:rsidR="004E03B7" w:rsidRDefault="004E03B7" w:rsidP="009F73BE">
      <w:pPr>
        <w:pStyle w:val="BodyText"/>
        <w:numPr>
          <w:ilvl w:val="2"/>
          <w:numId w:val="104"/>
        </w:numPr>
        <w:jc w:val="both"/>
        <w:rPr>
          <w:rFonts w:ascii="Calibri" w:hAnsi="Calibri" w:cs="Calibri"/>
          <w:color w:val="auto"/>
          <w:sz w:val="22"/>
          <w:lang w:val="en-US"/>
        </w:rPr>
      </w:pPr>
      <w:r>
        <w:rPr>
          <w:rFonts w:ascii="Calibri" w:hAnsi="Calibri" w:cs="Calibri"/>
          <w:color w:val="auto"/>
          <w:sz w:val="22"/>
          <w:lang w:val="en-US"/>
        </w:rPr>
        <w:t xml:space="preserve">Grant the manager (or any responsible person) to </w:t>
      </w:r>
      <w:r w:rsidRPr="004E03B7">
        <w:rPr>
          <w:rFonts w:ascii="Calibri" w:hAnsi="Calibri" w:cs="Calibri"/>
          <w:color w:val="auto"/>
          <w:sz w:val="22"/>
          <w:u w:val="single"/>
          <w:lang w:val="en-US"/>
        </w:rPr>
        <w:t>appeal to the Minister against such decisions within 30 days</w:t>
      </w:r>
      <w:r>
        <w:rPr>
          <w:rFonts w:ascii="Calibri" w:hAnsi="Calibri" w:cs="Calibri"/>
          <w:color w:val="auto"/>
          <w:sz w:val="22"/>
          <w:lang w:val="en-US"/>
        </w:rPr>
        <w:t xml:space="preserve">. </w:t>
      </w:r>
    </w:p>
    <w:p w14:paraId="2D54AF2B" w14:textId="157357D0" w:rsidR="00A53571" w:rsidRDefault="004E03B7" w:rsidP="009F73BE">
      <w:pPr>
        <w:pStyle w:val="BodyText"/>
        <w:numPr>
          <w:ilvl w:val="2"/>
          <w:numId w:val="104"/>
        </w:numPr>
        <w:jc w:val="both"/>
        <w:rPr>
          <w:rFonts w:ascii="Calibri" w:hAnsi="Calibri" w:cs="Calibri"/>
          <w:color w:val="auto"/>
          <w:sz w:val="22"/>
          <w:lang w:val="en-US"/>
        </w:rPr>
      </w:pPr>
      <w:r>
        <w:rPr>
          <w:rFonts w:ascii="Calibri" w:hAnsi="Calibri" w:cs="Calibri"/>
          <w:color w:val="auto"/>
          <w:sz w:val="22"/>
          <w:lang w:val="en-US"/>
        </w:rPr>
        <w:t xml:space="preserve">Failing which, MAS may direct the manager (or any responsible person) to </w:t>
      </w:r>
      <w:r w:rsidRPr="004E03B7">
        <w:rPr>
          <w:rFonts w:ascii="Calibri" w:hAnsi="Calibri" w:cs="Calibri"/>
          <w:color w:val="auto"/>
          <w:sz w:val="22"/>
          <w:u w:val="single"/>
          <w:lang w:val="en-US"/>
        </w:rPr>
        <w:t xml:space="preserve">wind up the CIS </w:t>
      </w:r>
      <w:r w:rsidR="00C76AE8">
        <w:rPr>
          <w:rFonts w:ascii="Calibri" w:hAnsi="Calibri" w:cs="Calibri"/>
          <w:color w:val="auto"/>
          <w:sz w:val="22"/>
          <w:u w:val="single"/>
          <w:lang w:val="en-US"/>
        </w:rPr>
        <w:t xml:space="preserve">(involuntarily) </w:t>
      </w:r>
      <w:r w:rsidRPr="004E03B7">
        <w:rPr>
          <w:rFonts w:ascii="Calibri" w:hAnsi="Calibri" w:cs="Calibri"/>
          <w:color w:val="auto"/>
          <w:sz w:val="22"/>
          <w:u w:val="single"/>
          <w:lang w:val="en-US"/>
        </w:rPr>
        <w:t>and refund all the monies contributed by participants</w:t>
      </w:r>
      <w:r>
        <w:rPr>
          <w:rFonts w:ascii="Calibri" w:hAnsi="Calibri" w:cs="Calibri"/>
          <w:color w:val="auto"/>
          <w:sz w:val="22"/>
          <w:lang w:val="en-US"/>
        </w:rPr>
        <w:t>, assuming there are sufficient property</w:t>
      </w:r>
      <w:r w:rsidR="003421CA">
        <w:rPr>
          <w:rFonts w:ascii="Calibri" w:hAnsi="Calibri" w:cs="Calibri"/>
          <w:color w:val="auto"/>
          <w:sz w:val="22"/>
          <w:lang w:val="en-US"/>
        </w:rPr>
        <w:t>/</w:t>
      </w:r>
      <w:r>
        <w:rPr>
          <w:rFonts w:ascii="Calibri" w:hAnsi="Calibri" w:cs="Calibri"/>
          <w:color w:val="auto"/>
          <w:sz w:val="22"/>
          <w:lang w:val="en-US"/>
        </w:rPr>
        <w:t xml:space="preserve">assets to be liquidated. </w:t>
      </w:r>
    </w:p>
    <w:p w14:paraId="7599A062" w14:textId="2DB29F41" w:rsidR="00C76AE8" w:rsidRDefault="00C76AE8" w:rsidP="009F73BE">
      <w:pPr>
        <w:pStyle w:val="BodyText"/>
        <w:numPr>
          <w:ilvl w:val="1"/>
          <w:numId w:val="104"/>
        </w:numPr>
        <w:jc w:val="both"/>
        <w:rPr>
          <w:rFonts w:ascii="Calibri" w:hAnsi="Calibri" w:cs="Calibri"/>
          <w:color w:val="auto"/>
          <w:sz w:val="22"/>
          <w:lang w:val="en-US"/>
        </w:rPr>
      </w:pPr>
      <w:r>
        <w:rPr>
          <w:rFonts w:ascii="Calibri" w:hAnsi="Calibri" w:cs="Calibri"/>
          <w:color w:val="auto"/>
          <w:sz w:val="22"/>
          <w:lang w:val="en-US"/>
        </w:rPr>
        <w:t xml:space="preserve">For any voluntary windups, the trustee must </w:t>
      </w:r>
      <w:r w:rsidRPr="00C76AE8">
        <w:rPr>
          <w:rFonts w:ascii="Calibri" w:hAnsi="Calibri" w:cs="Calibri"/>
          <w:color w:val="auto"/>
          <w:sz w:val="22"/>
          <w:u w:val="single"/>
          <w:lang w:val="en-US"/>
        </w:rPr>
        <w:t xml:space="preserve">summon a meeting of the CIS participants by giving notice </w:t>
      </w:r>
      <w:r>
        <w:rPr>
          <w:rFonts w:ascii="Calibri" w:hAnsi="Calibri" w:cs="Calibri"/>
          <w:color w:val="auto"/>
          <w:sz w:val="22"/>
          <w:u w:val="single"/>
          <w:lang w:val="en-US"/>
        </w:rPr>
        <w:t xml:space="preserve">at least </w:t>
      </w:r>
      <w:r w:rsidRPr="00C76AE8">
        <w:rPr>
          <w:rFonts w:ascii="Calibri" w:hAnsi="Calibri" w:cs="Calibri"/>
          <w:color w:val="auto"/>
          <w:sz w:val="22"/>
          <w:u w:val="single"/>
          <w:lang w:val="en-US"/>
        </w:rPr>
        <w:t>21 days before the proposed wind-up</w:t>
      </w:r>
      <w:r>
        <w:rPr>
          <w:rFonts w:ascii="Calibri" w:hAnsi="Calibri" w:cs="Calibri"/>
          <w:color w:val="auto"/>
          <w:sz w:val="22"/>
          <w:lang w:val="en-US"/>
        </w:rPr>
        <w:t xml:space="preserve"> and </w:t>
      </w:r>
      <w:r w:rsidRPr="00C76AE8">
        <w:rPr>
          <w:rFonts w:ascii="Calibri" w:hAnsi="Calibri" w:cs="Calibri"/>
          <w:color w:val="auto"/>
          <w:sz w:val="22"/>
          <w:u w:val="single"/>
          <w:lang w:val="en-US"/>
        </w:rPr>
        <w:t>obtain at least 75% approval</w:t>
      </w:r>
      <w:r>
        <w:rPr>
          <w:rFonts w:ascii="Calibri" w:hAnsi="Calibri" w:cs="Calibri"/>
          <w:color w:val="auto"/>
          <w:sz w:val="22"/>
          <w:lang w:val="en-US"/>
        </w:rPr>
        <w:t>. The manager (or any responsible person) would then be required to notify MAS at least 7 days before its proposed wind-up</w:t>
      </w:r>
      <w:r w:rsidR="00FD69E9">
        <w:rPr>
          <w:rFonts w:ascii="Calibri" w:hAnsi="Calibri" w:cs="Calibri"/>
          <w:color w:val="auto"/>
          <w:sz w:val="22"/>
          <w:lang w:val="en-US"/>
        </w:rPr>
        <w:t xml:space="preserve">, while the trustee is required to submit a declaration statement to affirm the CIS proceeds/liabilities. </w:t>
      </w:r>
      <w:r w:rsidR="00FD69E9" w:rsidRPr="00FD69E9">
        <w:rPr>
          <w:rFonts w:ascii="Calibri" w:hAnsi="Calibri" w:cs="Calibri"/>
          <w:color w:val="auto"/>
          <w:sz w:val="22"/>
          <w:u w:val="single"/>
          <w:lang w:val="en-US"/>
        </w:rPr>
        <w:t>All records are to be kept at the trustee for a period of 6 years</w:t>
      </w:r>
      <w:r w:rsidR="00FD69E9">
        <w:rPr>
          <w:rFonts w:ascii="Calibri" w:hAnsi="Calibri" w:cs="Calibri"/>
          <w:color w:val="auto"/>
          <w:sz w:val="22"/>
          <w:lang w:val="en-US"/>
        </w:rPr>
        <w:t>.</w:t>
      </w:r>
    </w:p>
    <w:p w14:paraId="472E941D" w14:textId="2CB8F12B" w:rsidR="0057720E" w:rsidRPr="0057720E" w:rsidRDefault="0057720E" w:rsidP="009F73BE">
      <w:pPr>
        <w:pStyle w:val="BodyText"/>
        <w:numPr>
          <w:ilvl w:val="0"/>
          <w:numId w:val="104"/>
        </w:numPr>
        <w:jc w:val="both"/>
        <w:rPr>
          <w:rFonts w:ascii="Calibri" w:hAnsi="Calibri" w:cs="Calibri"/>
          <w:color w:val="auto"/>
          <w:sz w:val="22"/>
          <w:lang w:val="en-US"/>
        </w:rPr>
      </w:pPr>
      <w:r w:rsidRPr="00DE5223">
        <w:rPr>
          <w:rFonts w:ascii="Calibri" w:hAnsi="Calibri" w:cs="Calibri"/>
          <w:b/>
          <w:bCs/>
          <w:color w:val="auto"/>
          <w:sz w:val="22"/>
          <w:lang w:val="en-US"/>
        </w:rPr>
        <w:t xml:space="preserve">Permissible CIS </w:t>
      </w:r>
      <w:r w:rsidR="0043724D">
        <w:rPr>
          <w:rFonts w:ascii="Calibri" w:hAnsi="Calibri" w:cs="Calibri"/>
          <w:b/>
          <w:bCs/>
          <w:color w:val="auto"/>
          <w:sz w:val="22"/>
          <w:lang w:val="en-US"/>
        </w:rPr>
        <w:t>S</w:t>
      </w:r>
      <w:r w:rsidRPr="00DE5223">
        <w:rPr>
          <w:rFonts w:ascii="Calibri" w:hAnsi="Calibri" w:cs="Calibri"/>
          <w:b/>
          <w:bCs/>
          <w:color w:val="auto"/>
          <w:sz w:val="22"/>
          <w:lang w:val="en-US"/>
        </w:rPr>
        <w:t>ecurities</w:t>
      </w:r>
      <w:r w:rsidR="0065264D">
        <w:rPr>
          <w:rFonts w:ascii="Calibri" w:hAnsi="Calibri" w:cs="Calibri"/>
          <w:color w:val="auto"/>
          <w:sz w:val="22"/>
          <w:lang w:val="en-US"/>
        </w:rPr>
        <w:t>:</w:t>
      </w:r>
    </w:p>
    <w:p w14:paraId="60F501C3" w14:textId="7CB9406F" w:rsidR="0057720E" w:rsidRPr="00B52D53" w:rsidRDefault="0057720E" w:rsidP="009F73BE">
      <w:pPr>
        <w:pStyle w:val="BodyText"/>
        <w:numPr>
          <w:ilvl w:val="1"/>
          <w:numId w:val="104"/>
        </w:numPr>
        <w:jc w:val="both"/>
        <w:rPr>
          <w:rFonts w:ascii="Calibri" w:hAnsi="Calibri" w:cs="Calibri"/>
          <w:color w:val="auto"/>
          <w:sz w:val="22"/>
          <w:lang w:val="en-US"/>
        </w:rPr>
      </w:pPr>
      <w:r w:rsidRPr="0057720E">
        <w:rPr>
          <w:rFonts w:ascii="Calibri" w:hAnsi="Calibri" w:cs="Calibri"/>
          <w:b/>
          <w:bCs/>
          <w:color w:val="auto"/>
          <w:sz w:val="22"/>
          <w:lang w:val="en-US"/>
        </w:rPr>
        <w:t>Transferable securities</w:t>
      </w:r>
      <w:r w:rsidRPr="00B52D53">
        <w:rPr>
          <w:rFonts w:ascii="Calibri" w:hAnsi="Calibri" w:cs="Calibri"/>
          <w:color w:val="auto"/>
          <w:sz w:val="22"/>
          <w:lang w:val="en-US"/>
        </w:rPr>
        <w:t xml:space="preserve">: They must be liquid, verifiable (through market, annual reports etc.) and maximum loss is limited to the amount bought. </w:t>
      </w:r>
      <w:r w:rsidR="00A116FC">
        <w:rPr>
          <w:rFonts w:ascii="Calibri" w:hAnsi="Calibri" w:cs="Calibri"/>
          <w:color w:val="auto"/>
          <w:sz w:val="22"/>
          <w:lang w:val="en-US"/>
        </w:rPr>
        <w:t>Examples include s</w:t>
      </w:r>
      <w:r w:rsidRPr="00B52D53">
        <w:rPr>
          <w:rFonts w:ascii="Calibri" w:hAnsi="Calibri" w:cs="Calibri"/>
          <w:color w:val="auto"/>
          <w:sz w:val="22"/>
          <w:lang w:val="en-US"/>
        </w:rPr>
        <w:t xml:space="preserve">hares, bonds, securitized debt instruments etc.  </w:t>
      </w:r>
    </w:p>
    <w:p w14:paraId="32517EE4" w14:textId="77777777" w:rsidR="0057720E" w:rsidRPr="0057720E" w:rsidRDefault="0057720E" w:rsidP="009F73BE">
      <w:pPr>
        <w:pStyle w:val="BodyText"/>
        <w:numPr>
          <w:ilvl w:val="1"/>
          <w:numId w:val="104"/>
        </w:numPr>
        <w:jc w:val="both"/>
        <w:rPr>
          <w:rFonts w:ascii="Calibri" w:hAnsi="Calibri" w:cs="Calibri"/>
          <w:b/>
          <w:bCs/>
          <w:color w:val="auto"/>
          <w:sz w:val="22"/>
          <w:lang w:val="en-US"/>
        </w:rPr>
      </w:pPr>
      <w:r w:rsidRPr="0057720E">
        <w:rPr>
          <w:rFonts w:ascii="Calibri" w:hAnsi="Calibri" w:cs="Calibri"/>
          <w:b/>
          <w:bCs/>
          <w:color w:val="auto"/>
          <w:sz w:val="22"/>
          <w:lang w:val="en-US"/>
        </w:rPr>
        <w:t>Money market instruments</w:t>
      </w:r>
    </w:p>
    <w:p w14:paraId="7B7DBDA0" w14:textId="77777777" w:rsidR="0057720E" w:rsidRPr="00B52D53" w:rsidRDefault="0057720E" w:rsidP="009F73BE">
      <w:pPr>
        <w:pStyle w:val="BodyText"/>
        <w:numPr>
          <w:ilvl w:val="1"/>
          <w:numId w:val="104"/>
        </w:numPr>
        <w:jc w:val="both"/>
        <w:rPr>
          <w:rFonts w:ascii="Calibri" w:hAnsi="Calibri" w:cs="Calibri"/>
          <w:color w:val="auto"/>
          <w:sz w:val="22"/>
          <w:lang w:val="en-US"/>
        </w:rPr>
      </w:pPr>
      <w:r w:rsidRPr="0057720E">
        <w:rPr>
          <w:rFonts w:ascii="Calibri" w:hAnsi="Calibri" w:cs="Calibri"/>
          <w:b/>
          <w:bCs/>
          <w:color w:val="auto"/>
          <w:sz w:val="22"/>
          <w:lang w:val="en-US"/>
        </w:rPr>
        <w:t>Eligible deposits</w:t>
      </w:r>
      <w:r w:rsidRPr="00B52D53">
        <w:rPr>
          <w:rFonts w:ascii="Calibri" w:hAnsi="Calibri" w:cs="Calibri"/>
          <w:color w:val="auto"/>
          <w:sz w:val="22"/>
          <w:lang w:val="en-US"/>
        </w:rPr>
        <w:t xml:space="preserve"> (banks, wholesale banks, merchant banks, finance companies)</w:t>
      </w:r>
    </w:p>
    <w:p w14:paraId="0F31F4F5" w14:textId="77777777" w:rsidR="00AA326A" w:rsidRDefault="0057720E" w:rsidP="009F73BE">
      <w:pPr>
        <w:pStyle w:val="BodyText"/>
        <w:numPr>
          <w:ilvl w:val="1"/>
          <w:numId w:val="104"/>
        </w:numPr>
        <w:jc w:val="both"/>
        <w:rPr>
          <w:rFonts w:ascii="Calibri" w:hAnsi="Calibri" w:cs="Calibri"/>
          <w:color w:val="auto"/>
          <w:sz w:val="22"/>
          <w:lang w:val="en-US"/>
        </w:rPr>
      </w:pPr>
      <w:r w:rsidRPr="0057720E">
        <w:rPr>
          <w:rFonts w:ascii="Calibri" w:hAnsi="Calibri" w:cs="Calibri"/>
          <w:b/>
          <w:bCs/>
          <w:color w:val="auto"/>
          <w:sz w:val="22"/>
          <w:lang w:val="en-US"/>
        </w:rPr>
        <w:t>Units in other schemes</w:t>
      </w:r>
      <w:r w:rsidRPr="00B52D53">
        <w:rPr>
          <w:rFonts w:ascii="Calibri" w:hAnsi="Calibri" w:cs="Calibri"/>
          <w:color w:val="auto"/>
          <w:sz w:val="22"/>
          <w:lang w:val="en-US"/>
        </w:rPr>
        <w:t xml:space="preserve">: </w:t>
      </w:r>
      <w:r w:rsidR="00116FE4">
        <w:rPr>
          <w:rFonts w:ascii="Calibri" w:hAnsi="Calibri" w:cs="Calibri"/>
          <w:color w:val="auto"/>
          <w:sz w:val="22"/>
          <w:lang w:val="en-US"/>
        </w:rPr>
        <w:t xml:space="preserve">Under the Code on CIS, a scheme may invest in other schemes if the underlying scheme is </w:t>
      </w:r>
    </w:p>
    <w:p w14:paraId="2BC73253" w14:textId="711C59FF" w:rsidR="00116FE4" w:rsidRDefault="005F6635" w:rsidP="009F73BE">
      <w:pPr>
        <w:pStyle w:val="BodyText"/>
        <w:numPr>
          <w:ilvl w:val="2"/>
          <w:numId w:val="104"/>
        </w:numPr>
        <w:jc w:val="both"/>
        <w:rPr>
          <w:rFonts w:ascii="Calibri" w:hAnsi="Calibri" w:cs="Calibri"/>
          <w:color w:val="auto"/>
          <w:sz w:val="22"/>
          <w:lang w:val="en-US"/>
        </w:rPr>
      </w:pPr>
      <w:r>
        <w:rPr>
          <w:rFonts w:ascii="Calibri" w:hAnsi="Calibri" w:cs="Calibri"/>
          <w:color w:val="auto"/>
          <w:sz w:val="22"/>
          <w:lang w:val="en-US"/>
        </w:rPr>
        <w:t xml:space="preserve">(a) </w:t>
      </w:r>
      <w:r w:rsidR="00AA326A">
        <w:rPr>
          <w:rFonts w:ascii="Calibri" w:hAnsi="Calibri" w:cs="Calibri"/>
          <w:color w:val="auto"/>
          <w:sz w:val="22"/>
          <w:lang w:val="en-US"/>
        </w:rPr>
        <w:t>A</w:t>
      </w:r>
      <w:r w:rsidR="00116FE4">
        <w:rPr>
          <w:rFonts w:ascii="Calibri" w:hAnsi="Calibri" w:cs="Calibri"/>
          <w:color w:val="auto"/>
          <w:sz w:val="22"/>
          <w:lang w:val="en-US"/>
        </w:rPr>
        <w:t xml:space="preserve">n </w:t>
      </w:r>
      <w:r w:rsidR="00116FE4" w:rsidRPr="00267B68">
        <w:rPr>
          <w:rFonts w:ascii="Calibri" w:hAnsi="Calibri" w:cs="Calibri"/>
          <w:color w:val="auto"/>
          <w:sz w:val="22"/>
          <w:u w:val="single"/>
          <w:lang w:val="en-US"/>
        </w:rPr>
        <w:t xml:space="preserve">authorized or recognized scheme, excluding HFs and </w:t>
      </w:r>
      <w:proofErr w:type="spellStart"/>
      <w:r w:rsidR="00116FE4" w:rsidRPr="00267B68">
        <w:rPr>
          <w:rFonts w:ascii="Calibri" w:hAnsi="Calibri" w:cs="Calibri"/>
          <w:color w:val="auto"/>
          <w:sz w:val="22"/>
          <w:u w:val="single"/>
          <w:lang w:val="en-US"/>
        </w:rPr>
        <w:t>FoHFs</w:t>
      </w:r>
      <w:proofErr w:type="spellEnd"/>
      <w:r w:rsidR="0055572F" w:rsidRPr="005F6635">
        <w:rPr>
          <w:rFonts w:ascii="Calibri" w:hAnsi="Calibri" w:cs="Calibri"/>
          <w:color w:val="auto"/>
          <w:sz w:val="22"/>
          <w:lang w:val="en-US"/>
        </w:rPr>
        <w:t>; or</w:t>
      </w:r>
    </w:p>
    <w:p w14:paraId="1E53F1EC" w14:textId="7938FC86" w:rsidR="00AA326A" w:rsidRPr="0055572F" w:rsidRDefault="005F6635" w:rsidP="009F73BE">
      <w:pPr>
        <w:pStyle w:val="BodyText"/>
        <w:numPr>
          <w:ilvl w:val="2"/>
          <w:numId w:val="104"/>
        </w:numPr>
        <w:jc w:val="both"/>
        <w:rPr>
          <w:rFonts w:ascii="Calibri" w:hAnsi="Calibri" w:cs="Calibri"/>
          <w:color w:val="auto"/>
          <w:sz w:val="22"/>
          <w:lang w:val="en-US"/>
        </w:rPr>
      </w:pPr>
      <w:r>
        <w:rPr>
          <w:rFonts w:ascii="Calibri" w:hAnsi="Calibri" w:cs="Calibri"/>
          <w:color w:val="auto"/>
          <w:sz w:val="22"/>
          <w:lang w:val="en-US"/>
        </w:rPr>
        <w:t xml:space="preserve">(b) </w:t>
      </w:r>
      <w:r w:rsidR="00AA326A">
        <w:rPr>
          <w:rFonts w:ascii="Calibri" w:hAnsi="Calibri" w:cs="Calibri"/>
          <w:color w:val="auto"/>
          <w:sz w:val="22"/>
          <w:lang w:val="en-US"/>
        </w:rPr>
        <w:t xml:space="preserve">Constituted and regulated </w:t>
      </w:r>
      <w:r w:rsidR="00E8321D">
        <w:rPr>
          <w:rFonts w:ascii="Calibri" w:hAnsi="Calibri" w:cs="Calibri"/>
          <w:color w:val="auto"/>
          <w:sz w:val="22"/>
          <w:lang w:val="en-US"/>
        </w:rPr>
        <w:t xml:space="preserve">in a jurisdiction that </w:t>
      </w:r>
      <w:r w:rsidR="00683AE6">
        <w:rPr>
          <w:rFonts w:ascii="Calibri" w:hAnsi="Calibri" w:cs="Calibri"/>
          <w:color w:val="auto"/>
          <w:sz w:val="22"/>
          <w:lang w:val="en-US"/>
        </w:rPr>
        <w:t xml:space="preserve">affords </w:t>
      </w:r>
      <w:r w:rsidR="00683AE6" w:rsidRPr="00267B68">
        <w:rPr>
          <w:rFonts w:ascii="Calibri" w:hAnsi="Calibri" w:cs="Calibri"/>
          <w:color w:val="auto"/>
          <w:sz w:val="22"/>
          <w:u w:val="single"/>
          <w:lang w:val="en-US"/>
        </w:rPr>
        <w:t xml:space="preserve">protection </w:t>
      </w:r>
      <w:r w:rsidR="002B59C6" w:rsidRPr="00267B68">
        <w:rPr>
          <w:rFonts w:ascii="Calibri" w:hAnsi="Calibri" w:cs="Calibri"/>
          <w:color w:val="auto"/>
          <w:sz w:val="22"/>
          <w:u w:val="single"/>
          <w:lang w:val="en-US"/>
        </w:rPr>
        <w:t>equivalent to</w:t>
      </w:r>
      <w:r w:rsidR="00683AE6" w:rsidRPr="00267B68">
        <w:rPr>
          <w:rFonts w:ascii="Calibri" w:hAnsi="Calibri" w:cs="Calibri"/>
          <w:color w:val="auto"/>
          <w:sz w:val="22"/>
          <w:u w:val="single"/>
          <w:lang w:val="en-US"/>
        </w:rPr>
        <w:t xml:space="preserve"> those constituted in Singapore</w:t>
      </w:r>
      <w:r w:rsidR="0055572F">
        <w:rPr>
          <w:rFonts w:ascii="Calibri" w:hAnsi="Calibri" w:cs="Calibri"/>
          <w:color w:val="auto"/>
          <w:sz w:val="22"/>
          <w:lang w:val="en-US"/>
        </w:rPr>
        <w:t xml:space="preserve"> and </w:t>
      </w:r>
      <w:r w:rsidR="0055572F">
        <w:rPr>
          <w:rFonts w:ascii="Calibri" w:hAnsi="Calibri" w:cs="Calibri"/>
          <w:color w:val="auto"/>
          <w:sz w:val="22"/>
          <w:u w:val="single"/>
          <w:lang w:val="en-US"/>
        </w:rPr>
        <w:t>c</w:t>
      </w:r>
      <w:r w:rsidR="00267B68" w:rsidRPr="0055572F">
        <w:rPr>
          <w:rFonts w:ascii="Calibri" w:hAnsi="Calibri" w:cs="Calibri"/>
          <w:color w:val="auto"/>
          <w:sz w:val="22"/>
          <w:u w:val="single"/>
          <w:lang w:val="en-US"/>
        </w:rPr>
        <w:t>omply with core investment guidelines and borrowing limits</w:t>
      </w:r>
      <w:r w:rsidRPr="005F6635">
        <w:rPr>
          <w:rFonts w:ascii="Calibri" w:hAnsi="Calibri" w:cs="Calibri"/>
          <w:color w:val="auto"/>
          <w:sz w:val="22"/>
          <w:lang w:val="en-US"/>
        </w:rPr>
        <w:t>; or</w:t>
      </w:r>
    </w:p>
    <w:p w14:paraId="7F3CFDB3" w14:textId="10F4A143" w:rsidR="00267B68" w:rsidRDefault="005F6635" w:rsidP="009F73BE">
      <w:pPr>
        <w:pStyle w:val="BodyText"/>
        <w:numPr>
          <w:ilvl w:val="2"/>
          <w:numId w:val="104"/>
        </w:numPr>
        <w:jc w:val="both"/>
        <w:rPr>
          <w:rFonts w:ascii="Calibri" w:hAnsi="Calibri" w:cs="Calibri"/>
          <w:color w:val="auto"/>
          <w:sz w:val="22"/>
          <w:lang w:val="en-US"/>
        </w:rPr>
      </w:pPr>
      <w:r>
        <w:rPr>
          <w:rFonts w:ascii="Calibri" w:hAnsi="Calibri" w:cs="Calibri"/>
          <w:color w:val="auto"/>
          <w:sz w:val="22"/>
          <w:lang w:val="en-US"/>
        </w:rPr>
        <w:t xml:space="preserve">(c) </w:t>
      </w:r>
      <w:r w:rsidR="00FE4276">
        <w:rPr>
          <w:rFonts w:ascii="Calibri" w:hAnsi="Calibri" w:cs="Calibri"/>
          <w:color w:val="auto"/>
          <w:sz w:val="22"/>
          <w:lang w:val="en-US"/>
        </w:rPr>
        <w:t xml:space="preserve">Invested into </w:t>
      </w:r>
      <w:r w:rsidR="00FE4276" w:rsidRPr="000A0786">
        <w:rPr>
          <w:rFonts w:ascii="Calibri" w:hAnsi="Calibri" w:cs="Calibri"/>
          <w:color w:val="auto"/>
          <w:sz w:val="22"/>
          <w:u w:val="single"/>
          <w:lang w:val="en-US"/>
        </w:rPr>
        <w:t>transferable securities</w:t>
      </w:r>
      <w:r w:rsidR="000A0786" w:rsidRPr="000A0786">
        <w:rPr>
          <w:rFonts w:ascii="Calibri" w:hAnsi="Calibri" w:cs="Calibri"/>
          <w:color w:val="auto"/>
          <w:sz w:val="22"/>
          <w:u w:val="single"/>
          <w:lang w:val="en-US"/>
        </w:rPr>
        <w:t>, commodities</w:t>
      </w:r>
      <w:r w:rsidR="00492192">
        <w:rPr>
          <w:rStyle w:val="FootnoteReference"/>
          <w:rFonts w:ascii="Calibri" w:hAnsi="Calibri" w:cs="Calibri"/>
          <w:color w:val="auto"/>
          <w:sz w:val="22"/>
          <w:u w:val="single"/>
        </w:rPr>
        <w:footnoteReference w:id="6"/>
      </w:r>
      <w:r w:rsidR="000A0786" w:rsidRPr="000A0786">
        <w:rPr>
          <w:rFonts w:ascii="Calibri" w:hAnsi="Calibri" w:cs="Calibri"/>
          <w:color w:val="auto"/>
          <w:sz w:val="22"/>
          <w:u w:val="single"/>
          <w:lang w:val="en-US"/>
        </w:rPr>
        <w:t xml:space="preserve"> and real estate</w:t>
      </w:r>
      <w:r w:rsidR="000A0786">
        <w:rPr>
          <w:rFonts w:ascii="Calibri" w:hAnsi="Calibri" w:cs="Calibri"/>
          <w:color w:val="auto"/>
          <w:sz w:val="22"/>
          <w:lang w:val="en-US"/>
        </w:rPr>
        <w:t xml:space="preserve"> that are </w:t>
      </w:r>
      <w:r w:rsidR="000A0786" w:rsidRPr="000A0786">
        <w:rPr>
          <w:rFonts w:ascii="Calibri" w:hAnsi="Calibri" w:cs="Calibri"/>
          <w:color w:val="auto"/>
          <w:sz w:val="22"/>
          <w:u w:val="single"/>
          <w:lang w:val="en-US"/>
        </w:rPr>
        <w:t>listed for quotation</w:t>
      </w:r>
      <w:r w:rsidR="000A0786">
        <w:rPr>
          <w:rFonts w:ascii="Calibri" w:hAnsi="Calibri" w:cs="Calibri"/>
          <w:color w:val="auto"/>
          <w:sz w:val="22"/>
          <w:lang w:val="en-US"/>
        </w:rPr>
        <w:t>.</w:t>
      </w:r>
    </w:p>
    <w:p w14:paraId="42F1F329" w14:textId="77777777" w:rsidR="0057720E" w:rsidRDefault="0057720E" w:rsidP="009F73BE">
      <w:pPr>
        <w:pStyle w:val="BodyText"/>
        <w:numPr>
          <w:ilvl w:val="1"/>
          <w:numId w:val="104"/>
        </w:numPr>
        <w:jc w:val="both"/>
        <w:rPr>
          <w:rFonts w:ascii="Calibri" w:hAnsi="Calibri" w:cs="Calibri"/>
          <w:b/>
          <w:bCs/>
          <w:color w:val="auto"/>
          <w:sz w:val="22"/>
          <w:lang w:val="en-US"/>
        </w:rPr>
      </w:pPr>
      <w:r w:rsidRPr="0057720E">
        <w:rPr>
          <w:rFonts w:ascii="Calibri" w:hAnsi="Calibri" w:cs="Calibri"/>
          <w:b/>
          <w:bCs/>
          <w:color w:val="auto"/>
          <w:sz w:val="22"/>
          <w:lang w:val="en-US"/>
        </w:rPr>
        <w:t>Financial derivatives</w:t>
      </w:r>
    </w:p>
    <w:p w14:paraId="2F560AC0" w14:textId="4F461C20" w:rsidR="009B0831" w:rsidRPr="009B0831" w:rsidRDefault="00AE5919" w:rsidP="009F73BE">
      <w:pPr>
        <w:pStyle w:val="BodyText"/>
        <w:numPr>
          <w:ilvl w:val="2"/>
          <w:numId w:val="104"/>
        </w:numPr>
        <w:jc w:val="both"/>
        <w:rPr>
          <w:rFonts w:ascii="Calibri" w:hAnsi="Calibri" w:cs="Calibri"/>
          <w:b/>
          <w:bCs/>
          <w:color w:val="auto"/>
          <w:sz w:val="22"/>
          <w:lang w:val="en-US"/>
        </w:rPr>
      </w:pPr>
      <w:r>
        <w:rPr>
          <w:rFonts w:ascii="Calibri" w:hAnsi="Calibri" w:cs="Calibri"/>
          <w:color w:val="auto"/>
          <w:sz w:val="22"/>
          <w:lang w:val="en-US"/>
        </w:rPr>
        <w:lastRenderedPageBreak/>
        <w:t xml:space="preserve">The </w:t>
      </w:r>
      <w:r w:rsidR="00202E92">
        <w:rPr>
          <w:rFonts w:ascii="Calibri" w:hAnsi="Calibri" w:cs="Calibri"/>
          <w:color w:val="auto"/>
          <w:sz w:val="22"/>
          <w:lang w:val="en-US"/>
        </w:rPr>
        <w:t xml:space="preserve">purpose of the financial derivatives </w:t>
      </w:r>
      <w:r w:rsidR="005B7FAA">
        <w:rPr>
          <w:rFonts w:ascii="Calibri" w:hAnsi="Calibri" w:cs="Calibri"/>
          <w:color w:val="auto"/>
          <w:sz w:val="22"/>
          <w:lang w:val="en-US"/>
        </w:rPr>
        <w:t xml:space="preserve">in CIS </w:t>
      </w:r>
      <w:r w:rsidR="00751783">
        <w:rPr>
          <w:rFonts w:ascii="Calibri" w:hAnsi="Calibri" w:cs="Calibri"/>
          <w:color w:val="auto"/>
          <w:sz w:val="22"/>
          <w:lang w:val="en-US"/>
        </w:rPr>
        <w:t>are</w:t>
      </w:r>
      <w:r w:rsidR="00202E92">
        <w:rPr>
          <w:rFonts w:ascii="Calibri" w:hAnsi="Calibri" w:cs="Calibri"/>
          <w:color w:val="auto"/>
          <w:sz w:val="22"/>
          <w:lang w:val="en-US"/>
        </w:rPr>
        <w:t xml:space="preserve"> used</w:t>
      </w:r>
      <w:r w:rsidR="005B7FAA">
        <w:rPr>
          <w:rFonts w:ascii="Calibri" w:hAnsi="Calibri" w:cs="Calibri"/>
          <w:color w:val="auto"/>
          <w:sz w:val="22"/>
          <w:lang w:val="en-US"/>
        </w:rPr>
        <w:t xml:space="preserve"> for the purposes of</w:t>
      </w:r>
      <w:r w:rsidR="00202E92">
        <w:rPr>
          <w:rFonts w:ascii="Calibri" w:hAnsi="Calibri" w:cs="Calibri"/>
          <w:color w:val="auto"/>
          <w:sz w:val="22"/>
          <w:lang w:val="en-US"/>
        </w:rPr>
        <w:t xml:space="preserve"> </w:t>
      </w:r>
      <w:r w:rsidR="00202E92" w:rsidRPr="005B7FAA">
        <w:rPr>
          <w:rFonts w:ascii="Calibri" w:hAnsi="Calibri" w:cs="Calibri"/>
          <w:color w:val="auto"/>
          <w:sz w:val="22"/>
          <w:u w:val="single"/>
          <w:lang w:val="en-US"/>
        </w:rPr>
        <w:t>hedg</w:t>
      </w:r>
      <w:r w:rsidR="005B7FAA" w:rsidRPr="005B7FAA">
        <w:rPr>
          <w:rFonts w:ascii="Calibri" w:hAnsi="Calibri" w:cs="Calibri"/>
          <w:color w:val="auto"/>
          <w:sz w:val="22"/>
          <w:u w:val="single"/>
          <w:lang w:val="en-US"/>
        </w:rPr>
        <w:t>ing</w:t>
      </w:r>
      <w:r w:rsidR="00202E92" w:rsidRPr="005B7FAA">
        <w:rPr>
          <w:rFonts w:ascii="Calibri" w:hAnsi="Calibri" w:cs="Calibri"/>
          <w:color w:val="auto"/>
          <w:sz w:val="22"/>
          <w:u w:val="single"/>
          <w:lang w:val="en-US"/>
        </w:rPr>
        <w:t xml:space="preserve">, </w:t>
      </w:r>
      <w:r w:rsidR="005B7FAA" w:rsidRPr="005B7FAA">
        <w:rPr>
          <w:rFonts w:ascii="Calibri" w:hAnsi="Calibri" w:cs="Calibri"/>
          <w:color w:val="auto"/>
          <w:sz w:val="22"/>
          <w:u w:val="single"/>
          <w:lang w:val="en-US"/>
        </w:rPr>
        <w:t>efficient portfolio management and optimizing returns</w:t>
      </w:r>
      <w:r w:rsidR="005B7FAA">
        <w:rPr>
          <w:rFonts w:ascii="Calibri" w:hAnsi="Calibri" w:cs="Calibri"/>
          <w:color w:val="auto"/>
          <w:sz w:val="22"/>
          <w:lang w:val="en-US"/>
        </w:rPr>
        <w:t xml:space="preserve">. The </w:t>
      </w:r>
      <w:r>
        <w:rPr>
          <w:rFonts w:ascii="Calibri" w:hAnsi="Calibri" w:cs="Calibri"/>
          <w:color w:val="auto"/>
          <w:sz w:val="22"/>
          <w:lang w:val="en-US"/>
        </w:rPr>
        <w:t>underlying would</w:t>
      </w:r>
      <w:r w:rsidR="001162DE">
        <w:rPr>
          <w:rFonts w:ascii="Calibri" w:hAnsi="Calibri" w:cs="Calibri"/>
          <w:color w:val="auto"/>
          <w:sz w:val="22"/>
          <w:lang w:val="en-US"/>
        </w:rPr>
        <w:t xml:space="preserve"> include commodities</w:t>
      </w:r>
      <w:r w:rsidR="00435121">
        <w:rPr>
          <w:rFonts w:ascii="Calibri" w:hAnsi="Calibri" w:cs="Calibri"/>
          <w:color w:val="auto"/>
          <w:sz w:val="22"/>
          <w:lang w:val="en-US"/>
        </w:rPr>
        <w:t>, index funds, interest rates, FX and currencies.</w:t>
      </w:r>
      <w:r w:rsidR="00D3726B">
        <w:rPr>
          <w:rFonts w:ascii="Calibri" w:hAnsi="Calibri" w:cs="Calibri"/>
          <w:color w:val="auto"/>
          <w:sz w:val="22"/>
          <w:lang w:val="en-US"/>
        </w:rPr>
        <w:t xml:space="preserve"> </w:t>
      </w:r>
    </w:p>
    <w:p w14:paraId="6D5C455B" w14:textId="09D3C990" w:rsidR="001162DE" w:rsidRPr="009A4506" w:rsidRDefault="009B0831" w:rsidP="009F73BE">
      <w:pPr>
        <w:pStyle w:val="BodyText"/>
        <w:numPr>
          <w:ilvl w:val="2"/>
          <w:numId w:val="104"/>
        </w:numPr>
        <w:jc w:val="both"/>
        <w:rPr>
          <w:rFonts w:ascii="Calibri" w:hAnsi="Calibri" w:cs="Calibri"/>
          <w:b/>
          <w:bCs/>
          <w:color w:val="auto"/>
          <w:sz w:val="22"/>
          <w:lang w:val="en-US"/>
        </w:rPr>
      </w:pPr>
      <w:r w:rsidRPr="0050303F">
        <w:rPr>
          <w:rFonts w:ascii="Calibri" w:hAnsi="Calibri" w:cs="Calibri"/>
          <w:color w:val="auto"/>
          <w:sz w:val="22"/>
          <w:u w:val="single"/>
          <w:lang w:val="en-US"/>
        </w:rPr>
        <w:t>All financial deriv</w:t>
      </w:r>
      <w:r w:rsidR="00B242C3" w:rsidRPr="0050303F">
        <w:rPr>
          <w:rFonts w:ascii="Calibri" w:hAnsi="Calibri" w:cs="Calibri"/>
          <w:color w:val="auto"/>
          <w:sz w:val="22"/>
          <w:u w:val="single"/>
          <w:lang w:val="en-US"/>
        </w:rPr>
        <w:t>atives should be settled</w:t>
      </w:r>
      <w:r w:rsidR="0014058E" w:rsidRPr="0050303F">
        <w:rPr>
          <w:rFonts w:ascii="Calibri" w:hAnsi="Calibri" w:cs="Calibri"/>
          <w:color w:val="auto"/>
          <w:sz w:val="22"/>
          <w:u w:val="single"/>
          <w:lang w:val="en-US"/>
        </w:rPr>
        <w:t xml:space="preserve"> in cash</w:t>
      </w:r>
      <w:r w:rsidR="00AF77A8">
        <w:rPr>
          <w:rFonts w:ascii="Calibri" w:hAnsi="Calibri" w:cs="Calibri"/>
          <w:color w:val="auto"/>
          <w:sz w:val="22"/>
          <w:lang w:val="en-US"/>
        </w:rPr>
        <w:t>.</w:t>
      </w:r>
      <w:r w:rsidR="00B242C3">
        <w:rPr>
          <w:rFonts w:ascii="Calibri" w:hAnsi="Calibri" w:cs="Calibri"/>
          <w:color w:val="auto"/>
          <w:sz w:val="22"/>
          <w:lang w:val="en-US"/>
        </w:rPr>
        <w:t xml:space="preserve"> </w:t>
      </w:r>
      <w:r w:rsidR="00546836">
        <w:rPr>
          <w:rFonts w:ascii="Calibri" w:hAnsi="Calibri" w:cs="Calibri"/>
          <w:color w:val="auto"/>
          <w:sz w:val="22"/>
          <w:lang w:val="en-US"/>
        </w:rPr>
        <w:t>As such, the scheme should ensure sufficient liquid assets to cover the exposure.</w:t>
      </w:r>
    </w:p>
    <w:p w14:paraId="0BCC8E72" w14:textId="53DE94D4" w:rsidR="009A4506" w:rsidRPr="004526A2" w:rsidRDefault="009A4506" w:rsidP="009F73BE">
      <w:pPr>
        <w:pStyle w:val="BodyText"/>
        <w:numPr>
          <w:ilvl w:val="2"/>
          <w:numId w:val="104"/>
        </w:numPr>
        <w:jc w:val="both"/>
        <w:rPr>
          <w:rFonts w:ascii="Calibri" w:hAnsi="Calibri" w:cs="Calibri"/>
          <w:b/>
          <w:bCs/>
          <w:color w:val="auto"/>
          <w:sz w:val="22"/>
          <w:lang w:val="en-US"/>
        </w:rPr>
      </w:pPr>
      <w:r>
        <w:rPr>
          <w:rFonts w:ascii="Calibri" w:hAnsi="Calibri" w:cs="Calibri"/>
          <w:color w:val="auto"/>
          <w:sz w:val="22"/>
          <w:lang w:val="en-US"/>
        </w:rPr>
        <w:t xml:space="preserve">The financial derivatives are </w:t>
      </w:r>
      <w:r w:rsidRPr="00FE58C8">
        <w:rPr>
          <w:rFonts w:ascii="Calibri" w:hAnsi="Calibri" w:cs="Calibri"/>
          <w:color w:val="auto"/>
          <w:sz w:val="22"/>
          <w:u w:val="single"/>
          <w:lang w:val="en-US"/>
        </w:rPr>
        <w:t>subject to</w:t>
      </w:r>
      <w:r w:rsidR="00AF77A8" w:rsidRPr="00FE58C8">
        <w:rPr>
          <w:rFonts w:ascii="Calibri" w:hAnsi="Calibri" w:cs="Calibri"/>
          <w:color w:val="auto"/>
          <w:sz w:val="22"/>
          <w:u w:val="single"/>
          <w:lang w:val="en-US"/>
        </w:rPr>
        <w:t xml:space="preserve"> reliable and verifiable valuation </w:t>
      </w:r>
      <w:proofErr w:type="gramStart"/>
      <w:r w:rsidR="00AF77A8" w:rsidRPr="00FE58C8">
        <w:rPr>
          <w:rFonts w:ascii="Calibri" w:hAnsi="Calibri" w:cs="Calibri"/>
          <w:color w:val="auto"/>
          <w:sz w:val="22"/>
          <w:u w:val="single"/>
          <w:lang w:val="en-US"/>
        </w:rPr>
        <w:t>on a daily basis</w:t>
      </w:r>
      <w:proofErr w:type="gramEnd"/>
      <w:r w:rsidR="004C6890">
        <w:rPr>
          <w:rFonts w:ascii="Calibri" w:hAnsi="Calibri" w:cs="Calibri"/>
          <w:color w:val="auto"/>
          <w:sz w:val="22"/>
          <w:lang w:val="en-US"/>
        </w:rPr>
        <w:t xml:space="preserve"> (i.e., </w:t>
      </w:r>
      <w:r w:rsidR="00E5597A">
        <w:rPr>
          <w:rFonts w:ascii="Calibri" w:hAnsi="Calibri" w:cs="Calibri"/>
          <w:color w:val="auto"/>
          <w:sz w:val="22"/>
          <w:lang w:val="en-US"/>
        </w:rPr>
        <w:t>M</w:t>
      </w:r>
      <w:r w:rsidR="004C6890">
        <w:rPr>
          <w:rFonts w:ascii="Calibri" w:hAnsi="Calibri" w:cs="Calibri"/>
          <w:color w:val="auto"/>
          <w:sz w:val="22"/>
          <w:lang w:val="en-US"/>
        </w:rPr>
        <w:t xml:space="preserve">anager should </w:t>
      </w:r>
      <w:r w:rsidR="00E5597A">
        <w:rPr>
          <w:rFonts w:ascii="Calibri" w:hAnsi="Calibri" w:cs="Calibri"/>
          <w:color w:val="auto"/>
          <w:sz w:val="22"/>
          <w:lang w:val="en-US"/>
        </w:rPr>
        <w:t>conduct its own valuation, instead of solely relying on counterparty</w:t>
      </w:r>
      <w:r w:rsidR="004C6890">
        <w:rPr>
          <w:rFonts w:ascii="Calibri" w:hAnsi="Calibri" w:cs="Calibri"/>
          <w:color w:val="auto"/>
          <w:sz w:val="22"/>
          <w:lang w:val="en-US"/>
        </w:rPr>
        <w:t>)</w:t>
      </w:r>
      <w:r w:rsidR="00AF77A8">
        <w:rPr>
          <w:rFonts w:ascii="Calibri" w:hAnsi="Calibri" w:cs="Calibri"/>
          <w:color w:val="auto"/>
          <w:sz w:val="22"/>
          <w:lang w:val="en-US"/>
        </w:rPr>
        <w:t xml:space="preserve">. </w:t>
      </w:r>
      <w:r w:rsidR="00FE58C8" w:rsidRPr="00FE58C8">
        <w:rPr>
          <w:rFonts w:ascii="Calibri" w:hAnsi="Calibri" w:cs="Calibri"/>
          <w:color w:val="auto"/>
          <w:sz w:val="22"/>
          <w:u w:val="single"/>
          <w:lang w:val="en-US"/>
        </w:rPr>
        <w:t>Valuation can be based on current market value or fair value</w:t>
      </w:r>
      <w:r w:rsidR="00FE58C8">
        <w:rPr>
          <w:rFonts w:ascii="Calibri" w:hAnsi="Calibri" w:cs="Calibri"/>
          <w:color w:val="auto"/>
          <w:sz w:val="22"/>
          <w:lang w:val="en-US"/>
        </w:rPr>
        <w:t xml:space="preserve"> based on an appropriate valuation model. </w:t>
      </w:r>
    </w:p>
    <w:p w14:paraId="570A45A8" w14:textId="663E73A7" w:rsidR="0057720E" w:rsidRDefault="0057720E" w:rsidP="009F73BE">
      <w:pPr>
        <w:pStyle w:val="BodyText"/>
        <w:numPr>
          <w:ilvl w:val="1"/>
          <w:numId w:val="104"/>
        </w:numPr>
        <w:jc w:val="both"/>
        <w:rPr>
          <w:rFonts w:ascii="Calibri" w:hAnsi="Calibri" w:cs="Calibri"/>
          <w:b/>
          <w:bCs/>
          <w:color w:val="auto"/>
          <w:sz w:val="22"/>
          <w:lang w:val="en-US"/>
        </w:rPr>
      </w:pPr>
      <w:r w:rsidRPr="0057720E">
        <w:rPr>
          <w:rFonts w:ascii="Calibri" w:hAnsi="Calibri" w:cs="Calibri"/>
          <w:b/>
          <w:bCs/>
          <w:color w:val="auto"/>
          <w:sz w:val="22"/>
          <w:lang w:val="en-US"/>
        </w:rPr>
        <w:t>Unlisted</w:t>
      </w:r>
      <w:r w:rsidR="003421CA">
        <w:rPr>
          <w:rFonts w:ascii="Calibri" w:hAnsi="Calibri" w:cs="Calibri"/>
          <w:b/>
          <w:bCs/>
          <w:color w:val="auto"/>
          <w:sz w:val="22"/>
          <w:lang w:val="en-US"/>
        </w:rPr>
        <w:t>/</w:t>
      </w:r>
      <w:r w:rsidRPr="0057720E">
        <w:rPr>
          <w:rFonts w:ascii="Calibri" w:hAnsi="Calibri" w:cs="Calibri"/>
          <w:b/>
          <w:bCs/>
          <w:color w:val="auto"/>
          <w:sz w:val="22"/>
          <w:lang w:val="en-US"/>
        </w:rPr>
        <w:t xml:space="preserve">unquoted securities </w:t>
      </w:r>
    </w:p>
    <w:p w14:paraId="1BC6238D" w14:textId="536C40D5" w:rsidR="003250F0" w:rsidRPr="00CE395D" w:rsidRDefault="00CE395D" w:rsidP="009F73BE">
      <w:pPr>
        <w:pStyle w:val="BodyText"/>
        <w:numPr>
          <w:ilvl w:val="0"/>
          <w:numId w:val="104"/>
        </w:numPr>
        <w:jc w:val="both"/>
        <w:rPr>
          <w:rFonts w:ascii="Calibri" w:hAnsi="Calibri" w:cs="Calibri"/>
          <w:b/>
          <w:bCs/>
          <w:color w:val="auto"/>
          <w:sz w:val="22"/>
          <w:lang w:val="en-US"/>
        </w:rPr>
      </w:pPr>
      <w:r>
        <w:rPr>
          <w:rFonts w:ascii="Calibri" w:hAnsi="Calibri" w:cs="Calibri"/>
          <w:b/>
          <w:bCs/>
          <w:color w:val="auto"/>
          <w:sz w:val="22"/>
          <w:lang w:val="en-US"/>
        </w:rPr>
        <w:t>Permissible Specialized CIS Funds</w:t>
      </w:r>
      <w:r>
        <w:rPr>
          <w:rFonts w:ascii="Calibri" w:hAnsi="Calibri" w:cs="Calibri"/>
          <w:color w:val="auto"/>
          <w:sz w:val="22"/>
          <w:lang w:val="en-US"/>
        </w:rPr>
        <w:t>:</w:t>
      </w:r>
      <w:r w:rsidR="0043724D">
        <w:rPr>
          <w:rFonts w:ascii="Calibri" w:hAnsi="Calibri" w:cs="Calibri"/>
          <w:color w:val="auto"/>
          <w:sz w:val="22"/>
          <w:lang w:val="en-US"/>
        </w:rPr>
        <w:t xml:space="preserve"> </w:t>
      </w:r>
      <w:r w:rsidR="0043724D" w:rsidRPr="009521A0">
        <w:rPr>
          <w:rFonts w:ascii="Calibri" w:hAnsi="Calibri" w:cs="Calibri"/>
          <w:color w:val="auto"/>
          <w:sz w:val="22"/>
          <w:u w:val="single"/>
          <w:lang w:val="en-US"/>
        </w:rPr>
        <w:t>Focuses on a specific investment strategy or asset class, which may or may not be offered to the public</w:t>
      </w:r>
      <w:r w:rsidR="0043724D">
        <w:rPr>
          <w:rFonts w:ascii="Calibri" w:hAnsi="Calibri" w:cs="Calibri"/>
          <w:color w:val="auto"/>
          <w:sz w:val="22"/>
          <w:lang w:val="en-US"/>
        </w:rPr>
        <w:t xml:space="preserve">. Specialized CIS includes </w:t>
      </w:r>
      <w:r w:rsidR="0043724D" w:rsidRPr="00380223">
        <w:rPr>
          <w:rFonts w:ascii="Calibri" w:hAnsi="Calibri" w:cs="Calibri"/>
          <w:color w:val="auto"/>
          <w:sz w:val="22"/>
          <w:lang w:val="en-US"/>
        </w:rPr>
        <w:t>(</w:t>
      </w:r>
      <w:proofErr w:type="spellStart"/>
      <w:r w:rsidR="0043724D" w:rsidRPr="00380223">
        <w:rPr>
          <w:rFonts w:ascii="Calibri" w:hAnsi="Calibri" w:cs="Calibri"/>
          <w:color w:val="auto"/>
          <w:sz w:val="22"/>
          <w:lang w:val="en-US"/>
        </w:rPr>
        <w:t>i</w:t>
      </w:r>
      <w:proofErr w:type="spellEnd"/>
      <w:r w:rsidR="0043724D" w:rsidRPr="00380223">
        <w:rPr>
          <w:rFonts w:ascii="Calibri" w:hAnsi="Calibri" w:cs="Calibri"/>
          <w:color w:val="auto"/>
          <w:sz w:val="22"/>
          <w:lang w:val="en-US"/>
        </w:rPr>
        <w:t xml:space="preserve">) MMFs, (ii) HFs and </w:t>
      </w:r>
      <w:proofErr w:type="spellStart"/>
      <w:r w:rsidR="0043724D" w:rsidRPr="00380223">
        <w:rPr>
          <w:rFonts w:ascii="Calibri" w:hAnsi="Calibri" w:cs="Calibri"/>
          <w:color w:val="auto"/>
          <w:sz w:val="22"/>
          <w:lang w:val="en-US"/>
        </w:rPr>
        <w:t>FoHFs</w:t>
      </w:r>
      <w:proofErr w:type="spellEnd"/>
      <w:r w:rsidR="0043724D" w:rsidRPr="00380223">
        <w:rPr>
          <w:rFonts w:ascii="Calibri" w:hAnsi="Calibri" w:cs="Calibri"/>
          <w:color w:val="auto"/>
          <w:sz w:val="22"/>
          <w:lang w:val="en-US"/>
        </w:rPr>
        <w:t>, (iii) Capital Guaranteed Funds, (iv) Index Funds, (v) Property Funds and (vi) Precious Metal Funds.</w:t>
      </w:r>
    </w:p>
    <w:p w14:paraId="6CFB24EB" w14:textId="77777777" w:rsidR="0043724D" w:rsidRPr="00565A07" w:rsidRDefault="0043724D" w:rsidP="009F73BE">
      <w:pPr>
        <w:pStyle w:val="BodyText"/>
        <w:numPr>
          <w:ilvl w:val="1"/>
          <w:numId w:val="104"/>
        </w:numPr>
        <w:jc w:val="both"/>
        <w:rPr>
          <w:rFonts w:ascii="Calibri" w:hAnsi="Calibri" w:cs="Calibri"/>
          <w:b/>
          <w:bCs/>
          <w:color w:val="auto"/>
          <w:sz w:val="22"/>
          <w:lang w:val="en-US"/>
        </w:rPr>
      </w:pPr>
      <w:r w:rsidRPr="00DD0B49">
        <w:rPr>
          <w:rFonts w:ascii="Calibri" w:hAnsi="Calibri" w:cs="Calibri"/>
          <w:b/>
          <w:bCs/>
          <w:color w:val="auto"/>
          <w:sz w:val="22"/>
          <w:lang w:val="en-US"/>
        </w:rPr>
        <w:t>MMFs</w:t>
      </w:r>
      <w:r>
        <w:rPr>
          <w:rFonts w:ascii="Calibri" w:hAnsi="Calibri" w:cs="Calibri"/>
          <w:color w:val="auto"/>
          <w:sz w:val="22"/>
          <w:lang w:val="en-US"/>
        </w:rPr>
        <w:t xml:space="preserve">: </w:t>
      </w:r>
    </w:p>
    <w:p w14:paraId="79C441C1" w14:textId="77777777" w:rsidR="0043724D" w:rsidRDefault="0043724D" w:rsidP="009F73BE">
      <w:pPr>
        <w:pStyle w:val="BodyText"/>
        <w:numPr>
          <w:ilvl w:val="2"/>
          <w:numId w:val="104"/>
        </w:numPr>
        <w:jc w:val="both"/>
        <w:rPr>
          <w:rFonts w:ascii="Calibri" w:hAnsi="Calibri" w:cs="Calibri"/>
          <w:b/>
          <w:bCs/>
          <w:color w:val="auto"/>
          <w:sz w:val="22"/>
          <w:lang w:val="en-US"/>
        </w:rPr>
      </w:pPr>
      <w:r w:rsidRPr="00376CA7">
        <w:rPr>
          <w:rFonts w:ascii="Calibri" w:hAnsi="Calibri" w:cs="Calibri"/>
          <w:b/>
          <w:bCs/>
          <w:color w:val="auto"/>
          <w:sz w:val="22"/>
          <w:lang w:val="en-US"/>
        </w:rPr>
        <w:t>Definition</w:t>
      </w:r>
      <w:r w:rsidRPr="00376CA7">
        <w:rPr>
          <w:rFonts w:ascii="Calibri" w:hAnsi="Calibri" w:cs="Calibri"/>
          <w:color w:val="auto"/>
          <w:sz w:val="22"/>
          <w:lang w:val="en-US"/>
        </w:rPr>
        <w:t>:</w:t>
      </w:r>
      <w:r>
        <w:rPr>
          <w:rFonts w:ascii="Calibri" w:hAnsi="Calibri" w:cs="Calibri"/>
          <w:color w:val="auto"/>
          <w:sz w:val="22"/>
          <w:lang w:val="en-US"/>
        </w:rPr>
        <w:t xml:space="preserve"> </w:t>
      </w:r>
      <w:r w:rsidRPr="00D9277E">
        <w:rPr>
          <w:rFonts w:ascii="Calibri" w:hAnsi="Calibri" w:cs="Calibri"/>
          <w:color w:val="auto"/>
          <w:sz w:val="22"/>
          <w:u w:val="single"/>
          <w:lang w:val="en-US"/>
        </w:rPr>
        <w:t xml:space="preserve">Invests into </w:t>
      </w:r>
      <w:r>
        <w:rPr>
          <w:rFonts w:ascii="Calibri" w:hAnsi="Calibri" w:cs="Calibri"/>
          <w:color w:val="auto"/>
          <w:sz w:val="22"/>
          <w:u w:val="single"/>
          <w:lang w:val="en-US"/>
        </w:rPr>
        <w:t>(</w:t>
      </w:r>
      <w:proofErr w:type="spellStart"/>
      <w:r>
        <w:rPr>
          <w:rFonts w:ascii="Calibri" w:hAnsi="Calibri" w:cs="Calibri"/>
          <w:color w:val="auto"/>
          <w:sz w:val="22"/>
          <w:u w:val="single"/>
          <w:lang w:val="en-US"/>
        </w:rPr>
        <w:t>i</w:t>
      </w:r>
      <w:proofErr w:type="spellEnd"/>
      <w:r>
        <w:rPr>
          <w:rFonts w:ascii="Calibri" w:hAnsi="Calibri" w:cs="Calibri"/>
          <w:color w:val="auto"/>
          <w:sz w:val="22"/>
          <w:u w:val="single"/>
          <w:lang w:val="en-US"/>
        </w:rPr>
        <w:t xml:space="preserve">) </w:t>
      </w:r>
      <w:r w:rsidRPr="00D9277E">
        <w:rPr>
          <w:rFonts w:ascii="Calibri" w:hAnsi="Calibri" w:cs="Calibri"/>
          <w:color w:val="auto"/>
          <w:sz w:val="22"/>
          <w:u w:val="single"/>
          <w:lang w:val="en-US"/>
        </w:rPr>
        <w:t>high</w:t>
      </w:r>
      <w:r>
        <w:rPr>
          <w:rFonts w:ascii="Calibri" w:hAnsi="Calibri" w:cs="Calibri"/>
          <w:color w:val="auto"/>
          <w:sz w:val="22"/>
          <w:u w:val="single"/>
          <w:lang w:val="en-US"/>
        </w:rPr>
        <w:t>-</w:t>
      </w:r>
      <w:r w:rsidRPr="00D9277E">
        <w:rPr>
          <w:rFonts w:ascii="Calibri" w:hAnsi="Calibri" w:cs="Calibri"/>
          <w:color w:val="auto"/>
          <w:sz w:val="22"/>
          <w:u w:val="single"/>
          <w:lang w:val="en-US"/>
        </w:rPr>
        <w:t>quality debt securities and securitized debt instruments</w:t>
      </w:r>
      <w:r>
        <w:rPr>
          <w:rFonts w:ascii="Calibri" w:hAnsi="Calibri" w:cs="Calibri"/>
          <w:color w:val="auto"/>
          <w:sz w:val="22"/>
          <w:lang w:val="en-US"/>
        </w:rPr>
        <w:t xml:space="preserve"> (including government bonds, corporate bonds, FRNs and ABS with long-term credit rating of A, i.e., high credit quality), </w:t>
      </w:r>
      <w:r>
        <w:rPr>
          <w:rFonts w:ascii="Calibri" w:hAnsi="Calibri" w:cs="Calibri"/>
          <w:color w:val="auto"/>
          <w:sz w:val="22"/>
          <w:u w:val="single"/>
          <w:lang w:val="en-US"/>
        </w:rPr>
        <w:t>(ii) h</w:t>
      </w:r>
      <w:r w:rsidRPr="00D9277E">
        <w:rPr>
          <w:rFonts w:ascii="Calibri" w:hAnsi="Calibri" w:cs="Calibri"/>
          <w:color w:val="auto"/>
          <w:sz w:val="22"/>
          <w:u w:val="single"/>
          <w:lang w:val="en-US"/>
        </w:rPr>
        <w:t>igh</w:t>
      </w:r>
      <w:r>
        <w:rPr>
          <w:rFonts w:ascii="Calibri" w:hAnsi="Calibri" w:cs="Calibri"/>
          <w:color w:val="auto"/>
          <w:sz w:val="22"/>
          <w:u w:val="single"/>
          <w:lang w:val="en-US"/>
        </w:rPr>
        <w:t>-</w:t>
      </w:r>
      <w:r w:rsidRPr="00D9277E">
        <w:rPr>
          <w:rFonts w:ascii="Calibri" w:hAnsi="Calibri" w:cs="Calibri"/>
          <w:color w:val="auto"/>
          <w:sz w:val="22"/>
          <w:u w:val="single"/>
          <w:lang w:val="en-US"/>
        </w:rPr>
        <w:t>quality money market instruments</w:t>
      </w:r>
      <w:r>
        <w:rPr>
          <w:rFonts w:ascii="Calibri" w:hAnsi="Calibri" w:cs="Calibri"/>
          <w:color w:val="auto"/>
          <w:sz w:val="22"/>
          <w:lang w:val="en-US"/>
        </w:rPr>
        <w:t xml:space="preserve"> (including certificates of deposit, banker’s acceptance, commercial papers, T-bills</w:t>
      </w:r>
      <w:r w:rsidRPr="00101FD4">
        <w:rPr>
          <w:rFonts w:ascii="Calibri" w:hAnsi="Calibri" w:cs="Calibri"/>
          <w:color w:val="auto"/>
          <w:sz w:val="22"/>
          <w:lang w:val="en-US"/>
        </w:rPr>
        <w:t xml:space="preserve"> </w:t>
      </w:r>
      <w:r>
        <w:rPr>
          <w:rFonts w:ascii="Calibri" w:hAnsi="Calibri" w:cs="Calibri"/>
          <w:color w:val="auto"/>
          <w:sz w:val="22"/>
          <w:lang w:val="en-US"/>
        </w:rPr>
        <w:t xml:space="preserve">with long-term credit rating of A, i.e., high credit quality), </w:t>
      </w:r>
      <w:r w:rsidRPr="00EF1C34">
        <w:rPr>
          <w:rFonts w:ascii="Calibri" w:hAnsi="Calibri" w:cs="Calibri"/>
          <w:color w:val="auto"/>
          <w:sz w:val="22"/>
          <w:u w:val="single"/>
          <w:lang w:val="en-US"/>
        </w:rPr>
        <w:t>(iii) eligible deposits, (iv) financial derivatives</w:t>
      </w:r>
      <w:r>
        <w:rPr>
          <w:rFonts w:ascii="Calibri" w:hAnsi="Calibri" w:cs="Calibri"/>
          <w:color w:val="auto"/>
          <w:sz w:val="22"/>
          <w:u w:val="single"/>
          <w:lang w:val="en-US"/>
        </w:rPr>
        <w:t xml:space="preserve"> (for the purpose of hedging)</w:t>
      </w:r>
      <w:r>
        <w:rPr>
          <w:rFonts w:ascii="Calibri" w:hAnsi="Calibri" w:cs="Calibri"/>
          <w:color w:val="auto"/>
          <w:sz w:val="22"/>
          <w:lang w:val="en-US"/>
        </w:rPr>
        <w:t xml:space="preserve">. In total, </w:t>
      </w:r>
      <w:r w:rsidRPr="00464DC2">
        <w:rPr>
          <w:rFonts w:ascii="Calibri" w:hAnsi="Calibri" w:cs="Calibri"/>
          <w:color w:val="auto"/>
          <w:sz w:val="22"/>
          <w:u w:val="single"/>
          <w:lang w:val="en-US"/>
        </w:rPr>
        <w:t>at least 90% of the fund’s NAV must be invested into (</w:t>
      </w:r>
      <w:proofErr w:type="spellStart"/>
      <w:r w:rsidRPr="00464DC2">
        <w:rPr>
          <w:rFonts w:ascii="Calibri" w:hAnsi="Calibri" w:cs="Calibri"/>
          <w:color w:val="auto"/>
          <w:sz w:val="22"/>
          <w:u w:val="single"/>
          <w:lang w:val="en-US"/>
        </w:rPr>
        <w:t>i</w:t>
      </w:r>
      <w:proofErr w:type="spellEnd"/>
      <w:r w:rsidRPr="00464DC2">
        <w:rPr>
          <w:rFonts w:ascii="Calibri" w:hAnsi="Calibri" w:cs="Calibri"/>
          <w:color w:val="auto"/>
          <w:sz w:val="22"/>
          <w:u w:val="single"/>
          <w:lang w:val="en-US"/>
        </w:rPr>
        <w:t>) – (iii)</w:t>
      </w:r>
      <w:r>
        <w:rPr>
          <w:rFonts w:ascii="Calibri" w:hAnsi="Calibri" w:cs="Calibri"/>
          <w:color w:val="auto"/>
          <w:sz w:val="22"/>
          <w:lang w:val="en-US"/>
        </w:rPr>
        <w:t xml:space="preserve">, while the </w:t>
      </w:r>
      <w:r w:rsidRPr="00765294">
        <w:rPr>
          <w:rFonts w:ascii="Calibri" w:hAnsi="Calibri" w:cs="Calibri"/>
          <w:color w:val="auto"/>
          <w:sz w:val="22"/>
          <w:u w:val="single"/>
          <w:lang w:val="en-US"/>
        </w:rPr>
        <w:t>remaining 10% can be invested into high-quality (</w:t>
      </w:r>
      <w:proofErr w:type="spellStart"/>
      <w:r w:rsidRPr="00765294">
        <w:rPr>
          <w:rFonts w:ascii="Calibri" w:hAnsi="Calibri" w:cs="Calibri"/>
          <w:color w:val="auto"/>
          <w:sz w:val="22"/>
          <w:u w:val="single"/>
          <w:lang w:val="en-US"/>
        </w:rPr>
        <w:t>i</w:t>
      </w:r>
      <w:proofErr w:type="spellEnd"/>
      <w:r w:rsidRPr="00765294">
        <w:rPr>
          <w:rFonts w:ascii="Calibri" w:hAnsi="Calibri" w:cs="Calibri"/>
          <w:color w:val="auto"/>
          <w:sz w:val="22"/>
          <w:u w:val="single"/>
          <w:lang w:val="en-US"/>
        </w:rPr>
        <w:t>)-(ii) not actively traded or quoted</w:t>
      </w:r>
      <w:r>
        <w:rPr>
          <w:rFonts w:ascii="Calibri" w:hAnsi="Calibri" w:cs="Calibri"/>
          <w:color w:val="auto"/>
          <w:sz w:val="22"/>
          <w:lang w:val="en-US"/>
        </w:rPr>
        <w:t xml:space="preserve">. </w:t>
      </w:r>
    </w:p>
    <w:p w14:paraId="2024731D" w14:textId="77777777" w:rsidR="009F2941" w:rsidRPr="009F2941" w:rsidRDefault="009F2941" w:rsidP="009F73BE">
      <w:pPr>
        <w:pStyle w:val="BodyText"/>
        <w:numPr>
          <w:ilvl w:val="2"/>
          <w:numId w:val="104"/>
        </w:numPr>
        <w:jc w:val="both"/>
        <w:rPr>
          <w:rFonts w:ascii="Calibri" w:hAnsi="Calibri" w:cs="Calibri"/>
          <w:b/>
          <w:bCs/>
          <w:color w:val="auto"/>
          <w:sz w:val="22"/>
          <w:lang w:val="en-US"/>
        </w:rPr>
      </w:pPr>
      <w:r w:rsidRPr="009F2941">
        <w:rPr>
          <w:rFonts w:ascii="Calibri" w:hAnsi="Calibri" w:cs="Calibri"/>
          <w:b/>
          <w:bCs/>
          <w:color w:val="auto"/>
          <w:sz w:val="22"/>
          <w:lang w:val="en-US"/>
        </w:rPr>
        <w:t>Structure</w:t>
      </w:r>
      <w:r w:rsidRPr="009F2941">
        <w:rPr>
          <w:rFonts w:ascii="Calibri" w:hAnsi="Calibri" w:cs="Calibri"/>
          <w:color w:val="auto"/>
          <w:sz w:val="22"/>
          <w:lang w:val="en-US"/>
        </w:rPr>
        <w:t>:</w:t>
      </w:r>
    </w:p>
    <w:p w14:paraId="791B8903" w14:textId="76867ADD" w:rsidR="0043724D" w:rsidRDefault="0043724D" w:rsidP="009F2941">
      <w:pPr>
        <w:pStyle w:val="BodyText"/>
        <w:numPr>
          <w:ilvl w:val="3"/>
          <w:numId w:val="104"/>
        </w:numPr>
        <w:jc w:val="both"/>
        <w:rPr>
          <w:rFonts w:ascii="Calibri" w:hAnsi="Calibri" w:cs="Calibri"/>
          <w:b/>
          <w:bCs/>
          <w:color w:val="auto"/>
          <w:sz w:val="22"/>
          <w:lang w:val="en-US"/>
        </w:rPr>
      </w:pPr>
      <w:r w:rsidRPr="00483B7A">
        <w:rPr>
          <w:rFonts w:ascii="Calibri" w:hAnsi="Calibri" w:cs="Calibri"/>
          <w:color w:val="auto"/>
          <w:sz w:val="22"/>
          <w:u w:val="single"/>
          <w:lang w:val="en-US"/>
        </w:rPr>
        <w:t>Group limit</w:t>
      </w:r>
      <w:r w:rsidRPr="00483B7A">
        <w:rPr>
          <w:rFonts w:ascii="Calibri" w:hAnsi="Calibri" w:cs="Calibri"/>
          <w:color w:val="auto"/>
          <w:sz w:val="22"/>
          <w:lang w:val="en-US"/>
        </w:rPr>
        <w:t xml:space="preserve"> involving non-deposit investments, eligible deposits and counterparty risks arising from OTC financial derivatives would be </w:t>
      </w:r>
      <w:r w:rsidRPr="00483B7A">
        <w:rPr>
          <w:rFonts w:ascii="Calibri" w:hAnsi="Calibri" w:cs="Calibri"/>
          <w:color w:val="auto"/>
          <w:sz w:val="22"/>
          <w:u w:val="single"/>
          <w:lang w:val="en-US"/>
        </w:rPr>
        <w:t>fixed at 10%</w:t>
      </w:r>
      <w:r w:rsidRPr="00483B7A">
        <w:rPr>
          <w:rFonts w:ascii="Calibri" w:hAnsi="Calibri" w:cs="Calibri"/>
          <w:color w:val="auto"/>
          <w:sz w:val="22"/>
          <w:lang w:val="en-US"/>
        </w:rPr>
        <w:t xml:space="preserve">. This threshold would be </w:t>
      </w:r>
      <w:r w:rsidRPr="00483B7A">
        <w:rPr>
          <w:rFonts w:ascii="Calibri" w:hAnsi="Calibri" w:cs="Calibri"/>
          <w:color w:val="auto"/>
          <w:sz w:val="22"/>
          <w:u w:val="single"/>
          <w:lang w:val="en-US"/>
        </w:rPr>
        <w:t>raised to 30% if the non-deposit investments are with a Singapore bank or the collective investments are guaranteed by government or other public bodies with long-term credit rating of highest quality</w:t>
      </w:r>
      <w:r w:rsidRPr="00483B7A">
        <w:rPr>
          <w:rFonts w:ascii="Calibri" w:hAnsi="Calibri" w:cs="Calibri"/>
          <w:color w:val="auto"/>
          <w:sz w:val="22"/>
          <w:lang w:val="en-US"/>
        </w:rPr>
        <w:t xml:space="preserve"> (i.e. AAA).</w:t>
      </w:r>
    </w:p>
    <w:p w14:paraId="30643AB1" w14:textId="77777777" w:rsidR="0043724D" w:rsidRPr="00483B7A" w:rsidRDefault="0043724D" w:rsidP="009F2941">
      <w:pPr>
        <w:pStyle w:val="BodyText"/>
        <w:numPr>
          <w:ilvl w:val="3"/>
          <w:numId w:val="104"/>
        </w:numPr>
        <w:jc w:val="both"/>
        <w:rPr>
          <w:rFonts w:ascii="Calibri" w:hAnsi="Calibri" w:cs="Calibri"/>
          <w:b/>
          <w:bCs/>
          <w:color w:val="auto"/>
          <w:sz w:val="22"/>
          <w:lang w:val="en-US"/>
        </w:rPr>
      </w:pPr>
      <w:r w:rsidRPr="00483B7A">
        <w:rPr>
          <w:rFonts w:ascii="Calibri" w:hAnsi="Calibri" w:cs="Calibri"/>
          <w:color w:val="auto"/>
          <w:sz w:val="22"/>
          <w:lang w:val="en-US"/>
        </w:rPr>
        <w:t xml:space="preserve">Note that all MMFs’ </w:t>
      </w:r>
      <w:r w:rsidRPr="00483B7A">
        <w:rPr>
          <w:rFonts w:ascii="Calibri" w:hAnsi="Calibri" w:cs="Calibri"/>
          <w:color w:val="auto"/>
          <w:sz w:val="22"/>
          <w:u w:val="single"/>
          <w:lang w:val="en-US"/>
        </w:rPr>
        <w:t>non-deposit investments must have a remaining maturity of less than 2 years</w:t>
      </w:r>
      <w:r w:rsidRPr="00483B7A">
        <w:rPr>
          <w:rFonts w:ascii="Calibri" w:hAnsi="Calibri" w:cs="Calibri"/>
          <w:color w:val="auto"/>
          <w:sz w:val="22"/>
          <w:lang w:val="en-US"/>
        </w:rPr>
        <w:t xml:space="preserve">, and the </w:t>
      </w:r>
      <w:r w:rsidRPr="00483B7A">
        <w:rPr>
          <w:rFonts w:ascii="Calibri" w:hAnsi="Calibri" w:cs="Calibri"/>
          <w:color w:val="auto"/>
          <w:sz w:val="22"/>
          <w:u w:val="single"/>
          <w:lang w:val="en-US"/>
        </w:rPr>
        <w:t>dollar-weighted average portfolio maturity of all investments must not exceed 6 months</w:t>
      </w:r>
      <w:r w:rsidRPr="00483B7A">
        <w:rPr>
          <w:rFonts w:ascii="Calibri" w:hAnsi="Calibri" w:cs="Calibri"/>
          <w:color w:val="auto"/>
          <w:sz w:val="22"/>
          <w:lang w:val="en-US"/>
        </w:rPr>
        <w:t>.</w:t>
      </w:r>
    </w:p>
    <w:p w14:paraId="102C62DC" w14:textId="77777777" w:rsidR="0043724D" w:rsidRPr="00AE44F6" w:rsidRDefault="0043724D" w:rsidP="009F73BE">
      <w:pPr>
        <w:pStyle w:val="BodyText"/>
        <w:numPr>
          <w:ilvl w:val="1"/>
          <w:numId w:val="104"/>
        </w:numPr>
        <w:jc w:val="both"/>
        <w:rPr>
          <w:rFonts w:ascii="Calibri" w:hAnsi="Calibri" w:cs="Calibri"/>
          <w:b/>
          <w:bCs/>
          <w:color w:val="auto"/>
          <w:sz w:val="22"/>
          <w:lang w:val="en-US"/>
        </w:rPr>
      </w:pPr>
      <w:r w:rsidRPr="00AE44F6">
        <w:rPr>
          <w:rFonts w:ascii="Calibri" w:hAnsi="Calibri" w:cs="Calibri"/>
          <w:b/>
          <w:bCs/>
          <w:color w:val="auto"/>
          <w:sz w:val="22"/>
          <w:lang w:val="en-US"/>
        </w:rPr>
        <w:t>HFs</w:t>
      </w:r>
      <w:r>
        <w:rPr>
          <w:rFonts w:ascii="Calibri" w:hAnsi="Calibri" w:cs="Calibri"/>
          <w:b/>
          <w:bCs/>
          <w:color w:val="auto"/>
          <w:sz w:val="22"/>
          <w:lang w:val="en-US"/>
        </w:rPr>
        <w:t xml:space="preserve"> and </w:t>
      </w:r>
      <w:proofErr w:type="spellStart"/>
      <w:r>
        <w:rPr>
          <w:rFonts w:ascii="Calibri" w:hAnsi="Calibri" w:cs="Calibri"/>
          <w:b/>
          <w:bCs/>
          <w:color w:val="auto"/>
          <w:sz w:val="22"/>
          <w:lang w:val="en-US"/>
        </w:rPr>
        <w:t>FoHFs</w:t>
      </w:r>
      <w:proofErr w:type="spellEnd"/>
      <w:r>
        <w:rPr>
          <w:rFonts w:ascii="Calibri" w:hAnsi="Calibri" w:cs="Calibri"/>
          <w:color w:val="auto"/>
          <w:sz w:val="22"/>
          <w:lang w:val="en-US"/>
        </w:rPr>
        <w:t xml:space="preserve">:  </w:t>
      </w:r>
    </w:p>
    <w:p w14:paraId="11D93B23" w14:textId="77777777" w:rsidR="0043724D" w:rsidRDefault="0043724D" w:rsidP="009F73BE">
      <w:pPr>
        <w:pStyle w:val="BodyText"/>
        <w:numPr>
          <w:ilvl w:val="2"/>
          <w:numId w:val="104"/>
        </w:numPr>
        <w:jc w:val="both"/>
        <w:rPr>
          <w:rFonts w:ascii="Calibri" w:hAnsi="Calibri" w:cs="Calibri"/>
          <w:b/>
          <w:bCs/>
          <w:color w:val="auto"/>
          <w:sz w:val="22"/>
          <w:lang w:val="en-US"/>
        </w:rPr>
      </w:pPr>
      <w:r w:rsidRPr="00870D93">
        <w:rPr>
          <w:rFonts w:ascii="Calibri" w:hAnsi="Calibri" w:cs="Calibri"/>
          <w:b/>
          <w:bCs/>
          <w:color w:val="auto"/>
          <w:sz w:val="22"/>
          <w:lang w:val="en-US"/>
        </w:rPr>
        <w:t>Definition</w:t>
      </w:r>
      <w:r>
        <w:rPr>
          <w:rFonts w:ascii="Calibri" w:hAnsi="Calibri" w:cs="Calibri"/>
          <w:color w:val="auto"/>
          <w:sz w:val="22"/>
          <w:lang w:val="en-US"/>
        </w:rPr>
        <w:t>: Involves the use of advanced investment strategies (including market directional, corporate restructuring, convergence trading or opportunistic) and alternative assets.</w:t>
      </w:r>
    </w:p>
    <w:p w14:paraId="55BE5D71" w14:textId="77777777" w:rsidR="0043724D" w:rsidRPr="00483B7A" w:rsidRDefault="0043724D" w:rsidP="009F73BE">
      <w:pPr>
        <w:pStyle w:val="BodyText"/>
        <w:numPr>
          <w:ilvl w:val="2"/>
          <w:numId w:val="104"/>
        </w:numPr>
        <w:jc w:val="both"/>
        <w:rPr>
          <w:rFonts w:ascii="Calibri" w:hAnsi="Calibri" w:cs="Calibri"/>
          <w:b/>
          <w:bCs/>
          <w:color w:val="auto"/>
          <w:sz w:val="22"/>
          <w:lang w:val="en-US"/>
        </w:rPr>
      </w:pPr>
      <w:r w:rsidRPr="00483B7A">
        <w:rPr>
          <w:rFonts w:ascii="Calibri" w:hAnsi="Calibri" w:cs="Calibri"/>
          <w:b/>
          <w:bCs/>
          <w:color w:val="auto"/>
          <w:sz w:val="22"/>
          <w:lang w:val="en-US"/>
        </w:rPr>
        <w:t>Structure</w:t>
      </w:r>
      <w:r>
        <w:rPr>
          <w:rFonts w:ascii="Calibri" w:hAnsi="Calibri" w:cs="Calibri"/>
          <w:color w:val="auto"/>
          <w:sz w:val="22"/>
          <w:lang w:val="en-US"/>
        </w:rPr>
        <w:t xml:space="preserve">: </w:t>
      </w:r>
      <w:r w:rsidRPr="00483B7A">
        <w:rPr>
          <w:rFonts w:ascii="Calibri" w:hAnsi="Calibri" w:cs="Calibri"/>
          <w:color w:val="auto"/>
          <w:sz w:val="22"/>
          <w:lang w:val="en-US"/>
        </w:rPr>
        <w:t xml:space="preserve">For </w:t>
      </w:r>
      <w:proofErr w:type="spellStart"/>
      <w:r w:rsidRPr="00483B7A">
        <w:rPr>
          <w:rFonts w:ascii="Calibri" w:hAnsi="Calibri" w:cs="Calibri"/>
          <w:color w:val="auto"/>
          <w:sz w:val="22"/>
          <w:lang w:val="en-US"/>
        </w:rPr>
        <w:t>FoHFs</w:t>
      </w:r>
      <w:proofErr w:type="spellEnd"/>
      <w:r w:rsidRPr="00483B7A">
        <w:rPr>
          <w:rFonts w:ascii="Calibri" w:hAnsi="Calibri" w:cs="Calibri"/>
          <w:color w:val="auto"/>
          <w:sz w:val="22"/>
          <w:lang w:val="en-US"/>
        </w:rPr>
        <w:t xml:space="preserve">, it can only invest in an underlying </w:t>
      </w:r>
      <w:proofErr w:type="spellStart"/>
      <w:r w:rsidRPr="00483B7A">
        <w:rPr>
          <w:rFonts w:ascii="Calibri" w:hAnsi="Calibri" w:cs="Calibri"/>
          <w:color w:val="auto"/>
          <w:sz w:val="22"/>
          <w:lang w:val="en-US"/>
        </w:rPr>
        <w:t>FoHF</w:t>
      </w:r>
      <w:proofErr w:type="spellEnd"/>
      <w:r w:rsidRPr="00483B7A">
        <w:rPr>
          <w:rFonts w:ascii="Calibri" w:hAnsi="Calibri" w:cs="Calibri"/>
          <w:color w:val="auto"/>
          <w:sz w:val="22"/>
          <w:lang w:val="en-US"/>
        </w:rPr>
        <w:t xml:space="preserve"> if the latter invests directly into other single HFs (i.e., no further layering is required). A </w:t>
      </w:r>
      <w:proofErr w:type="spellStart"/>
      <w:r w:rsidRPr="00483B7A">
        <w:rPr>
          <w:rFonts w:ascii="Calibri" w:hAnsi="Calibri" w:cs="Calibri"/>
          <w:color w:val="auto"/>
          <w:sz w:val="22"/>
          <w:lang w:val="en-US"/>
        </w:rPr>
        <w:t>FoHF</w:t>
      </w:r>
      <w:proofErr w:type="spellEnd"/>
      <w:r w:rsidRPr="00483B7A">
        <w:rPr>
          <w:rFonts w:ascii="Calibri" w:hAnsi="Calibri" w:cs="Calibri"/>
          <w:color w:val="auto"/>
          <w:sz w:val="22"/>
          <w:lang w:val="en-US"/>
        </w:rPr>
        <w:t xml:space="preserve"> should invests in at least</w:t>
      </w:r>
      <w:r>
        <w:rPr>
          <w:rFonts w:ascii="Calibri" w:hAnsi="Calibri" w:cs="Calibri"/>
          <w:color w:val="auto"/>
          <w:sz w:val="22"/>
          <w:lang w:val="en-US"/>
        </w:rPr>
        <w:t xml:space="preserve"> </w:t>
      </w:r>
      <w:r w:rsidRPr="00483B7A">
        <w:rPr>
          <w:rFonts w:ascii="Calibri" w:hAnsi="Calibri" w:cs="Calibri"/>
          <w:color w:val="auto"/>
          <w:sz w:val="22"/>
          <w:lang w:val="en-US"/>
        </w:rPr>
        <w:t>15 HFs, with each of them not exceeding 8%.</w:t>
      </w:r>
    </w:p>
    <w:p w14:paraId="0313ACF1" w14:textId="77777777" w:rsidR="0043724D" w:rsidRPr="00811B64" w:rsidRDefault="0043724D" w:rsidP="009F73BE">
      <w:pPr>
        <w:pStyle w:val="BodyText"/>
        <w:numPr>
          <w:ilvl w:val="2"/>
          <w:numId w:val="104"/>
        </w:numPr>
        <w:jc w:val="both"/>
        <w:rPr>
          <w:rFonts w:ascii="Calibri" w:hAnsi="Calibri" w:cs="Calibri"/>
          <w:b/>
          <w:bCs/>
          <w:color w:val="auto"/>
          <w:sz w:val="22"/>
          <w:lang w:val="en-US"/>
        </w:rPr>
      </w:pPr>
      <w:r w:rsidRPr="00020F9A">
        <w:rPr>
          <w:rFonts w:ascii="Calibri" w:hAnsi="Calibri" w:cs="Calibri"/>
          <w:b/>
          <w:bCs/>
          <w:color w:val="auto"/>
          <w:sz w:val="22"/>
          <w:lang w:val="en-US"/>
        </w:rPr>
        <w:t>Borrowings</w:t>
      </w:r>
      <w:r>
        <w:rPr>
          <w:rFonts w:ascii="Calibri" w:hAnsi="Calibri" w:cs="Calibri"/>
          <w:color w:val="auto"/>
          <w:sz w:val="22"/>
          <w:lang w:val="en-US"/>
        </w:rPr>
        <w:t xml:space="preserve">: Any </w:t>
      </w:r>
      <w:r w:rsidRPr="00460A85">
        <w:rPr>
          <w:rFonts w:ascii="Calibri" w:hAnsi="Calibri" w:cs="Calibri"/>
          <w:color w:val="auto"/>
          <w:sz w:val="22"/>
          <w:u w:val="single"/>
          <w:lang w:val="en-US"/>
        </w:rPr>
        <w:t>borrowings should not exceed 25% NAV and must be repaid within 3 months</w:t>
      </w:r>
      <w:r>
        <w:rPr>
          <w:rFonts w:ascii="Calibri" w:hAnsi="Calibri" w:cs="Calibri"/>
          <w:color w:val="auto"/>
          <w:sz w:val="22"/>
          <w:lang w:val="en-US"/>
        </w:rPr>
        <w:t xml:space="preserve">. </w:t>
      </w:r>
    </w:p>
    <w:p w14:paraId="24DE5AD1" w14:textId="77777777" w:rsidR="0043724D" w:rsidRDefault="0043724D" w:rsidP="009F73BE">
      <w:pPr>
        <w:pStyle w:val="BodyText"/>
        <w:numPr>
          <w:ilvl w:val="2"/>
          <w:numId w:val="104"/>
        </w:numPr>
        <w:jc w:val="both"/>
        <w:rPr>
          <w:rFonts w:ascii="Calibri" w:hAnsi="Calibri" w:cs="Calibri"/>
          <w:color w:val="auto"/>
          <w:sz w:val="22"/>
          <w:lang w:val="en-US"/>
        </w:rPr>
      </w:pPr>
      <w:r w:rsidRPr="00811B64">
        <w:rPr>
          <w:rFonts w:ascii="Calibri" w:hAnsi="Calibri" w:cs="Calibri"/>
          <w:b/>
          <w:bCs/>
          <w:color w:val="auto"/>
          <w:sz w:val="22"/>
          <w:lang w:val="en-US"/>
        </w:rPr>
        <w:t>Reporting</w:t>
      </w:r>
      <w:r>
        <w:rPr>
          <w:rFonts w:ascii="Calibri" w:hAnsi="Calibri" w:cs="Calibri"/>
          <w:color w:val="auto"/>
          <w:sz w:val="22"/>
          <w:lang w:val="en-US"/>
        </w:rPr>
        <w:t xml:space="preserve">: </w:t>
      </w:r>
    </w:p>
    <w:p w14:paraId="014EBF6D" w14:textId="358844B4" w:rsidR="0043724D" w:rsidRDefault="00B72D51" w:rsidP="009F73BE">
      <w:pPr>
        <w:pStyle w:val="BodyText"/>
        <w:numPr>
          <w:ilvl w:val="3"/>
          <w:numId w:val="104"/>
        </w:numPr>
        <w:jc w:val="both"/>
        <w:rPr>
          <w:rFonts w:ascii="Calibri" w:hAnsi="Calibri" w:cs="Calibri"/>
          <w:color w:val="auto"/>
          <w:sz w:val="22"/>
          <w:lang w:val="en-US"/>
        </w:rPr>
      </w:pPr>
      <w:r>
        <w:rPr>
          <w:rFonts w:ascii="Calibri" w:hAnsi="Calibri" w:cs="Calibri"/>
          <w:color w:val="auto"/>
          <w:sz w:val="22"/>
          <w:lang w:val="en-US"/>
        </w:rPr>
        <w:t>LFMC</w:t>
      </w:r>
      <w:r w:rsidR="0043724D" w:rsidRPr="00913DFF">
        <w:rPr>
          <w:rFonts w:ascii="Calibri" w:hAnsi="Calibri" w:cs="Calibri"/>
          <w:color w:val="auto"/>
          <w:sz w:val="22"/>
          <w:lang w:val="en-US"/>
        </w:rPr>
        <w:t xml:space="preserve"> must submit its (</w:t>
      </w:r>
      <w:proofErr w:type="spellStart"/>
      <w:r w:rsidR="0043724D" w:rsidRPr="00913DFF">
        <w:rPr>
          <w:rFonts w:ascii="Calibri" w:hAnsi="Calibri" w:cs="Calibri"/>
          <w:color w:val="auto"/>
          <w:sz w:val="22"/>
          <w:lang w:val="en-US"/>
        </w:rPr>
        <w:t>i</w:t>
      </w:r>
      <w:proofErr w:type="spellEnd"/>
      <w:r w:rsidR="0043724D" w:rsidRPr="00913DFF">
        <w:rPr>
          <w:rFonts w:ascii="Calibri" w:hAnsi="Calibri" w:cs="Calibri"/>
          <w:color w:val="auto"/>
          <w:sz w:val="22"/>
          <w:lang w:val="en-US"/>
        </w:rPr>
        <w:t xml:space="preserve">) </w:t>
      </w:r>
      <w:r w:rsidR="0043724D" w:rsidRPr="00913DFF">
        <w:rPr>
          <w:rFonts w:ascii="Calibri" w:hAnsi="Calibri" w:cs="Calibri"/>
          <w:color w:val="auto"/>
          <w:sz w:val="22"/>
          <w:u w:val="single"/>
          <w:lang w:val="en-US"/>
        </w:rPr>
        <w:t xml:space="preserve">unaudited quarterly </w:t>
      </w:r>
      <w:r w:rsidR="0043724D">
        <w:rPr>
          <w:rFonts w:ascii="Calibri" w:hAnsi="Calibri" w:cs="Calibri"/>
          <w:color w:val="auto"/>
          <w:sz w:val="22"/>
          <w:u w:val="single"/>
          <w:lang w:val="en-US"/>
        </w:rPr>
        <w:t xml:space="preserve">report </w:t>
      </w:r>
      <w:r w:rsidR="0043724D" w:rsidRPr="00913DFF">
        <w:rPr>
          <w:rFonts w:ascii="Calibri" w:hAnsi="Calibri" w:cs="Calibri"/>
          <w:color w:val="auto"/>
          <w:sz w:val="22"/>
          <w:u w:val="single"/>
          <w:lang w:val="en-US"/>
        </w:rPr>
        <w:t>within 1</w:t>
      </w:r>
      <w:r w:rsidR="0043724D">
        <w:rPr>
          <w:rFonts w:ascii="Calibri" w:hAnsi="Calibri" w:cs="Calibri"/>
          <w:color w:val="auto"/>
          <w:sz w:val="22"/>
          <w:u w:val="single"/>
          <w:lang w:val="en-US"/>
        </w:rPr>
        <w:t xml:space="preserve"> month </w:t>
      </w:r>
      <w:r w:rsidR="0043724D" w:rsidRPr="00913DFF">
        <w:rPr>
          <w:rFonts w:ascii="Calibri" w:hAnsi="Calibri" w:cs="Calibri"/>
          <w:color w:val="auto"/>
          <w:sz w:val="22"/>
          <w:u w:val="single"/>
          <w:lang w:val="en-US"/>
        </w:rPr>
        <w:t>of quarter’s end</w:t>
      </w:r>
      <w:r w:rsidR="0043724D">
        <w:rPr>
          <w:rFonts w:ascii="Calibri" w:hAnsi="Calibri" w:cs="Calibri"/>
          <w:color w:val="auto"/>
          <w:sz w:val="22"/>
          <w:lang w:val="en-US"/>
        </w:rPr>
        <w:t xml:space="preserve">, </w:t>
      </w:r>
      <w:r w:rsidR="0043724D" w:rsidRPr="00913DFF">
        <w:rPr>
          <w:rFonts w:ascii="Calibri" w:hAnsi="Calibri" w:cs="Calibri"/>
          <w:color w:val="auto"/>
          <w:sz w:val="22"/>
          <w:lang w:val="en-US"/>
        </w:rPr>
        <w:t xml:space="preserve">and </w:t>
      </w:r>
      <w:r w:rsidR="0043724D" w:rsidRPr="00913DFF">
        <w:rPr>
          <w:rFonts w:ascii="Calibri" w:hAnsi="Calibri" w:cs="Calibri"/>
          <w:color w:val="auto"/>
          <w:sz w:val="22"/>
          <w:u w:val="single"/>
          <w:lang w:val="en-US"/>
        </w:rPr>
        <w:t xml:space="preserve">unaudited </w:t>
      </w:r>
      <w:r w:rsidR="0043724D">
        <w:rPr>
          <w:rFonts w:ascii="Calibri" w:hAnsi="Calibri" w:cs="Calibri"/>
          <w:color w:val="auto"/>
          <w:sz w:val="22"/>
          <w:u w:val="single"/>
          <w:lang w:val="en-US"/>
        </w:rPr>
        <w:t>semi-annual</w:t>
      </w:r>
      <w:r w:rsidR="0043724D" w:rsidRPr="00913DFF">
        <w:rPr>
          <w:rFonts w:ascii="Calibri" w:hAnsi="Calibri" w:cs="Calibri"/>
          <w:color w:val="auto"/>
          <w:sz w:val="22"/>
          <w:u w:val="single"/>
          <w:lang w:val="en-US"/>
        </w:rPr>
        <w:t xml:space="preserve"> </w:t>
      </w:r>
      <w:r w:rsidR="0043724D">
        <w:rPr>
          <w:rFonts w:ascii="Calibri" w:hAnsi="Calibri" w:cs="Calibri"/>
          <w:color w:val="auto"/>
          <w:sz w:val="22"/>
          <w:u w:val="single"/>
          <w:lang w:val="en-US"/>
        </w:rPr>
        <w:t>accounts/reports</w:t>
      </w:r>
      <w:r w:rsidR="0043724D" w:rsidRPr="00913DFF">
        <w:rPr>
          <w:rFonts w:ascii="Calibri" w:hAnsi="Calibri" w:cs="Calibri"/>
          <w:color w:val="auto"/>
          <w:sz w:val="22"/>
          <w:u w:val="single"/>
          <w:lang w:val="en-US"/>
        </w:rPr>
        <w:t xml:space="preserve"> within </w:t>
      </w:r>
      <w:r w:rsidR="0043724D">
        <w:rPr>
          <w:rFonts w:ascii="Calibri" w:hAnsi="Calibri" w:cs="Calibri"/>
          <w:color w:val="auto"/>
          <w:sz w:val="22"/>
          <w:u w:val="single"/>
          <w:lang w:val="en-US"/>
        </w:rPr>
        <w:t xml:space="preserve">2 months </w:t>
      </w:r>
      <w:r w:rsidR="0043724D" w:rsidRPr="00913DFF">
        <w:rPr>
          <w:rFonts w:ascii="Calibri" w:hAnsi="Calibri" w:cs="Calibri"/>
          <w:color w:val="auto"/>
          <w:sz w:val="22"/>
          <w:u w:val="single"/>
          <w:lang w:val="en-US"/>
        </w:rPr>
        <w:t xml:space="preserve">of </w:t>
      </w:r>
      <w:r w:rsidR="0043724D">
        <w:rPr>
          <w:rFonts w:ascii="Calibri" w:hAnsi="Calibri" w:cs="Calibri"/>
          <w:color w:val="auto"/>
          <w:sz w:val="22"/>
          <w:u w:val="single"/>
          <w:lang w:val="en-US"/>
        </w:rPr>
        <w:t>period</w:t>
      </w:r>
      <w:r w:rsidR="0043724D" w:rsidRPr="00913DFF">
        <w:rPr>
          <w:rFonts w:ascii="Calibri" w:hAnsi="Calibri" w:cs="Calibri"/>
          <w:color w:val="auto"/>
          <w:sz w:val="22"/>
          <w:u w:val="single"/>
          <w:lang w:val="en-US"/>
        </w:rPr>
        <w:t>’s end</w:t>
      </w:r>
      <w:r w:rsidR="0043724D">
        <w:rPr>
          <w:rFonts w:ascii="Calibri" w:hAnsi="Calibri" w:cs="Calibri"/>
          <w:color w:val="auto"/>
          <w:sz w:val="22"/>
          <w:lang w:val="en-US"/>
        </w:rPr>
        <w:t xml:space="preserve">, </w:t>
      </w:r>
      <w:r w:rsidR="0043724D" w:rsidRPr="00913DFF">
        <w:rPr>
          <w:rFonts w:ascii="Calibri" w:hAnsi="Calibri" w:cs="Calibri"/>
          <w:color w:val="auto"/>
          <w:sz w:val="22"/>
          <w:lang w:val="en-US"/>
        </w:rPr>
        <w:t>(</w:t>
      </w:r>
      <w:r w:rsidR="0043724D">
        <w:rPr>
          <w:rFonts w:ascii="Calibri" w:hAnsi="Calibri" w:cs="Calibri"/>
          <w:color w:val="auto"/>
          <w:sz w:val="22"/>
          <w:lang w:val="en-US"/>
        </w:rPr>
        <w:t>i</w:t>
      </w:r>
      <w:r w:rsidR="0043724D" w:rsidRPr="00913DFF">
        <w:rPr>
          <w:rFonts w:ascii="Calibri" w:hAnsi="Calibri" w:cs="Calibri"/>
          <w:color w:val="auto"/>
          <w:sz w:val="22"/>
          <w:lang w:val="en-US"/>
        </w:rPr>
        <w:t xml:space="preserve">ii) </w:t>
      </w:r>
      <w:r w:rsidR="0043724D" w:rsidRPr="00913DFF">
        <w:rPr>
          <w:rFonts w:ascii="Calibri" w:hAnsi="Calibri" w:cs="Calibri"/>
          <w:color w:val="auto"/>
          <w:sz w:val="22"/>
          <w:u w:val="single"/>
          <w:lang w:val="en-US"/>
        </w:rPr>
        <w:t xml:space="preserve">audited annual </w:t>
      </w:r>
      <w:r w:rsidR="0043724D">
        <w:rPr>
          <w:rFonts w:ascii="Calibri" w:hAnsi="Calibri" w:cs="Calibri"/>
          <w:color w:val="auto"/>
          <w:sz w:val="22"/>
          <w:u w:val="single"/>
          <w:lang w:val="en-US"/>
        </w:rPr>
        <w:t>accounts/</w:t>
      </w:r>
      <w:r w:rsidR="0043724D" w:rsidRPr="00913DFF">
        <w:rPr>
          <w:rFonts w:ascii="Calibri" w:hAnsi="Calibri" w:cs="Calibri"/>
          <w:color w:val="auto"/>
          <w:sz w:val="22"/>
          <w:u w:val="single"/>
          <w:lang w:val="en-US"/>
        </w:rPr>
        <w:t>re</w:t>
      </w:r>
      <w:r w:rsidR="0043724D">
        <w:rPr>
          <w:rFonts w:ascii="Calibri" w:hAnsi="Calibri" w:cs="Calibri"/>
          <w:color w:val="auto"/>
          <w:sz w:val="22"/>
          <w:u w:val="single"/>
          <w:lang w:val="en-US"/>
        </w:rPr>
        <w:t xml:space="preserve">ports </w:t>
      </w:r>
      <w:r w:rsidR="0043724D" w:rsidRPr="00913DFF">
        <w:rPr>
          <w:rFonts w:ascii="Calibri" w:hAnsi="Calibri" w:cs="Calibri"/>
          <w:color w:val="auto"/>
          <w:sz w:val="22"/>
          <w:u w:val="single"/>
          <w:lang w:val="en-US"/>
        </w:rPr>
        <w:t xml:space="preserve">within </w:t>
      </w:r>
      <w:r w:rsidR="0043724D">
        <w:rPr>
          <w:rFonts w:ascii="Calibri" w:hAnsi="Calibri" w:cs="Calibri"/>
          <w:color w:val="auto"/>
          <w:sz w:val="22"/>
          <w:u w:val="single"/>
          <w:lang w:val="en-US"/>
        </w:rPr>
        <w:t>3</w:t>
      </w:r>
      <w:r w:rsidR="0043724D" w:rsidRPr="00913DFF">
        <w:rPr>
          <w:rFonts w:ascii="Calibri" w:hAnsi="Calibri" w:cs="Calibri"/>
          <w:color w:val="auto"/>
          <w:sz w:val="22"/>
          <w:u w:val="single"/>
          <w:lang w:val="en-US"/>
        </w:rPr>
        <w:t xml:space="preserve"> months of financial year end</w:t>
      </w:r>
      <w:r w:rsidR="0043724D" w:rsidRPr="00913DFF">
        <w:rPr>
          <w:rFonts w:ascii="Calibri" w:hAnsi="Calibri" w:cs="Calibri"/>
          <w:color w:val="auto"/>
          <w:sz w:val="22"/>
          <w:lang w:val="en-US"/>
        </w:rPr>
        <w:t xml:space="preserve">. </w:t>
      </w:r>
    </w:p>
    <w:p w14:paraId="45126541" w14:textId="77777777" w:rsidR="0043724D" w:rsidRPr="007B471F" w:rsidRDefault="0043724D"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lang w:val="en-US"/>
        </w:rPr>
        <w:lastRenderedPageBreak/>
        <w:t xml:space="preserve">The manager should </w:t>
      </w:r>
      <w:r w:rsidRPr="003E1C97">
        <w:rPr>
          <w:rFonts w:ascii="Calibri" w:hAnsi="Calibri" w:cs="Calibri"/>
          <w:color w:val="auto"/>
          <w:sz w:val="22"/>
          <w:u w:val="single"/>
          <w:lang w:val="en-US"/>
        </w:rPr>
        <w:t>certify to MAS that there are adequate risk management procedures annually</w:t>
      </w:r>
      <w:r>
        <w:rPr>
          <w:rFonts w:ascii="Calibri" w:hAnsi="Calibri" w:cs="Calibri"/>
          <w:color w:val="auto"/>
          <w:sz w:val="22"/>
          <w:lang w:val="en-US"/>
        </w:rPr>
        <w:t>.</w:t>
      </w:r>
    </w:p>
    <w:p w14:paraId="6DC35257" w14:textId="78DBA517" w:rsidR="0043724D" w:rsidRDefault="0043724D" w:rsidP="009F73BE">
      <w:pPr>
        <w:pStyle w:val="BodyText"/>
        <w:numPr>
          <w:ilvl w:val="1"/>
          <w:numId w:val="104"/>
        </w:numPr>
        <w:jc w:val="both"/>
        <w:rPr>
          <w:rFonts w:ascii="Calibri" w:hAnsi="Calibri" w:cs="Calibri"/>
          <w:b/>
          <w:bCs/>
          <w:color w:val="auto"/>
          <w:sz w:val="22"/>
          <w:lang w:val="en-US"/>
        </w:rPr>
      </w:pPr>
      <w:r w:rsidRPr="00902455">
        <w:rPr>
          <w:rFonts w:ascii="Calibri" w:hAnsi="Calibri" w:cs="Calibri"/>
          <w:b/>
          <w:bCs/>
          <w:color w:val="auto"/>
          <w:sz w:val="22"/>
          <w:lang w:val="en-US"/>
        </w:rPr>
        <w:t>Capital Guaranteed Funds</w:t>
      </w:r>
      <w:r w:rsidR="00385E75">
        <w:rPr>
          <w:rFonts w:ascii="Calibri" w:hAnsi="Calibri" w:cs="Calibri"/>
          <w:b/>
          <w:bCs/>
          <w:color w:val="auto"/>
          <w:sz w:val="22"/>
          <w:lang w:val="en-US"/>
        </w:rPr>
        <w:t>:</w:t>
      </w:r>
    </w:p>
    <w:p w14:paraId="5C47C6D5" w14:textId="5DC81F29" w:rsidR="00FD46A8" w:rsidRPr="00FD46A8" w:rsidRDefault="0043724D" w:rsidP="00FD46A8">
      <w:pPr>
        <w:pStyle w:val="BodyText"/>
        <w:numPr>
          <w:ilvl w:val="2"/>
          <w:numId w:val="104"/>
        </w:numPr>
        <w:jc w:val="both"/>
        <w:rPr>
          <w:rFonts w:ascii="Calibri" w:hAnsi="Calibri" w:cs="Calibri"/>
          <w:b/>
          <w:bCs/>
          <w:color w:val="auto"/>
          <w:sz w:val="22"/>
          <w:lang w:val="en-US"/>
        </w:rPr>
      </w:pPr>
      <w:r w:rsidRPr="00902455">
        <w:rPr>
          <w:rFonts w:ascii="Calibri" w:hAnsi="Calibri" w:cs="Calibri"/>
          <w:b/>
          <w:bCs/>
          <w:color w:val="auto"/>
          <w:sz w:val="22"/>
          <w:lang w:val="en-US"/>
        </w:rPr>
        <w:t>Definition</w:t>
      </w:r>
      <w:r>
        <w:rPr>
          <w:rFonts w:ascii="Calibri" w:hAnsi="Calibri" w:cs="Calibri"/>
          <w:color w:val="auto"/>
          <w:sz w:val="22"/>
          <w:lang w:val="en-US"/>
        </w:rPr>
        <w:t xml:space="preserve">: Guarantees the return of capital invested by participants at a future date. Such funds should </w:t>
      </w:r>
      <w:r w:rsidR="00FD46A8">
        <w:rPr>
          <w:rFonts w:ascii="Calibri" w:hAnsi="Calibri" w:cs="Calibri"/>
          <w:color w:val="auto"/>
          <w:sz w:val="22"/>
          <w:lang w:val="en-US"/>
        </w:rPr>
        <w:t>–</w:t>
      </w:r>
    </w:p>
    <w:p w14:paraId="273EF668" w14:textId="77777777" w:rsidR="00767850" w:rsidRPr="00767850" w:rsidRDefault="00767850"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u w:val="single"/>
          <w:lang w:val="en-US"/>
        </w:rPr>
        <w:t>H</w:t>
      </w:r>
      <w:r w:rsidR="0043724D" w:rsidRPr="00E57E4A">
        <w:rPr>
          <w:rFonts w:ascii="Calibri" w:hAnsi="Calibri" w:cs="Calibri"/>
          <w:color w:val="auto"/>
          <w:sz w:val="22"/>
          <w:u w:val="single"/>
          <w:lang w:val="en-US"/>
        </w:rPr>
        <w:t xml:space="preserve">ave an eligible guarantor that has a minimum long-term rating </w:t>
      </w:r>
      <w:r w:rsidR="0075523D" w:rsidRPr="00E57E4A">
        <w:rPr>
          <w:rFonts w:ascii="Calibri" w:hAnsi="Calibri" w:cs="Calibri"/>
          <w:color w:val="auto"/>
          <w:sz w:val="22"/>
          <w:u w:val="single"/>
          <w:lang w:val="en-US"/>
        </w:rPr>
        <w:t xml:space="preserve">of </w:t>
      </w:r>
      <w:r w:rsidR="00573862" w:rsidRPr="00E57E4A">
        <w:rPr>
          <w:rFonts w:ascii="Calibri" w:hAnsi="Calibri" w:cs="Calibri"/>
          <w:color w:val="auto"/>
          <w:sz w:val="22"/>
          <w:u w:val="single"/>
          <w:lang w:val="en-US"/>
        </w:rPr>
        <w:t>investment grade AA</w:t>
      </w:r>
      <w:r w:rsidR="00A6689E" w:rsidRPr="00E57E4A">
        <w:rPr>
          <w:rFonts w:ascii="Calibri" w:hAnsi="Calibri" w:cs="Calibri"/>
          <w:color w:val="auto"/>
          <w:sz w:val="22"/>
          <w:u w:val="single"/>
          <w:lang w:val="en-US"/>
        </w:rPr>
        <w:t xml:space="preserve"> (for financial institutions)/AAA (for non-financial institutions)</w:t>
      </w:r>
      <w:r w:rsidR="00A6689E">
        <w:rPr>
          <w:rFonts w:ascii="Calibri" w:hAnsi="Calibri" w:cs="Calibri"/>
          <w:color w:val="auto"/>
          <w:sz w:val="22"/>
          <w:lang w:val="en-US"/>
        </w:rPr>
        <w:t xml:space="preserve">. </w:t>
      </w:r>
    </w:p>
    <w:p w14:paraId="793AD634" w14:textId="0042D4FF" w:rsidR="0043724D" w:rsidRPr="00767850" w:rsidRDefault="00767850"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lang w:val="en-US"/>
        </w:rPr>
        <w:t>G</w:t>
      </w:r>
      <w:r w:rsidR="004F2C16">
        <w:rPr>
          <w:rFonts w:ascii="Calibri" w:hAnsi="Calibri" w:cs="Calibri"/>
          <w:color w:val="auto"/>
          <w:sz w:val="22"/>
          <w:lang w:val="en-US"/>
        </w:rPr>
        <w:t xml:space="preserve">uarantor </w:t>
      </w:r>
      <w:r w:rsidR="004F2C16" w:rsidRPr="00E57E4A">
        <w:rPr>
          <w:rFonts w:ascii="Calibri" w:hAnsi="Calibri" w:cs="Calibri"/>
          <w:color w:val="auto"/>
          <w:sz w:val="22"/>
          <w:u w:val="single"/>
          <w:lang w:val="en-US"/>
        </w:rPr>
        <w:t xml:space="preserve">should not be the issuer of transferable securities and money market instruments for </w:t>
      </w:r>
      <w:r w:rsidR="00E57E4A" w:rsidRPr="00E57E4A">
        <w:rPr>
          <w:rFonts w:ascii="Calibri" w:hAnsi="Calibri" w:cs="Calibri"/>
          <w:color w:val="auto"/>
          <w:sz w:val="22"/>
          <w:u w:val="single"/>
          <w:lang w:val="en-US"/>
        </w:rPr>
        <w:t>&gt; 10%</w:t>
      </w:r>
      <w:r w:rsidR="00E57E4A" w:rsidRPr="00524BC9">
        <w:rPr>
          <w:rFonts w:ascii="Calibri" w:hAnsi="Calibri" w:cs="Calibri"/>
          <w:color w:val="auto"/>
          <w:sz w:val="22"/>
          <w:lang w:val="en-US"/>
        </w:rPr>
        <w:t>.</w:t>
      </w:r>
    </w:p>
    <w:p w14:paraId="421202AA" w14:textId="61048597" w:rsidR="00767850" w:rsidRPr="00655A71" w:rsidRDefault="00767850" w:rsidP="009F73BE">
      <w:pPr>
        <w:pStyle w:val="BodyText"/>
        <w:numPr>
          <w:ilvl w:val="3"/>
          <w:numId w:val="104"/>
        </w:numPr>
        <w:jc w:val="both"/>
        <w:rPr>
          <w:rFonts w:ascii="Calibri" w:hAnsi="Calibri" w:cs="Calibri"/>
          <w:b/>
          <w:bCs/>
          <w:color w:val="auto"/>
          <w:sz w:val="22"/>
          <w:lang w:val="en-US"/>
        </w:rPr>
      </w:pPr>
      <w:r w:rsidRPr="002F6B52">
        <w:rPr>
          <w:rFonts w:ascii="Calibri" w:hAnsi="Calibri" w:cs="Calibri"/>
          <w:color w:val="auto"/>
          <w:sz w:val="22"/>
          <w:u w:val="single"/>
          <w:lang w:val="en-US"/>
        </w:rPr>
        <w:t xml:space="preserve">Guarantee should </w:t>
      </w:r>
      <w:r w:rsidR="00572924" w:rsidRPr="002F6B52">
        <w:rPr>
          <w:rFonts w:ascii="Calibri" w:hAnsi="Calibri" w:cs="Calibri"/>
          <w:color w:val="auto"/>
          <w:sz w:val="22"/>
          <w:u w:val="single"/>
          <w:lang w:val="en-US"/>
        </w:rPr>
        <w:t>be at least 100% of capital invested</w:t>
      </w:r>
      <w:r w:rsidR="00572924">
        <w:rPr>
          <w:rFonts w:ascii="Calibri" w:hAnsi="Calibri" w:cs="Calibri"/>
          <w:color w:val="auto"/>
          <w:sz w:val="22"/>
          <w:lang w:val="en-US"/>
        </w:rPr>
        <w:t>, less initial sales charges or f</w:t>
      </w:r>
      <w:r w:rsidR="002F6B52">
        <w:rPr>
          <w:rFonts w:ascii="Calibri" w:hAnsi="Calibri" w:cs="Calibri"/>
          <w:color w:val="auto"/>
          <w:sz w:val="22"/>
          <w:lang w:val="en-US"/>
        </w:rPr>
        <w:t>r</w:t>
      </w:r>
      <w:r w:rsidR="00572924">
        <w:rPr>
          <w:rFonts w:ascii="Calibri" w:hAnsi="Calibri" w:cs="Calibri"/>
          <w:color w:val="auto"/>
          <w:sz w:val="22"/>
          <w:lang w:val="en-US"/>
        </w:rPr>
        <w:t xml:space="preserve">ont-end loads. </w:t>
      </w:r>
      <w:r w:rsidR="00BE2566">
        <w:rPr>
          <w:rFonts w:ascii="Calibri" w:hAnsi="Calibri" w:cs="Calibri"/>
          <w:color w:val="auto"/>
          <w:sz w:val="22"/>
          <w:lang w:val="en-US"/>
        </w:rPr>
        <w:t xml:space="preserve">There should be </w:t>
      </w:r>
      <w:r w:rsidR="00BE2566" w:rsidRPr="00F147A9">
        <w:rPr>
          <w:rFonts w:ascii="Calibri" w:hAnsi="Calibri" w:cs="Calibri"/>
          <w:color w:val="auto"/>
          <w:sz w:val="22"/>
          <w:u w:val="single"/>
          <w:lang w:val="en-US"/>
        </w:rPr>
        <w:t>no variation of the guarantee</w:t>
      </w:r>
      <w:r w:rsidR="00BE2566">
        <w:rPr>
          <w:rFonts w:ascii="Calibri" w:hAnsi="Calibri" w:cs="Calibri"/>
          <w:color w:val="auto"/>
          <w:sz w:val="22"/>
          <w:lang w:val="en-US"/>
        </w:rPr>
        <w:t xml:space="preserve"> unless approved by </w:t>
      </w:r>
      <w:r w:rsidR="00E2614C">
        <w:rPr>
          <w:rFonts w:ascii="Calibri" w:hAnsi="Calibri" w:cs="Calibri"/>
          <w:color w:val="auto"/>
          <w:sz w:val="22"/>
          <w:lang w:val="en-US"/>
        </w:rPr>
        <w:t>trustees or participant</w:t>
      </w:r>
      <w:r w:rsidR="00D25390">
        <w:rPr>
          <w:rFonts w:ascii="Calibri" w:hAnsi="Calibri" w:cs="Calibri"/>
          <w:color w:val="auto"/>
          <w:sz w:val="22"/>
          <w:lang w:val="en-US"/>
        </w:rPr>
        <w:t xml:space="preserve">s </w:t>
      </w:r>
      <w:r w:rsidR="00F93BF6">
        <w:rPr>
          <w:rFonts w:ascii="Calibri" w:hAnsi="Calibri" w:cs="Calibri"/>
          <w:color w:val="auto"/>
          <w:sz w:val="22"/>
          <w:lang w:val="en-US"/>
        </w:rPr>
        <w:t>at</w:t>
      </w:r>
      <w:r w:rsidR="00D25390">
        <w:rPr>
          <w:rFonts w:ascii="Calibri" w:hAnsi="Calibri" w:cs="Calibri"/>
          <w:color w:val="auto"/>
          <w:sz w:val="22"/>
          <w:lang w:val="en-US"/>
        </w:rPr>
        <w:t xml:space="preserve"> ordinary meeting.</w:t>
      </w:r>
      <w:r w:rsidR="00F04ECF">
        <w:rPr>
          <w:rFonts w:ascii="Calibri" w:hAnsi="Calibri" w:cs="Calibri"/>
          <w:color w:val="auto"/>
          <w:sz w:val="22"/>
          <w:lang w:val="en-US"/>
        </w:rPr>
        <w:t xml:space="preserve"> Guarantee can be terminated </w:t>
      </w:r>
      <w:r w:rsidR="00655A71">
        <w:rPr>
          <w:rFonts w:ascii="Calibri" w:hAnsi="Calibri" w:cs="Calibri"/>
          <w:color w:val="auto"/>
          <w:sz w:val="22"/>
          <w:lang w:val="en-US"/>
        </w:rPr>
        <w:t>if the guarantor goes into liquidation or if the capital guaranteed fund is voluntarily terminated.</w:t>
      </w:r>
    </w:p>
    <w:p w14:paraId="00FAA426" w14:textId="7CEAE776" w:rsidR="00655A71" w:rsidRPr="00F7185A" w:rsidRDefault="00DA0F50"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u w:val="single"/>
          <w:lang w:val="en-US"/>
        </w:rPr>
        <w:t>The trustee may also, at an extraordinary meeting</w:t>
      </w:r>
      <w:r w:rsidR="00F93BF6">
        <w:rPr>
          <w:rFonts w:ascii="Calibri" w:hAnsi="Calibri" w:cs="Calibri"/>
          <w:color w:val="auto"/>
          <w:sz w:val="22"/>
          <w:u w:val="single"/>
          <w:lang w:val="en-US"/>
        </w:rPr>
        <w:t xml:space="preserve"> with participants</w:t>
      </w:r>
      <w:r>
        <w:rPr>
          <w:rFonts w:ascii="Calibri" w:hAnsi="Calibri" w:cs="Calibri"/>
          <w:color w:val="auto"/>
          <w:sz w:val="22"/>
          <w:u w:val="single"/>
          <w:lang w:val="en-US"/>
        </w:rPr>
        <w:t xml:space="preserve">, </w:t>
      </w:r>
      <w:r w:rsidR="00F93BF6">
        <w:rPr>
          <w:rFonts w:ascii="Calibri" w:hAnsi="Calibri" w:cs="Calibri"/>
          <w:color w:val="auto"/>
          <w:sz w:val="22"/>
          <w:u w:val="single"/>
          <w:lang w:val="en-US"/>
        </w:rPr>
        <w:t>terminate the scheme or allow the scheme to continue without guarantee</w:t>
      </w:r>
      <w:r w:rsidR="00983F49">
        <w:rPr>
          <w:rFonts w:ascii="Calibri" w:hAnsi="Calibri" w:cs="Calibri"/>
          <w:color w:val="auto"/>
          <w:sz w:val="22"/>
          <w:u w:val="single"/>
          <w:lang w:val="en-US"/>
        </w:rPr>
        <w:t xml:space="preserve"> if the cost of obtaining a new guarantee outweighs the benefit of such guarantee</w:t>
      </w:r>
      <w:r w:rsidR="00983F49" w:rsidRPr="00983F49">
        <w:rPr>
          <w:rFonts w:ascii="Calibri" w:hAnsi="Calibri" w:cs="Calibri"/>
          <w:color w:val="auto"/>
          <w:sz w:val="22"/>
          <w:lang w:val="en-US"/>
        </w:rPr>
        <w:t>.</w:t>
      </w:r>
    </w:p>
    <w:p w14:paraId="7607CDEB" w14:textId="43E6FAF3" w:rsidR="00F7185A" w:rsidRPr="00F7185A" w:rsidRDefault="00F7185A" w:rsidP="009F73BE">
      <w:pPr>
        <w:pStyle w:val="BodyText"/>
        <w:numPr>
          <w:ilvl w:val="3"/>
          <w:numId w:val="104"/>
        </w:numPr>
        <w:jc w:val="both"/>
        <w:rPr>
          <w:rFonts w:ascii="Calibri" w:hAnsi="Calibri" w:cs="Calibri"/>
          <w:b/>
          <w:bCs/>
          <w:color w:val="auto"/>
          <w:sz w:val="22"/>
          <w:lang w:val="en-US"/>
        </w:rPr>
      </w:pPr>
      <w:r w:rsidRPr="00F7185A">
        <w:rPr>
          <w:rFonts w:ascii="Calibri" w:hAnsi="Calibri" w:cs="Calibri"/>
          <w:color w:val="auto"/>
          <w:sz w:val="22"/>
          <w:lang w:val="en-US"/>
        </w:rPr>
        <w:t xml:space="preserve">The manager should </w:t>
      </w:r>
      <w:r>
        <w:rPr>
          <w:rFonts w:ascii="Calibri" w:hAnsi="Calibri" w:cs="Calibri"/>
          <w:color w:val="auto"/>
          <w:sz w:val="22"/>
          <w:lang w:val="en-US"/>
        </w:rPr>
        <w:t xml:space="preserve">notify </w:t>
      </w:r>
      <w:r w:rsidR="009661C3">
        <w:rPr>
          <w:rFonts w:ascii="Calibri" w:hAnsi="Calibri" w:cs="Calibri"/>
          <w:color w:val="auto"/>
          <w:sz w:val="22"/>
          <w:lang w:val="en-US"/>
        </w:rPr>
        <w:t>participants at least 30 days in advance where the</w:t>
      </w:r>
      <w:r w:rsidRPr="00F7185A">
        <w:rPr>
          <w:rFonts w:ascii="Calibri" w:hAnsi="Calibri" w:cs="Calibri"/>
          <w:color w:val="auto"/>
          <w:sz w:val="22"/>
          <w:lang w:val="en-US"/>
        </w:rPr>
        <w:t xml:space="preserve"> guarantee</w:t>
      </w:r>
      <w:r w:rsidR="008845FA">
        <w:rPr>
          <w:rFonts w:ascii="Calibri" w:hAnsi="Calibri" w:cs="Calibri"/>
          <w:color w:val="auto"/>
          <w:sz w:val="22"/>
          <w:lang w:val="en-US"/>
        </w:rPr>
        <w:t xml:space="preserve"> applies only on a particular date.</w:t>
      </w:r>
    </w:p>
    <w:p w14:paraId="2033A09B" w14:textId="33F728F1" w:rsidR="00767992" w:rsidRPr="00767992" w:rsidRDefault="00767992" w:rsidP="009F73BE">
      <w:pPr>
        <w:pStyle w:val="BodyText"/>
        <w:numPr>
          <w:ilvl w:val="2"/>
          <w:numId w:val="104"/>
        </w:numPr>
        <w:jc w:val="both"/>
        <w:rPr>
          <w:rFonts w:ascii="Calibri" w:hAnsi="Calibri" w:cs="Calibri"/>
          <w:b/>
          <w:bCs/>
          <w:color w:val="auto"/>
          <w:sz w:val="22"/>
          <w:lang w:val="en-US"/>
        </w:rPr>
      </w:pPr>
      <w:r w:rsidRPr="00767992">
        <w:rPr>
          <w:rFonts w:ascii="Calibri" w:hAnsi="Calibri" w:cs="Calibri"/>
          <w:b/>
          <w:bCs/>
          <w:color w:val="auto"/>
          <w:sz w:val="22"/>
          <w:lang w:val="en-US"/>
        </w:rPr>
        <w:t>Borrowings</w:t>
      </w:r>
      <w:r w:rsidRPr="00767992">
        <w:rPr>
          <w:rFonts w:ascii="Calibri" w:hAnsi="Calibri" w:cs="Calibri"/>
          <w:color w:val="auto"/>
          <w:sz w:val="22"/>
          <w:lang w:val="en-US"/>
        </w:rPr>
        <w:t xml:space="preserve">: </w:t>
      </w:r>
      <w:r>
        <w:rPr>
          <w:rFonts w:ascii="Calibri" w:hAnsi="Calibri" w:cs="Calibri"/>
          <w:color w:val="auto"/>
          <w:sz w:val="22"/>
          <w:lang w:val="en-US"/>
        </w:rPr>
        <w:t>May</w:t>
      </w:r>
      <w:r w:rsidRPr="00767992">
        <w:rPr>
          <w:rFonts w:ascii="Calibri" w:hAnsi="Calibri" w:cs="Calibri"/>
          <w:color w:val="auto"/>
          <w:sz w:val="22"/>
          <w:lang w:val="en-US"/>
        </w:rPr>
        <w:t xml:space="preserve"> borrow from licensed banks (including merchant banks) and financed companies not exceeding 10% NAV and must repay the debt within one month. </w:t>
      </w:r>
    </w:p>
    <w:p w14:paraId="1DECCAFA" w14:textId="650BB76A" w:rsidR="00767992" w:rsidRPr="00B00974" w:rsidRDefault="008F7C72" w:rsidP="009F73BE">
      <w:pPr>
        <w:pStyle w:val="BodyText"/>
        <w:numPr>
          <w:ilvl w:val="2"/>
          <w:numId w:val="104"/>
        </w:numPr>
        <w:jc w:val="both"/>
        <w:rPr>
          <w:rFonts w:ascii="Calibri" w:hAnsi="Calibri" w:cs="Calibri"/>
          <w:b/>
          <w:bCs/>
          <w:color w:val="auto"/>
          <w:sz w:val="22"/>
          <w:lang w:val="en-US"/>
        </w:rPr>
      </w:pPr>
      <w:r>
        <w:rPr>
          <w:rFonts w:ascii="Calibri" w:hAnsi="Calibri" w:cs="Calibri"/>
          <w:color w:val="auto"/>
          <w:sz w:val="22"/>
          <w:lang w:val="en-US"/>
        </w:rPr>
        <w:t>The fund is prohibited from naming itself as a capital guaranteed fund if it violates any of the definitions.</w:t>
      </w:r>
    </w:p>
    <w:p w14:paraId="6A1B7DED" w14:textId="1FF60A0D" w:rsidR="00B00974" w:rsidRPr="00B00974" w:rsidRDefault="00B00974" w:rsidP="009F73BE">
      <w:pPr>
        <w:pStyle w:val="BodyText"/>
        <w:numPr>
          <w:ilvl w:val="1"/>
          <w:numId w:val="104"/>
        </w:numPr>
        <w:jc w:val="both"/>
        <w:rPr>
          <w:rFonts w:ascii="Calibri" w:hAnsi="Calibri" w:cs="Calibri"/>
          <w:b/>
          <w:bCs/>
          <w:color w:val="auto"/>
          <w:sz w:val="22"/>
          <w:lang w:val="en-US"/>
        </w:rPr>
      </w:pPr>
      <w:r w:rsidRPr="00B00974">
        <w:rPr>
          <w:rFonts w:ascii="Calibri" w:hAnsi="Calibri" w:cs="Calibri"/>
          <w:b/>
          <w:bCs/>
          <w:color w:val="auto"/>
          <w:sz w:val="22"/>
          <w:lang w:val="en-US"/>
        </w:rPr>
        <w:t>Index Funds</w:t>
      </w:r>
      <w:r>
        <w:rPr>
          <w:rFonts w:ascii="Calibri" w:hAnsi="Calibri" w:cs="Calibri"/>
          <w:color w:val="auto"/>
          <w:sz w:val="22"/>
          <w:lang w:val="en-US"/>
        </w:rPr>
        <w:t>:</w:t>
      </w:r>
    </w:p>
    <w:p w14:paraId="3EF46C4E" w14:textId="0AE5CBCB" w:rsidR="004F7212" w:rsidRPr="004F7212" w:rsidRDefault="00B00974" w:rsidP="009F73BE">
      <w:pPr>
        <w:pStyle w:val="BodyText"/>
        <w:numPr>
          <w:ilvl w:val="2"/>
          <w:numId w:val="104"/>
        </w:numPr>
        <w:jc w:val="both"/>
        <w:rPr>
          <w:rFonts w:ascii="Calibri" w:hAnsi="Calibri" w:cs="Calibri"/>
          <w:b/>
          <w:bCs/>
          <w:color w:val="auto"/>
          <w:sz w:val="22"/>
          <w:lang w:val="en-US"/>
        </w:rPr>
      </w:pPr>
      <w:r w:rsidRPr="00902455">
        <w:rPr>
          <w:rFonts w:ascii="Calibri" w:hAnsi="Calibri" w:cs="Calibri"/>
          <w:b/>
          <w:bCs/>
          <w:color w:val="auto"/>
          <w:sz w:val="22"/>
          <w:lang w:val="en-US"/>
        </w:rPr>
        <w:t>Definition</w:t>
      </w:r>
      <w:r>
        <w:rPr>
          <w:rFonts w:ascii="Calibri" w:hAnsi="Calibri" w:cs="Calibri"/>
          <w:color w:val="auto"/>
          <w:sz w:val="22"/>
          <w:lang w:val="en-US"/>
        </w:rPr>
        <w:t xml:space="preserve">: </w:t>
      </w:r>
      <w:r w:rsidR="000E6B97">
        <w:rPr>
          <w:rFonts w:ascii="Calibri" w:hAnsi="Calibri" w:cs="Calibri"/>
          <w:color w:val="auto"/>
          <w:sz w:val="22"/>
          <w:lang w:val="en-US"/>
        </w:rPr>
        <w:t>R</w:t>
      </w:r>
      <w:r w:rsidR="000E6B97" w:rsidRPr="00380223">
        <w:rPr>
          <w:rFonts w:ascii="Calibri" w:hAnsi="Calibri" w:cs="Calibri"/>
          <w:color w:val="auto"/>
          <w:sz w:val="22"/>
          <w:lang w:val="en-US"/>
        </w:rPr>
        <w:t xml:space="preserve">eplicate </w:t>
      </w:r>
      <w:r w:rsidR="000E6B97">
        <w:rPr>
          <w:rFonts w:ascii="Calibri" w:hAnsi="Calibri" w:cs="Calibri"/>
          <w:color w:val="auto"/>
          <w:sz w:val="22"/>
          <w:lang w:val="en-US"/>
        </w:rPr>
        <w:t xml:space="preserve">the performance of </w:t>
      </w:r>
      <w:r w:rsidR="000E6B97" w:rsidRPr="00380223">
        <w:rPr>
          <w:rFonts w:ascii="Calibri" w:hAnsi="Calibri" w:cs="Calibri"/>
          <w:color w:val="auto"/>
          <w:sz w:val="22"/>
          <w:lang w:val="en-US"/>
        </w:rPr>
        <w:t>commodities, interest rates, FX and currencies</w:t>
      </w:r>
      <w:r w:rsidR="001C639B">
        <w:rPr>
          <w:rFonts w:ascii="Calibri" w:hAnsi="Calibri" w:cs="Calibri"/>
          <w:color w:val="auto"/>
          <w:sz w:val="22"/>
          <w:lang w:val="en-US"/>
        </w:rPr>
        <w:t>, and should meet the following characteristics</w:t>
      </w:r>
      <w:r w:rsidR="004F7212">
        <w:rPr>
          <w:rFonts w:ascii="Calibri" w:hAnsi="Calibri" w:cs="Calibri"/>
          <w:color w:val="auto"/>
          <w:sz w:val="22"/>
          <w:lang w:val="en-US"/>
        </w:rPr>
        <w:t xml:space="preserve"> –</w:t>
      </w:r>
    </w:p>
    <w:p w14:paraId="7AC1128B" w14:textId="3C69AA63" w:rsidR="001C639B" w:rsidRDefault="001C639B" w:rsidP="009F73BE">
      <w:pPr>
        <w:pStyle w:val="BodyText"/>
        <w:numPr>
          <w:ilvl w:val="3"/>
          <w:numId w:val="104"/>
        </w:numPr>
        <w:jc w:val="both"/>
        <w:rPr>
          <w:rFonts w:ascii="Calibri" w:hAnsi="Calibri" w:cs="Calibri"/>
          <w:color w:val="auto"/>
          <w:sz w:val="22"/>
          <w:lang w:val="en-US"/>
        </w:rPr>
      </w:pPr>
      <w:r w:rsidRPr="00A679F4">
        <w:rPr>
          <w:rFonts w:ascii="Calibri" w:hAnsi="Calibri" w:cs="Calibri"/>
          <w:color w:val="auto"/>
          <w:sz w:val="22"/>
          <w:u w:val="single"/>
          <w:lang w:val="en-US"/>
        </w:rPr>
        <w:t>Representative benchmark</w:t>
      </w:r>
      <w:r w:rsidRPr="003A0A1A">
        <w:rPr>
          <w:rFonts w:ascii="Calibri" w:hAnsi="Calibri" w:cs="Calibri"/>
          <w:color w:val="auto"/>
          <w:sz w:val="22"/>
          <w:lang w:val="en-US"/>
        </w:rPr>
        <w:t xml:space="preserve"> with a clearly defined objective</w:t>
      </w:r>
      <w:r w:rsidR="003A0A1A">
        <w:rPr>
          <w:rFonts w:ascii="Calibri" w:hAnsi="Calibri" w:cs="Calibri"/>
          <w:color w:val="auto"/>
          <w:sz w:val="22"/>
          <w:lang w:val="en-US"/>
        </w:rPr>
        <w:t xml:space="preserve">, adequately reflects the characteristics </w:t>
      </w:r>
      <w:r w:rsidR="00A679F4">
        <w:rPr>
          <w:rFonts w:ascii="Calibri" w:hAnsi="Calibri" w:cs="Calibri"/>
          <w:color w:val="auto"/>
          <w:sz w:val="22"/>
          <w:lang w:val="en-US"/>
        </w:rPr>
        <w:t xml:space="preserve">of the market and be investable. </w:t>
      </w:r>
    </w:p>
    <w:p w14:paraId="59088DDC" w14:textId="02994618" w:rsidR="00A679F4" w:rsidRDefault="00A679F4" w:rsidP="009F73BE">
      <w:pPr>
        <w:pStyle w:val="BodyText"/>
        <w:numPr>
          <w:ilvl w:val="3"/>
          <w:numId w:val="104"/>
        </w:numPr>
        <w:jc w:val="both"/>
        <w:rPr>
          <w:rFonts w:ascii="Calibri" w:hAnsi="Calibri" w:cs="Calibri"/>
          <w:color w:val="auto"/>
          <w:sz w:val="22"/>
          <w:lang w:val="en-US"/>
        </w:rPr>
      </w:pPr>
      <w:r w:rsidRPr="004F7212">
        <w:rPr>
          <w:rFonts w:ascii="Calibri" w:hAnsi="Calibri" w:cs="Calibri"/>
          <w:color w:val="auto"/>
          <w:sz w:val="22"/>
          <w:u w:val="single"/>
          <w:lang w:val="en-US"/>
        </w:rPr>
        <w:t>Sufficiently diversified</w:t>
      </w:r>
      <w:r w:rsidR="00A10E64">
        <w:rPr>
          <w:rFonts w:ascii="Calibri" w:hAnsi="Calibri" w:cs="Calibri"/>
          <w:color w:val="auto"/>
          <w:sz w:val="22"/>
          <w:lang w:val="en-US"/>
        </w:rPr>
        <w:t xml:space="preserve"> where the </w:t>
      </w:r>
      <w:r w:rsidR="00A10E64" w:rsidRPr="004F7212">
        <w:rPr>
          <w:rFonts w:ascii="Calibri" w:hAnsi="Calibri" w:cs="Calibri"/>
          <w:color w:val="auto"/>
          <w:sz w:val="22"/>
          <w:u w:val="single"/>
          <w:lang w:val="en-US"/>
        </w:rPr>
        <w:t>maximum weight of each constituent does not exceed 20% / 35% (for non-entities only</w:t>
      </w:r>
      <w:r w:rsidR="00C4415E">
        <w:rPr>
          <w:rFonts w:ascii="Calibri" w:hAnsi="Calibri" w:cs="Calibri"/>
          <w:color w:val="auto"/>
          <w:sz w:val="22"/>
          <w:u w:val="single"/>
          <w:lang w:val="en-US"/>
        </w:rPr>
        <w:t xml:space="preserve"> which include commodities</w:t>
      </w:r>
      <w:r w:rsidR="00A10E64" w:rsidRPr="004F7212">
        <w:rPr>
          <w:rFonts w:ascii="Calibri" w:hAnsi="Calibri" w:cs="Calibri"/>
          <w:color w:val="auto"/>
          <w:sz w:val="22"/>
          <w:u w:val="single"/>
          <w:lang w:val="en-US"/>
        </w:rPr>
        <w:t>)</w:t>
      </w:r>
      <w:r w:rsidR="00A10E64">
        <w:rPr>
          <w:rFonts w:ascii="Calibri" w:hAnsi="Calibri" w:cs="Calibri"/>
          <w:color w:val="auto"/>
          <w:sz w:val="22"/>
          <w:lang w:val="en-US"/>
        </w:rPr>
        <w:t>.</w:t>
      </w:r>
    </w:p>
    <w:p w14:paraId="2C511E25" w14:textId="24EA4134" w:rsidR="00A679F4" w:rsidRPr="004F7212" w:rsidRDefault="004F7212" w:rsidP="009F73BE">
      <w:pPr>
        <w:pStyle w:val="BodyText"/>
        <w:numPr>
          <w:ilvl w:val="3"/>
          <w:numId w:val="104"/>
        </w:numPr>
        <w:jc w:val="both"/>
        <w:rPr>
          <w:rFonts w:ascii="Calibri" w:hAnsi="Calibri" w:cs="Calibri"/>
          <w:color w:val="auto"/>
          <w:sz w:val="22"/>
          <w:u w:val="single"/>
          <w:lang w:val="en-US"/>
        </w:rPr>
      </w:pPr>
      <w:r w:rsidRPr="004F7212">
        <w:rPr>
          <w:rFonts w:ascii="Calibri" w:hAnsi="Calibri" w:cs="Calibri"/>
          <w:color w:val="auto"/>
          <w:sz w:val="22"/>
          <w:u w:val="single"/>
          <w:lang w:val="en-US"/>
        </w:rPr>
        <w:t>Transparency of information</w:t>
      </w:r>
    </w:p>
    <w:p w14:paraId="5D5D5D20" w14:textId="1E713A70" w:rsidR="00B00974" w:rsidRDefault="00544CE0" w:rsidP="009F73BE">
      <w:pPr>
        <w:pStyle w:val="BodyText"/>
        <w:numPr>
          <w:ilvl w:val="1"/>
          <w:numId w:val="104"/>
        </w:numPr>
        <w:jc w:val="both"/>
        <w:rPr>
          <w:rFonts w:ascii="Calibri" w:hAnsi="Calibri" w:cs="Calibri"/>
          <w:b/>
          <w:bCs/>
          <w:color w:val="auto"/>
          <w:sz w:val="22"/>
          <w:lang w:val="en-US"/>
        </w:rPr>
      </w:pPr>
      <w:r>
        <w:rPr>
          <w:rFonts w:ascii="Calibri" w:hAnsi="Calibri" w:cs="Calibri"/>
          <w:b/>
          <w:bCs/>
          <w:color w:val="auto"/>
          <w:sz w:val="22"/>
          <w:lang w:val="en-US"/>
        </w:rPr>
        <w:t>Property Funds</w:t>
      </w:r>
      <w:r w:rsidR="00385E75">
        <w:rPr>
          <w:rFonts w:ascii="Calibri" w:hAnsi="Calibri" w:cs="Calibri"/>
          <w:b/>
          <w:bCs/>
          <w:color w:val="auto"/>
          <w:sz w:val="22"/>
          <w:lang w:val="en-US"/>
        </w:rPr>
        <w:t>:</w:t>
      </w:r>
    </w:p>
    <w:p w14:paraId="5DE693A0" w14:textId="14960B5E" w:rsidR="00990B97" w:rsidRPr="00990B97" w:rsidRDefault="008B3340" w:rsidP="009F73BE">
      <w:pPr>
        <w:pStyle w:val="BodyText"/>
        <w:numPr>
          <w:ilvl w:val="2"/>
          <w:numId w:val="104"/>
        </w:numPr>
        <w:jc w:val="both"/>
        <w:rPr>
          <w:rFonts w:ascii="Calibri" w:hAnsi="Calibri" w:cs="Calibri"/>
          <w:b/>
          <w:bCs/>
          <w:color w:val="auto"/>
          <w:sz w:val="22"/>
          <w:lang w:val="en-US"/>
        </w:rPr>
      </w:pPr>
      <w:r w:rsidRPr="008B3340">
        <w:rPr>
          <w:rFonts w:ascii="Calibri" w:hAnsi="Calibri" w:cs="Calibri"/>
          <w:b/>
          <w:bCs/>
          <w:color w:val="auto"/>
          <w:sz w:val="22"/>
          <w:lang w:val="en-US"/>
        </w:rPr>
        <w:t>Definition</w:t>
      </w:r>
      <w:r>
        <w:rPr>
          <w:rFonts w:ascii="Calibri" w:hAnsi="Calibri" w:cs="Calibri"/>
          <w:color w:val="auto"/>
          <w:sz w:val="22"/>
          <w:lang w:val="en-US"/>
        </w:rPr>
        <w:t xml:space="preserve">: </w:t>
      </w:r>
      <w:r w:rsidR="002D6AE8">
        <w:rPr>
          <w:rFonts w:ascii="Calibri" w:hAnsi="Calibri" w:cs="Calibri"/>
          <w:color w:val="auto"/>
          <w:sz w:val="22"/>
          <w:lang w:val="en-US"/>
        </w:rPr>
        <w:t>The property fund may or may not be listed on an approved exchange</w:t>
      </w:r>
      <w:r w:rsidR="00E5063B">
        <w:rPr>
          <w:rFonts w:ascii="Calibri" w:hAnsi="Calibri" w:cs="Calibri"/>
          <w:color w:val="auto"/>
          <w:sz w:val="22"/>
          <w:lang w:val="en-US"/>
        </w:rPr>
        <w:t>, and it c</w:t>
      </w:r>
      <w:r w:rsidR="00990B97">
        <w:rPr>
          <w:rFonts w:ascii="Calibri" w:hAnsi="Calibri" w:cs="Calibri"/>
          <w:color w:val="auto"/>
          <w:sz w:val="22"/>
          <w:lang w:val="en-US"/>
        </w:rPr>
        <w:t>an only</w:t>
      </w:r>
      <w:r w:rsidR="00990B97" w:rsidRPr="00990B97">
        <w:rPr>
          <w:rFonts w:ascii="Calibri" w:hAnsi="Calibri" w:cs="Calibri"/>
          <w:color w:val="auto"/>
          <w:sz w:val="22"/>
          <w:lang w:val="en-US"/>
        </w:rPr>
        <w:t xml:space="preserve"> i</w:t>
      </w:r>
      <w:r w:rsidRPr="00990B97">
        <w:rPr>
          <w:rFonts w:ascii="Calibri" w:hAnsi="Calibri" w:cs="Calibri"/>
          <w:color w:val="auto"/>
          <w:sz w:val="22"/>
          <w:lang w:val="en-US"/>
        </w:rPr>
        <w:t xml:space="preserve">nvest </w:t>
      </w:r>
      <w:r w:rsidR="00990B97" w:rsidRPr="00990B97">
        <w:rPr>
          <w:rFonts w:ascii="Calibri" w:hAnsi="Calibri" w:cs="Calibri"/>
          <w:color w:val="auto"/>
          <w:sz w:val="22"/>
          <w:lang w:val="en-US"/>
        </w:rPr>
        <w:t>in the following</w:t>
      </w:r>
      <w:r w:rsidR="00990B97">
        <w:rPr>
          <w:rFonts w:ascii="Calibri" w:hAnsi="Calibri" w:cs="Calibri"/>
          <w:color w:val="auto"/>
          <w:sz w:val="22"/>
          <w:lang w:val="en-US"/>
        </w:rPr>
        <w:t xml:space="preserve"> – </w:t>
      </w:r>
    </w:p>
    <w:p w14:paraId="32F4130E" w14:textId="3930CEEF" w:rsidR="002D6AE8" w:rsidRPr="002D6AE8" w:rsidRDefault="002D6AE8"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u w:val="single"/>
          <w:lang w:val="en-US"/>
        </w:rPr>
        <w:t xml:space="preserve">Global </w:t>
      </w:r>
      <w:r w:rsidR="00990B97">
        <w:rPr>
          <w:rFonts w:ascii="Calibri" w:hAnsi="Calibri" w:cs="Calibri"/>
          <w:color w:val="auto"/>
          <w:sz w:val="22"/>
          <w:u w:val="single"/>
          <w:lang w:val="en-US"/>
        </w:rPr>
        <w:t>R</w:t>
      </w:r>
      <w:r w:rsidR="008B3340" w:rsidRPr="001145AD">
        <w:rPr>
          <w:rFonts w:ascii="Calibri" w:hAnsi="Calibri" w:cs="Calibri"/>
          <w:color w:val="auto"/>
          <w:sz w:val="22"/>
          <w:u w:val="single"/>
          <w:lang w:val="en-US"/>
        </w:rPr>
        <w:t xml:space="preserve">eal </w:t>
      </w:r>
      <w:r>
        <w:rPr>
          <w:rFonts w:ascii="Calibri" w:hAnsi="Calibri" w:cs="Calibri"/>
          <w:color w:val="auto"/>
          <w:sz w:val="22"/>
          <w:u w:val="single"/>
          <w:lang w:val="en-US"/>
        </w:rPr>
        <w:t>E</w:t>
      </w:r>
      <w:r w:rsidR="008B3340" w:rsidRPr="001145AD">
        <w:rPr>
          <w:rFonts w:ascii="Calibri" w:hAnsi="Calibri" w:cs="Calibri"/>
          <w:color w:val="auto"/>
          <w:sz w:val="22"/>
          <w:u w:val="single"/>
          <w:lang w:val="en-US"/>
        </w:rPr>
        <w:t>state</w:t>
      </w:r>
      <w:r w:rsidR="004C3429">
        <w:rPr>
          <w:rFonts w:ascii="Calibri" w:hAnsi="Calibri" w:cs="Calibri"/>
          <w:color w:val="auto"/>
          <w:sz w:val="22"/>
          <w:lang w:val="en-US"/>
        </w:rPr>
        <w:t>, provided by the trust deed</w:t>
      </w:r>
    </w:p>
    <w:p w14:paraId="4B538153" w14:textId="0851546B" w:rsidR="008B3340" w:rsidRPr="00E5063B" w:rsidRDefault="002D6AE8"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u w:val="single"/>
          <w:lang w:val="en-US"/>
        </w:rPr>
        <w:t>R</w:t>
      </w:r>
      <w:r w:rsidR="00EA0E68" w:rsidRPr="001145AD">
        <w:rPr>
          <w:rFonts w:ascii="Calibri" w:hAnsi="Calibri" w:cs="Calibri"/>
          <w:color w:val="auto"/>
          <w:sz w:val="22"/>
          <w:u w:val="single"/>
          <w:lang w:val="en-US"/>
        </w:rPr>
        <w:t xml:space="preserve">eal estate </w:t>
      </w:r>
      <w:r w:rsidR="008B3340" w:rsidRPr="001145AD">
        <w:rPr>
          <w:rFonts w:ascii="Calibri" w:hAnsi="Calibri" w:cs="Calibri"/>
          <w:color w:val="auto"/>
          <w:sz w:val="22"/>
          <w:u w:val="single"/>
          <w:lang w:val="en-US"/>
        </w:rPr>
        <w:t>related assets</w:t>
      </w:r>
      <w:r w:rsidR="00326DD1" w:rsidRPr="001145AD">
        <w:rPr>
          <w:rFonts w:ascii="Calibri" w:hAnsi="Calibri" w:cs="Calibri"/>
          <w:color w:val="auto"/>
          <w:sz w:val="22"/>
          <w:lang w:val="en-US"/>
        </w:rPr>
        <w:t xml:space="preserve"> </w:t>
      </w:r>
      <w:r w:rsidR="00326DD1">
        <w:rPr>
          <w:rFonts w:ascii="Calibri" w:hAnsi="Calibri" w:cs="Calibri"/>
          <w:color w:val="auto"/>
          <w:sz w:val="22"/>
          <w:lang w:val="en-US"/>
        </w:rPr>
        <w:t>(i.e., listed or unlisted debt securities</w:t>
      </w:r>
      <w:r w:rsidR="000D15D5">
        <w:rPr>
          <w:rFonts w:ascii="Calibri" w:hAnsi="Calibri" w:cs="Calibri"/>
          <w:color w:val="auto"/>
          <w:sz w:val="22"/>
          <w:lang w:val="en-US"/>
        </w:rPr>
        <w:t xml:space="preserve"> / shares issued by property corporations, </w:t>
      </w:r>
      <w:r w:rsidR="001145AD">
        <w:rPr>
          <w:rFonts w:ascii="Calibri" w:hAnsi="Calibri" w:cs="Calibri"/>
          <w:color w:val="auto"/>
          <w:sz w:val="22"/>
          <w:lang w:val="en-US"/>
        </w:rPr>
        <w:t>MBS, other property funds and assets incidental to the ownership of real estate)</w:t>
      </w:r>
      <w:r w:rsidR="00EA0E68">
        <w:rPr>
          <w:rFonts w:ascii="Calibri" w:hAnsi="Calibri" w:cs="Calibri"/>
          <w:color w:val="auto"/>
          <w:sz w:val="22"/>
          <w:lang w:val="en-US"/>
        </w:rPr>
        <w:t xml:space="preserve">. </w:t>
      </w:r>
    </w:p>
    <w:p w14:paraId="123BF875" w14:textId="1ABCD3D8" w:rsidR="00E5063B" w:rsidRPr="00B6701F" w:rsidRDefault="00B6701F" w:rsidP="009F73BE">
      <w:pPr>
        <w:pStyle w:val="BodyText"/>
        <w:numPr>
          <w:ilvl w:val="3"/>
          <w:numId w:val="104"/>
        </w:numPr>
        <w:jc w:val="both"/>
        <w:rPr>
          <w:rFonts w:ascii="Calibri" w:hAnsi="Calibri" w:cs="Calibri"/>
          <w:b/>
          <w:bCs/>
          <w:color w:val="auto"/>
          <w:sz w:val="22"/>
          <w:u w:val="single"/>
          <w:lang w:val="en-US"/>
        </w:rPr>
      </w:pPr>
      <w:r w:rsidRPr="00B6701F">
        <w:rPr>
          <w:rFonts w:ascii="Calibri" w:hAnsi="Calibri" w:cs="Calibri"/>
          <w:color w:val="auto"/>
          <w:sz w:val="22"/>
          <w:u w:val="single"/>
          <w:lang w:val="en-US"/>
        </w:rPr>
        <w:t>L</w:t>
      </w:r>
      <w:r w:rsidR="00E5063B" w:rsidRPr="00B6701F">
        <w:rPr>
          <w:rFonts w:ascii="Calibri" w:hAnsi="Calibri" w:cs="Calibri"/>
          <w:color w:val="auto"/>
          <w:sz w:val="22"/>
          <w:u w:val="single"/>
          <w:lang w:val="en-US"/>
        </w:rPr>
        <w:t xml:space="preserve">isted or unlisted debt securities and listed shares </w:t>
      </w:r>
      <w:r w:rsidRPr="00B6701F">
        <w:rPr>
          <w:rFonts w:ascii="Calibri" w:hAnsi="Calibri" w:cs="Calibri"/>
          <w:color w:val="auto"/>
          <w:sz w:val="22"/>
          <w:u w:val="single"/>
          <w:lang w:val="en-US"/>
        </w:rPr>
        <w:t>issued by local or foreign non-property corporations</w:t>
      </w:r>
    </w:p>
    <w:p w14:paraId="417C60FE" w14:textId="77777777" w:rsidR="00180505" w:rsidRPr="00180505" w:rsidRDefault="00B6701F" w:rsidP="009F73BE">
      <w:pPr>
        <w:pStyle w:val="BodyText"/>
        <w:numPr>
          <w:ilvl w:val="3"/>
          <w:numId w:val="104"/>
        </w:numPr>
        <w:jc w:val="both"/>
        <w:rPr>
          <w:rFonts w:ascii="Calibri" w:hAnsi="Calibri" w:cs="Calibri"/>
          <w:color w:val="auto"/>
          <w:sz w:val="22"/>
          <w:u w:val="single"/>
          <w:lang w:val="en-US"/>
        </w:rPr>
      </w:pPr>
      <w:r w:rsidRPr="00180505">
        <w:rPr>
          <w:rFonts w:ascii="Calibri" w:hAnsi="Calibri" w:cs="Calibri"/>
          <w:color w:val="auto"/>
          <w:sz w:val="22"/>
          <w:u w:val="single"/>
          <w:lang w:val="en-US"/>
        </w:rPr>
        <w:t>G</w:t>
      </w:r>
      <w:r w:rsidR="00180505" w:rsidRPr="00180505">
        <w:rPr>
          <w:rFonts w:ascii="Calibri" w:hAnsi="Calibri" w:cs="Calibri"/>
          <w:color w:val="auto"/>
          <w:sz w:val="22"/>
          <w:u w:val="single"/>
          <w:lang w:val="en-US"/>
        </w:rPr>
        <w:t>lobal g</w:t>
      </w:r>
      <w:r w:rsidRPr="00180505">
        <w:rPr>
          <w:rFonts w:ascii="Calibri" w:hAnsi="Calibri" w:cs="Calibri"/>
          <w:color w:val="auto"/>
          <w:sz w:val="22"/>
          <w:u w:val="single"/>
          <w:lang w:val="en-US"/>
        </w:rPr>
        <w:t>overnment</w:t>
      </w:r>
      <w:r w:rsidR="00180505" w:rsidRPr="00180505">
        <w:rPr>
          <w:rFonts w:ascii="Calibri" w:hAnsi="Calibri" w:cs="Calibri"/>
          <w:color w:val="auto"/>
          <w:sz w:val="22"/>
          <w:u w:val="single"/>
          <w:lang w:val="en-US"/>
        </w:rPr>
        <w:t xml:space="preserve"> securities</w:t>
      </w:r>
    </w:p>
    <w:p w14:paraId="08BCA919" w14:textId="6047E0BF" w:rsidR="00B6701F" w:rsidRDefault="00180505" w:rsidP="009F73BE">
      <w:pPr>
        <w:pStyle w:val="BodyText"/>
        <w:numPr>
          <w:ilvl w:val="3"/>
          <w:numId w:val="104"/>
        </w:numPr>
        <w:jc w:val="both"/>
        <w:rPr>
          <w:rFonts w:ascii="Calibri" w:hAnsi="Calibri" w:cs="Calibri"/>
          <w:color w:val="auto"/>
          <w:sz w:val="22"/>
          <w:u w:val="single"/>
          <w:lang w:val="en-US"/>
        </w:rPr>
      </w:pPr>
      <w:r w:rsidRPr="00180505">
        <w:rPr>
          <w:rFonts w:ascii="Calibri" w:hAnsi="Calibri" w:cs="Calibri"/>
          <w:color w:val="auto"/>
          <w:sz w:val="22"/>
          <w:u w:val="single"/>
          <w:lang w:val="en-US"/>
        </w:rPr>
        <w:t>Cash and cash equivalents</w:t>
      </w:r>
      <w:r w:rsidR="00B6701F" w:rsidRPr="00180505">
        <w:rPr>
          <w:rFonts w:ascii="Calibri" w:hAnsi="Calibri" w:cs="Calibri"/>
          <w:color w:val="auto"/>
          <w:sz w:val="22"/>
          <w:u w:val="single"/>
          <w:lang w:val="en-US"/>
        </w:rPr>
        <w:t xml:space="preserve"> </w:t>
      </w:r>
    </w:p>
    <w:p w14:paraId="5781E8FD" w14:textId="57D4F06D" w:rsidR="00556A68" w:rsidRPr="00556A68" w:rsidRDefault="006C272A" w:rsidP="00556A68">
      <w:pPr>
        <w:pStyle w:val="BodyText"/>
        <w:ind w:left="1080"/>
        <w:jc w:val="both"/>
        <w:rPr>
          <w:rFonts w:ascii="Calibri" w:hAnsi="Calibri" w:cs="Calibri"/>
          <w:color w:val="auto"/>
          <w:sz w:val="22"/>
          <w:lang w:val="en-US"/>
        </w:rPr>
      </w:pPr>
      <w:r w:rsidRPr="007C30A0">
        <w:rPr>
          <w:rFonts w:ascii="Calibri" w:hAnsi="Calibri" w:cs="Calibri"/>
          <w:color w:val="auto"/>
          <w:sz w:val="22"/>
          <w:u w:val="single"/>
          <w:lang w:val="en-US"/>
        </w:rPr>
        <w:lastRenderedPageBreak/>
        <w:t>At least 75%</w:t>
      </w:r>
      <w:r w:rsidRPr="007C30A0">
        <w:rPr>
          <w:rFonts w:ascii="Calibri" w:hAnsi="Calibri" w:cs="Calibri"/>
          <w:color w:val="auto"/>
          <w:sz w:val="22"/>
          <w:lang w:val="en-US"/>
        </w:rPr>
        <w:t xml:space="preserve"> </w:t>
      </w:r>
      <w:r>
        <w:rPr>
          <w:rFonts w:ascii="Calibri" w:hAnsi="Calibri" w:cs="Calibri"/>
          <w:color w:val="auto"/>
          <w:sz w:val="22"/>
          <w:lang w:val="en-US"/>
        </w:rPr>
        <w:t xml:space="preserve">of the property fund’s deposited property </w:t>
      </w:r>
      <w:r w:rsidRPr="007C30A0">
        <w:rPr>
          <w:rFonts w:ascii="Calibri" w:hAnsi="Calibri" w:cs="Calibri"/>
          <w:color w:val="auto"/>
          <w:sz w:val="22"/>
          <w:u w:val="single"/>
          <w:lang w:val="en-US"/>
        </w:rPr>
        <w:t>should be invested in</w:t>
      </w:r>
      <w:r w:rsidR="007C30A0" w:rsidRPr="007C30A0">
        <w:rPr>
          <w:rFonts w:ascii="Calibri" w:hAnsi="Calibri" w:cs="Calibri"/>
          <w:color w:val="auto"/>
          <w:sz w:val="22"/>
          <w:u w:val="single"/>
          <w:lang w:val="en-US"/>
        </w:rPr>
        <w:t xml:space="preserve"> income-producing real estate</w:t>
      </w:r>
      <w:r w:rsidR="007C30A0">
        <w:rPr>
          <w:rFonts w:ascii="Calibri" w:hAnsi="Calibri" w:cs="Calibri"/>
          <w:color w:val="auto"/>
          <w:sz w:val="22"/>
          <w:lang w:val="en-US"/>
        </w:rPr>
        <w:t>.</w:t>
      </w:r>
      <w:r w:rsidR="007B76B9">
        <w:rPr>
          <w:rFonts w:ascii="Calibri" w:hAnsi="Calibri" w:cs="Calibri"/>
          <w:color w:val="auto"/>
          <w:sz w:val="22"/>
          <w:lang w:val="en-US"/>
        </w:rPr>
        <w:t xml:space="preserve"> It should not undertake property development activities </w:t>
      </w:r>
      <w:r w:rsidR="00903119">
        <w:rPr>
          <w:rFonts w:ascii="Calibri" w:hAnsi="Calibri" w:cs="Calibri"/>
          <w:color w:val="auto"/>
          <w:sz w:val="22"/>
          <w:lang w:val="en-US"/>
        </w:rPr>
        <w:t>and vacant land and mortgages</w:t>
      </w:r>
      <w:r w:rsidR="00556A68">
        <w:rPr>
          <w:rFonts w:ascii="Calibri" w:hAnsi="Calibri" w:cs="Calibri"/>
          <w:color w:val="auto"/>
          <w:sz w:val="22"/>
          <w:lang w:val="en-US"/>
        </w:rPr>
        <w:t xml:space="preserve">. </w:t>
      </w:r>
      <w:r w:rsidR="00FD2348">
        <w:rPr>
          <w:rFonts w:ascii="Calibri" w:hAnsi="Calibri" w:cs="Calibri"/>
          <w:color w:val="auto"/>
          <w:sz w:val="22"/>
          <w:lang w:val="en-US"/>
        </w:rPr>
        <w:t xml:space="preserve">If the proportion falls below 75%, it has 12 </w:t>
      </w:r>
      <w:r w:rsidR="00726EA8">
        <w:rPr>
          <w:rFonts w:ascii="Calibri" w:hAnsi="Calibri" w:cs="Calibri"/>
          <w:color w:val="auto"/>
          <w:sz w:val="22"/>
          <w:lang w:val="en-US"/>
        </w:rPr>
        <w:t xml:space="preserve">(level between 50% and 75%) </w:t>
      </w:r>
      <w:r w:rsidR="00FD2348">
        <w:rPr>
          <w:rFonts w:ascii="Calibri" w:hAnsi="Calibri" w:cs="Calibri"/>
          <w:color w:val="auto"/>
          <w:sz w:val="22"/>
          <w:lang w:val="en-US"/>
        </w:rPr>
        <w:t xml:space="preserve">/ 24 </w:t>
      </w:r>
      <w:r w:rsidR="00726EA8">
        <w:rPr>
          <w:rFonts w:ascii="Calibri" w:hAnsi="Calibri" w:cs="Calibri"/>
          <w:color w:val="auto"/>
          <w:sz w:val="22"/>
          <w:lang w:val="en-US"/>
        </w:rPr>
        <w:t xml:space="preserve">(level below 50%) </w:t>
      </w:r>
      <w:r w:rsidR="00FD2348">
        <w:rPr>
          <w:rFonts w:ascii="Calibri" w:hAnsi="Calibri" w:cs="Calibri"/>
          <w:color w:val="auto"/>
          <w:sz w:val="22"/>
          <w:lang w:val="en-US"/>
        </w:rPr>
        <w:t xml:space="preserve">months to </w:t>
      </w:r>
      <w:r w:rsidR="004A5209">
        <w:rPr>
          <w:rFonts w:ascii="Calibri" w:hAnsi="Calibri" w:cs="Calibri"/>
          <w:color w:val="auto"/>
          <w:sz w:val="22"/>
          <w:lang w:val="en-US"/>
        </w:rPr>
        <w:t>pump in more investments to revert to 75% threshold</w:t>
      </w:r>
      <w:r w:rsidR="00FD2348">
        <w:rPr>
          <w:rFonts w:ascii="Calibri" w:hAnsi="Calibri" w:cs="Calibri"/>
          <w:color w:val="auto"/>
          <w:sz w:val="22"/>
          <w:lang w:val="en-US"/>
        </w:rPr>
        <w:t xml:space="preserve">. </w:t>
      </w:r>
      <w:r w:rsidR="00556A68" w:rsidRPr="00556A68">
        <w:rPr>
          <w:rFonts w:ascii="Calibri" w:hAnsi="Calibri" w:cs="Calibri"/>
          <w:color w:val="auto"/>
          <w:sz w:val="22"/>
          <w:lang w:val="en-US"/>
        </w:rPr>
        <w:t>For the last 3 types of securities</w:t>
      </w:r>
      <w:r w:rsidR="00E51100">
        <w:rPr>
          <w:rFonts w:ascii="Calibri" w:hAnsi="Calibri" w:cs="Calibri"/>
          <w:color w:val="auto"/>
          <w:sz w:val="22"/>
          <w:lang w:val="en-US"/>
        </w:rPr>
        <w:t xml:space="preserve"> that are not related to real estate</w:t>
      </w:r>
      <w:r w:rsidR="00556A68">
        <w:rPr>
          <w:rFonts w:ascii="Calibri" w:hAnsi="Calibri" w:cs="Calibri"/>
          <w:color w:val="auto"/>
          <w:sz w:val="22"/>
          <w:lang w:val="en-US"/>
        </w:rPr>
        <w:t xml:space="preserve">, there is a single entity limit of 5%. </w:t>
      </w:r>
    </w:p>
    <w:p w14:paraId="77F09CF5" w14:textId="6A56F5B6" w:rsidR="00D07836" w:rsidRPr="00E55876" w:rsidRDefault="003F00F1" w:rsidP="009F73BE">
      <w:pPr>
        <w:pStyle w:val="BodyText"/>
        <w:numPr>
          <w:ilvl w:val="2"/>
          <w:numId w:val="104"/>
        </w:numPr>
        <w:jc w:val="both"/>
        <w:rPr>
          <w:rFonts w:ascii="Calibri" w:hAnsi="Calibri" w:cs="Calibri"/>
          <w:b/>
          <w:bCs/>
          <w:color w:val="auto"/>
          <w:sz w:val="22"/>
          <w:lang w:val="en-US"/>
        </w:rPr>
      </w:pPr>
      <w:r w:rsidRPr="00E55876">
        <w:rPr>
          <w:rFonts w:ascii="Calibri" w:hAnsi="Calibri" w:cs="Calibri"/>
          <w:b/>
          <w:bCs/>
          <w:color w:val="auto"/>
          <w:sz w:val="22"/>
          <w:lang w:val="en-US"/>
        </w:rPr>
        <w:t>Trustee</w:t>
      </w:r>
      <w:r>
        <w:rPr>
          <w:rFonts w:ascii="Calibri" w:hAnsi="Calibri" w:cs="Calibri"/>
          <w:color w:val="auto"/>
          <w:sz w:val="22"/>
          <w:lang w:val="en-US"/>
        </w:rPr>
        <w:t xml:space="preserve">: </w:t>
      </w:r>
      <w:r w:rsidR="00500247">
        <w:rPr>
          <w:rFonts w:ascii="Calibri" w:hAnsi="Calibri" w:cs="Calibri"/>
          <w:color w:val="auto"/>
          <w:sz w:val="22"/>
          <w:lang w:val="en-US"/>
        </w:rPr>
        <w:t>Should</w:t>
      </w:r>
      <w:r w:rsidR="00963540">
        <w:rPr>
          <w:rFonts w:ascii="Calibri" w:hAnsi="Calibri" w:cs="Calibri"/>
          <w:color w:val="auto"/>
          <w:sz w:val="22"/>
          <w:lang w:val="en-US"/>
        </w:rPr>
        <w:t xml:space="preserve"> ensure that the manager arranges adequate insurance coverage in relation to the real estate </w:t>
      </w:r>
      <w:r w:rsidR="00E55876">
        <w:rPr>
          <w:rFonts w:ascii="Calibri" w:hAnsi="Calibri" w:cs="Calibri"/>
          <w:color w:val="auto"/>
          <w:sz w:val="22"/>
          <w:lang w:val="en-US"/>
        </w:rPr>
        <w:t xml:space="preserve">assets of the property fund. </w:t>
      </w:r>
    </w:p>
    <w:p w14:paraId="0A1A41D3" w14:textId="77777777" w:rsidR="00500247" w:rsidRPr="00500247" w:rsidRDefault="00E55876" w:rsidP="009F73BE">
      <w:pPr>
        <w:pStyle w:val="BodyText"/>
        <w:numPr>
          <w:ilvl w:val="2"/>
          <w:numId w:val="104"/>
        </w:numPr>
        <w:jc w:val="both"/>
        <w:rPr>
          <w:rFonts w:ascii="Calibri" w:hAnsi="Calibri" w:cs="Calibri"/>
          <w:b/>
          <w:bCs/>
          <w:color w:val="auto"/>
          <w:sz w:val="22"/>
          <w:lang w:val="en-US"/>
        </w:rPr>
      </w:pPr>
      <w:r>
        <w:rPr>
          <w:rFonts w:ascii="Calibri" w:hAnsi="Calibri" w:cs="Calibri"/>
          <w:b/>
          <w:bCs/>
          <w:color w:val="auto"/>
          <w:sz w:val="22"/>
          <w:lang w:val="en-US"/>
        </w:rPr>
        <w:t>Trust Deed</w:t>
      </w:r>
      <w:r w:rsidRPr="00E55876">
        <w:rPr>
          <w:rFonts w:ascii="Calibri" w:hAnsi="Calibri" w:cs="Calibri"/>
          <w:color w:val="auto"/>
          <w:sz w:val="22"/>
          <w:lang w:val="en-US"/>
        </w:rPr>
        <w:t>:</w:t>
      </w:r>
      <w:r>
        <w:rPr>
          <w:rFonts w:ascii="Calibri" w:hAnsi="Calibri" w:cs="Calibri"/>
          <w:color w:val="auto"/>
          <w:sz w:val="22"/>
          <w:lang w:val="en-US"/>
        </w:rPr>
        <w:t xml:space="preserve"> </w:t>
      </w:r>
    </w:p>
    <w:p w14:paraId="41C0B6B2" w14:textId="69A669BC" w:rsidR="00E55876" w:rsidRPr="00500247" w:rsidRDefault="00500247"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lang w:val="en-US"/>
        </w:rPr>
        <w:t>S</w:t>
      </w:r>
      <w:r w:rsidR="002415A9">
        <w:rPr>
          <w:rFonts w:ascii="Calibri" w:hAnsi="Calibri" w:cs="Calibri"/>
          <w:color w:val="auto"/>
          <w:sz w:val="22"/>
          <w:lang w:val="en-US"/>
        </w:rPr>
        <w:t xml:space="preserve">hould </w:t>
      </w:r>
      <w:r w:rsidR="002415A9" w:rsidRPr="00500247">
        <w:rPr>
          <w:rFonts w:ascii="Calibri" w:hAnsi="Calibri" w:cs="Calibri"/>
          <w:color w:val="auto"/>
          <w:sz w:val="22"/>
          <w:u w:val="single"/>
          <w:lang w:val="en-US"/>
        </w:rPr>
        <w:t>allow simple majority of participants to remove the manager</w:t>
      </w:r>
      <w:r w:rsidR="002415A9">
        <w:rPr>
          <w:rFonts w:ascii="Calibri" w:hAnsi="Calibri" w:cs="Calibri"/>
          <w:color w:val="auto"/>
          <w:sz w:val="22"/>
          <w:lang w:val="en-US"/>
        </w:rPr>
        <w:t xml:space="preserve">. </w:t>
      </w:r>
    </w:p>
    <w:p w14:paraId="5F4D0B07" w14:textId="043FE3C4" w:rsidR="00500247" w:rsidRPr="000F7B34" w:rsidRDefault="00C511C9" w:rsidP="009F73BE">
      <w:pPr>
        <w:pStyle w:val="BodyText"/>
        <w:numPr>
          <w:ilvl w:val="3"/>
          <w:numId w:val="104"/>
        </w:numPr>
        <w:jc w:val="both"/>
        <w:rPr>
          <w:rFonts w:ascii="Calibri" w:hAnsi="Calibri" w:cs="Calibri"/>
          <w:b/>
          <w:bCs/>
          <w:color w:val="auto"/>
          <w:sz w:val="22"/>
          <w:lang w:val="en-US"/>
        </w:rPr>
      </w:pPr>
      <w:r w:rsidRPr="000F7B34">
        <w:rPr>
          <w:rFonts w:ascii="Calibri" w:hAnsi="Calibri" w:cs="Calibri"/>
          <w:color w:val="auto"/>
          <w:sz w:val="22"/>
          <w:u w:val="single"/>
          <w:lang w:val="en-US"/>
        </w:rPr>
        <w:t>Manager should state</w:t>
      </w:r>
      <w:r>
        <w:rPr>
          <w:rFonts w:ascii="Calibri" w:hAnsi="Calibri" w:cs="Calibri"/>
          <w:color w:val="auto"/>
          <w:sz w:val="22"/>
          <w:lang w:val="en-US"/>
        </w:rPr>
        <w:t xml:space="preserve"> whether the </w:t>
      </w:r>
      <w:r w:rsidR="00A44050">
        <w:rPr>
          <w:rFonts w:ascii="Calibri" w:hAnsi="Calibri" w:cs="Calibri"/>
          <w:color w:val="auto"/>
          <w:sz w:val="22"/>
          <w:lang w:val="en-US"/>
        </w:rPr>
        <w:t xml:space="preserve">audited </w:t>
      </w:r>
      <w:r>
        <w:rPr>
          <w:rFonts w:ascii="Calibri" w:hAnsi="Calibri" w:cs="Calibri"/>
          <w:color w:val="auto"/>
          <w:sz w:val="22"/>
          <w:lang w:val="en-US"/>
        </w:rPr>
        <w:t xml:space="preserve">statement of total return </w:t>
      </w:r>
      <w:r w:rsidR="000F7B34">
        <w:rPr>
          <w:rFonts w:ascii="Calibri" w:hAnsi="Calibri" w:cs="Calibri"/>
          <w:color w:val="auto"/>
          <w:sz w:val="22"/>
          <w:lang w:val="en-US"/>
        </w:rPr>
        <w:t>(accompanied by</w:t>
      </w:r>
      <w:r w:rsidR="00A44050">
        <w:rPr>
          <w:rFonts w:ascii="Calibri" w:hAnsi="Calibri" w:cs="Calibri"/>
          <w:color w:val="auto"/>
          <w:sz w:val="22"/>
          <w:lang w:val="en-US"/>
        </w:rPr>
        <w:t xml:space="preserve"> audited</w:t>
      </w:r>
      <w:r w:rsidR="000F7B34">
        <w:rPr>
          <w:rFonts w:ascii="Calibri" w:hAnsi="Calibri" w:cs="Calibri"/>
          <w:color w:val="auto"/>
          <w:sz w:val="22"/>
          <w:lang w:val="en-US"/>
        </w:rPr>
        <w:t xml:space="preserve"> balance sheet</w:t>
      </w:r>
      <w:r w:rsidR="00A44050">
        <w:rPr>
          <w:rFonts w:ascii="Calibri" w:hAnsi="Calibri" w:cs="Calibri"/>
          <w:color w:val="auto"/>
          <w:sz w:val="22"/>
          <w:lang w:val="en-US"/>
        </w:rPr>
        <w:t xml:space="preserve"> and auditor’s report</w:t>
      </w:r>
      <w:r w:rsidR="000F7B34">
        <w:rPr>
          <w:rFonts w:ascii="Calibri" w:hAnsi="Calibri" w:cs="Calibri"/>
          <w:color w:val="auto"/>
          <w:sz w:val="22"/>
          <w:lang w:val="en-US"/>
        </w:rPr>
        <w:t xml:space="preserve">) </w:t>
      </w:r>
      <w:r w:rsidRPr="000F7B34">
        <w:rPr>
          <w:rFonts w:ascii="Calibri" w:hAnsi="Calibri" w:cs="Calibri"/>
          <w:color w:val="auto"/>
          <w:sz w:val="22"/>
          <w:u w:val="single"/>
          <w:lang w:val="en-US"/>
        </w:rPr>
        <w:t>provides a true and fair view</w:t>
      </w:r>
      <w:r>
        <w:rPr>
          <w:rFonts w:ascii="Calibri" w:hAnsi="Calibri" w:cs="Calibri"/>
          <w:color w:val="auto"/>
          <w:sz w:val="22"/>
          <w:lang w:val="en-US"/>
        </w:rPr>
        <w:t xml:space="preserve"> </w:t>
      </w:r>
      <w:r w:rsidR="000F7B34">
        <w:rPr>
          <w:rFonts w:ascii="Calibri" w:hAnsi="Calibri" w:cs="Calibri"/>
          <w:color w:val="auto"/>
          <w:sz w:val="22"/>
          <w:lang w:val="en-US"/>
        </w:rPr>
        <w:t xml:space="preserve">of the </w:t>
      </w:r>
      <w:proofErr w:type="gramStart"/>
      <w:r w:rsidR="000F7B34">
        <w:rPr>
          <w:rFonts w:ascii="Calibri" w:hAnsi="Calibri" w:cs="Calibri"/>
          <w:color w:val="auto"/>
          <w:sz w:val="22"/>
          <w:lang w:val="en-US"/>
        </w:rPr>
        <w:t>state of affairs</w:t>
      </w:r>
      <w:proofErr w:type="gramEnd"/>
      <w:r w:rsidR="000F7B34">
        <w:rPr>
          <w:rFonts w:ascii="Calibri" w:hAnsi="Calibri" w:cs="Calibri"/>
          <w:color w:val="auto"/>
          <w:sz w:val="22"/>
          <w:lang w:val="en-US"/>
        </w:rPr>
        <w:t xml:space="preserve"> of the property fund for the FYE.</w:t>
      </w:r>
      <w:r w:rsidR="00A44050">
        <w:rPr>
          <w:rFonts w:ascii="Calibri" w:hAnsi="Calibri" w:cs="Calibri"/>
          <w:color w:val="auto"/>
          <w:sz w:val="22"/>
          <w:lang w:val="en-US"/>
        </w:rPr>
        <w:t xml:space="preserve"> The same statement and balance sheet should be duly audited.</w:t>
      </w:r>
    </w:p>
    <w:p w14:paraId="6A9DA8F2" w14:textId="65A7A993" w:rsidR="000F7B34" w:rsidRPr="00143A86" w:rsidRDefault="00A2660F" w:rsidP="009F73BE">
      <w:pPr>
        <w:pStyle w:val="BodyText"/>
        <w:numPr>
          <w:ilvl w:val="3"/>
          <w:numId w:val="104"/>
        </w:numPr>
        <w:jc w:val="both"/>
        <w:rPr>
          <w:rFonts w:ascii="Calibri" w:hAnsi="Calibri" w:cs="Calibri"/>
          <w:b/>
          <w:bCs/>
          <w:color w:val="auto"/>
          <w:sz w:val="22"/>
          <w:lang w:val="en-US"/>
        </w:rPr>
      </w:pPr>
      <w:r w:rsidRPr="00317836">
        <w:rPr>
          <w:rFonts w:ascii="Calibri" w:hAnsi="Calibri" w:cs="Calibri"/>
          <w:color w:val="auto"/>
          <w:sz w:val="22"/>
          <w:lang w:val="en-US"/>
        </w:rPr>
        <w:t xml:space="preserve">Allow the </w:t>
      </w:r>
      <w:r w:rsidRPr="00317836">
        <w:rPr>
          <w:rFonts w:ascii="Calibri" w:hAnsi="Calibri" w:cs="Calibri"/>
          <w:color w:val="auto"/>
          <w:sz w:val="22"/>
          <w:u w:val="single"/>
          <w:lang w:val="en-US"/>
        </w:rPr>
        <w:t>appointment of auditors</w:t>
      </w:r>
      <w:r w:rsidR="00317836" w:rsidRPr="00317836">
        <w:rPr>
          <w:rFonts w:ascii="Calibri" w:hAnsi="Calibri" w:cs="Calibri"/>
          <w:color w:val="auto"/>
          <w:sz w:val="22"/>
          <w:lang w:val="en-US"/>
        </w:rPr>
        <w:t xml:space="preserve"> at a general meeting</w:t>
      </w:r>
      <w:r w:rsidRPr="00317836">
        <w:rPr>
          <w:rFonts w:ascii="Calibri" w:hAnsi="Calibri" w:cs="Calibri"/>
          <w:color w:val="auto"/>
          <w:sz w:val="22"/>
          <w:lang w:val="en-US"/>
        </w:rPr>
        <w:t xml:space="preserve"> and </w:t>
      </w:r>
      <w:r w:rsidR="00317836" w:rsidRPr="00317836">
        <w:rPr>
          <w:rFonts w:ascii="Calibri" w:hAnsi="Calibri" w:cs="Calibri"/>
          <w:color w:val="auto"/>
          <w:sz w:val="22"/>
          <w:u w:val="single"/>
          <w:lang w:val="en-US"/>
        </w:rPr>
        <w:t>fixing the associated</w:t>
      </w:r>
      <w:r w:rsidRPr="00317836">
        <w:rPr>
          <w:rFonts w:ascii="Calibri" w:hAnsi="Calibri" w:cs="Calibri"/>
          <w:color w:val="auto"/>
          <w:sz w:val="22"/>
          <w:u w:val="single"/>
          <w:lang w:val="en-US"/>
        </w:rPr>
        <w:t xml:space="preserve"> fees</w:t>
      </w:r>
      <w:r w:rsidRPr="00317836">
        <w:rPr>
          <w:rFonts w:ascii="Calibri" w:hAnsi="Calibri" w:cs="Calibri"/>
          <w:color w:val="auto"/>
          <w:sz w:val="22"/>
          <w:lang w:val="en-US"/>
        </w:rPr>
        <w:t xml:space="preserve"> and expenses</w:t>
      </w:r>
      <w:r w:rsidR="00317836">
        <w:rPr>
          <w:rFonts w:ascii="Calibri" w:hAnsi="Calibri" w:cs="Calibri"/>
          <w:color w:val="auto"/>
          <w:sz w:val="22"/>
          <w:lang w:val="en-US"/>
        </w:rPr>
        <w:t>.</w:t>
      </w:r>
    </w:p>
    <w:p w14:paraId="41C23DE5" w14:textId="77777777" w:rsidR="008324E0" w:rsidRPr="008324E0" w:rsidRDefault="00755AC1" w:rsidP="009F73BE">
      <w:pPr>
        <w:pStyle w:val="BodyText"/>
        <w:numPr>
          <w:ilvl w:val="2"/>
          <w:numId w:val="104"/>
        </w:numPr>
        <w:jc w:val="both"/>
        <w:rPr>
          <w:rFonts w:ascii="Calibri" w:hAnsi="Calibri" w:cs="Calibri"/>
          <w:b/>
          <w:bCs/>
          <w:color w:val="auto"/>
          <w:sz w:val="22"/>
          <w:lang w:val="en-US"/>
        </w:rPr>
      </w:pPr>
      <w:r w:rsidRPr="00755AC1">
        <w:rPr>
          <w:rFonts w:ascii="Calibri" w:hAnsi="Calibri" w:cs="Calibri"/>
          <w:b/>
          <w:bCs/>
          <w:color w:val="auto"/>
          <w:sz w:val="22"/>
          <w:lang w:val="en-US"/>
        </w:rPr>
        <w:t xml:space="preserve">Interested </w:t>
      </w:r>
      <w:r>
        <w:rPr>
          <w:rFonts w:ascii="Calibri" w:hAnsi="Calibri" w:cs="Calibri"/>
          <w:b/>
          <w:bCs/>
          <w:color w:val="auto"/>
          <w:sz w:val="22"/>
          <w:lang w:val="en-US"/>
        </w:rPr>
        <w:t>P</w:t>
      </w:r>
      <w:r w:rsidRPr="00755AC1">
        <w:rPr>
          <w:rFonts w:ascii="Calibri" w:hAnsi="Calibri" w:cs="Calibri"/>
          <w:b/>
          <w:bCs/>
          <w:color w:val="auto"/>
          <w:sz w:val="22"/>
          <w:lang w:val="en-US"/>
        </w:rPr>
        <w:t xml:space="preserve">arty </w:t>
      </w:r>
      <w:r>
        <w:rPr>
          <w:rFonts w:ascii="Calibri" w:hAnsi="Calibri" w:cs="Calibri"/>
          <w:b/>
          <w:bCs/>
          <w:color w:val="auto"/>
          <w:sz w:val="22"/>
          <w:lang w:val="en-US"/>
        </w:rPr>
        <w:t>T</w:t>
      </w:r>
      <w:r w:rsidRPr="00755AC1">
        <w:rPr>
          <w:rFonts w:ascii="Calibri" w:hAnsi="Calibri" w:cs="Calibri"/>
          <w:b/>
          <w:bCs/>
          <w:color w:val="auto"/>
          <w:sz w:val="22"/>
          <w:lang w:val="en-US"/>
        </w:rPr>
        <w:t>ransactions</w:t>
      </w:r>
      <w:r w:rsidRPr="00755AC1">
        <w:rPr>
          <w:rFonts w:ascii="Calibri" w:hAnsi="Calibri" w:cs="Calibri"/>
          <w:color w:val="auto"/>
          <w:sz w:val="22"/>
          <w:lang w:val="en-US"/>
        </w:rPr>
        <w:t>:</w:t>
      </w:r>
      <w:r w:rsidR="00A94E34">
        <w:rPr>
          <w:rFonts w:ascii="Calibri" w:hAnsi="Calibri" w:cs="Calibri"/>
          <w:color w:val="auto"/>
          <w:sz w:val="22"/>
          <w:lang w:val="en-US"/>
        </w:rPr>
        <w:t xml:space="preserve"> </w:t>
      </w:r>
    </w:p>
    <w:p w14:paraId="0C81B7CC" w14:textId="066CDB3B" w:rsidR="00E539F8" w:rsidRPr="00DA3B90" w:rsidRDefault="00A94E34"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lang w:val="en-US"/>
        </w:rPr>
        <w:t>Any acquisition or sale of assets from interested parties</w:t>
      </w:r>
      <w:r w:rsidR="00A76AAF">
        <w:rPr>
          <w:rFonts w:ascii="Calibri" w:hAnsi="Calibri" w:cs="Calibri"/>
          <w:color w:val="auto"/>
          <w:sz w:val="22"/>
          <w:lang w:val="en-US"/>
        </w:rPr>
        <w:t xml:space="preserve"> should </w:t>
      </w:r>
      <w:r w:rsidR="006A30B1">
        <w:rPr>
          <w:rFonts w:ascii="Calibri" w:hAnsi="Calibri" w:cs="Calibri"/>
          <w:color w:val="auto"/>
          <w:sz w:val="22"/>
          <w:lang w:val="en-US"/>
        </w:rPr>
        <w:t xml:space="preserve">have </w:t>
      </w:r>
      <w:r w:rsidR="006A30B1" w:rsidRPr="007F16CF">
        <w:rPr>
          <w:rFonts w:ascii="Calibri" w:hAnsi="Calibri" w:cs="Calibri"/>
          <w:color w:val="auto"/>
          <w:sz w:val="22"/>
          <w:u w:val="single"/>
          <w:lang w:val="en-US"/>
        </w:rPr>
        <w:t>2 independent valuations, with one of the valuers commissioned independently by the trustee</w:t>
      </w:r>
      <w:r w:rsidR="006A30B1">
        <w:rPr>
          <w:rFonts w:ascii="Calibri" w:hAnsi="Calibri" w:cs="Calibri"/>
          <w:color w:val="auto"/>
          <w:sz w:val="22"/>
          <w:lang w:val="en-US"/>
        </w:rPr>
        <w:t xml:space="preserve">. The </w:t>
      </w:r>
      <w:r w:rsidR="006A30B1" w:rsidRPr="00E539F8">
        <w:rPr>
          <w:rFonts w:ascii="Calibri" w:hAnsi="Calibri" w:cs="Calibri"/>
          <w:color w:val="auto"/>
          <w:sz w:val="22"/>
          <w:u w:val="single"/>
          <w:lang w:val="en-US"/>
        </w:rPr>
        <w:t>reasonable price</w:t>
      </w:r>
      <w:r w:rsidR="00DA3B90">
        <w:rPr>
          <w:rFonts w:ascii="Calibri" w:hAnsi="Calibri" w:cs="Calibri"/>
          <w:color w:val="auto"/>
          <w:sz w:val="22"/>
          <w:u w:val="single"/>
          <w:lang w:val="en-US"/>
        </w:rPr>
        <w:t xml:space="preserve"> is determined as follows:</w:t>
      </w:r>
    </w:p>
    <w:p w14:paraId="10D6E8AD" w14:textId="3EE24E1B" w:rsidR="00E539F8" w:rsidRPr="008B34EF" w:rsidRDefault="00DA3B90" w:rsidP="009F73BE">
      <w:pPr>
        <w:pStyle w:val="BodyText"/>
        <w:numPr>
          <w:ilvl w:val="4"/>
          <w:numId w:val="104"/>
        </w:numPr>
        <w:jc w:val="both"/>
        <w:rPr>
          <w:rFonts w:ascii="Calibri" w:hAnsi="Calibri" w:cs="Calibri"/>
          <w:b/>
          <w:bCs/>
          <w:color w:val="auto"/>
          <w:sz w:val="22"/>
          <w:lang w:val="en-US"/>
        </w:rPr>
      </w:pPr>
      <w:r w:rsidRPr="00DA3B90">
        <w:rPr>
          <w:rFonts w:ascii="Calibri" w:hAnsi="Calibri" w:cs="Calibri"/>
          <w:color w:val="auto"/>
          <w:sz w:val="22"/>
          <w:u w:val="single"/>
          <w:lang w:val="en-US"/>
        </w:rPr>
        <w:t>A</w:t>
      </w:r>
      <w:r w:rsidR="00E539F8" w:rsidRPr="00DA3B90">
        <w:rPr>
          <w:rFonts w:ascii="Calibri" w:hAnsi="Calibri" w:cs="Calibri"/>
          <w:color w:val="auto"/>
          <w:sz w:val="22"/>
          <w:u w:val="single"/>
          <w:lang w:val="en-US"/>
        </w:rPr>
        <w:t xml:space="preserve">cquisition price should not be more than 110% of </w:t>
      </w:r>
      <w:r w:rsidRPr="00DA3B90">
        <w:rPr>
          <w:rFonts w:ascii="Calibri" w:hAnsi="Calibri" w:cs="Calibri"/>
          <w:color w:val="auto"/>
          <w:sz w:val="22"/>
          <w:u w:val="single"/>
          <w:lang w:val="en-US"/>
        </w:rPr>
        <w:t xml:space="preserve">the average </w:t>
      </w:r>
      <w:r w:rsidR="00E539F8" w:rsidRPr="00DA3B90">
        <w:rPr>
          <w:rFonts w:ascii="Calibri" w:hAnsi="Calibri" w:cs="Calibri"/>
          <w:color w:val="auto"/>
          <w:sz w:val="22"/>
          <w:u w:val="single"/>
          <w:lang w:val="en-US"/>
        </w:rPr>
        <w:t>assessed value</w:t>
      </w:r>
      <w:r>
        <w:rPr>
          <w:rFonts w:ascii="Calibri" w:hAnsi="Calibri" w:cs="Calibri"/>
          <w:color w:val="auto"/>
          <w:sz w:val="22"/>
          <w:lang w:val="en-US"/>
        </w:rPr>
        <w:t xml:space="preserve"> (i.e., average values derived by both valuers).</w:t>
      </w:r>
    </w:p>
    <w:p w14:paraId="4E755856" w14:textId="5ADDE6B7" w:rsidR="00A84DF1" w:rsidRPr="00DA3B90" w:rsidRDefault="00DA3B90" w:rsidP="009F73BE">
      <w:pPr>
        <w:pStyle w:val="BodyText"/>
        <w:numPr>
          <w:ilvl w:val="4"/>
          <w:numId w:val="104"/>
        </w:numPr>
        <w:jc w:val="both"/>
        <w:rPr>
          <w:rFonts w:ascii="Calibri" w:hAnsi="Calibri" w:cs="Calibri"/>
          <w:b/>
          <w:bCs/>
          <w:color w:val="auto"/>
          <w:sz w:val="22"/>
          <w:lang w:val="en-US"/>
        </w:rPr>
      </w:pPr>
      <w:r w:rsidRPr="00DA3B90">
        <w:rPr>
          <w:rFonts w:ascii="Calibri" w:hAnsi="Calibri" w:cs="Calibri"/>
          <w:color w:val="auto"/>
          <w:sz w:val="22"/>
          <w:u w:val="single"/>
          <w:lang w:val="en-US"/>
        </w:rPr>
        <w:t>Sale price should not be less than 90% of the average assessed value</w:t>
      </w:r>
      <w:r>
        <w:rPr>
          <w:rFonts w:ascii="Calibri" w:hAnsi="Calibri" w:cs="Calibri"/>
          <w:color w:val="auto"/>
          <w:sz w:val="22"/>
          <w:lang w:val="en-US"/>
        </w:rPr>
        <w:t xml:space="preserve"> (i.e., average values derived by both valuers).</w:t>
      </w:r>
    </w:p>
    <w:p w14:paraId="6F4655A9" w14:textId="47155DDC" w:rsidR="00C67B74" w:rsidRPr="00C527DE" w:rsidRDefault="00AC0B74" w:rsidP="009F73BE">
      <w:pPr>
        <w:pStyle w:val="BodyText"/>
        <w:numPr>
          <w:ilvl w:val="3"/>
          <w:numId w:val="104"/>
        </w:numPr>
        <w:jc w:val="both"/>
        <w:rPr>
          <w:rFonts w:ascii="Calibri" w:hAnsi="Calibri" w:cs="Calibri"/>
          <w:b/>
          <w:bCs/>
          <w:color w:val="auto"/>
          <w:sz w:val="22"/>
          <w:lang w:val="en-US"/>
        </w:rPr>
      </w:pPr>
      <w:r>
        <w:rPr>
          <w:rFonts w:ascii="Calibri" w:hAnsi="Calibri" w:cs="Calibri"/>
          <w:color w:val="auto"/>
          <w:sz w:val="22"/>
          <w:lang w:val="en-US"/>
        </w:rPr>
        <w:t xml:space="preserve">The </w:t>
      </w:r>
      <w:r w:rsidRPr="00C67B74">
        <w:rPr>
          <w:rFonts w:ascii="Calibri" w:hAnsi="Calibri" w:cs="Calibri"/>
          <w:color w:val="auto"/>
          <w:sz w:val="22"/>
          <w:u w:val="single"/>
          <w:lang w:val="en-US"/>
        </w:rPr>
        <w:t xml:space="preserve">agreement to buy / sell should </w:t>
      </w:r>
      <w:r w:rsidR="00B12F3B" w:rsidRPr="00C67B74">
        <w:rPr>
          <w:rFonts w:ascii="Calibri" w:hAnsi="Calibri" w:cs="Calibri"/>
          <w:color w:val="auto"/>
          <w:sz w:val="22"/>
          <w:u w:val="single"/>
          <w:lang w:val="en-US"/>
        </w:rPr>
        <w:t xml:space="preserve">be announced immediately if </w:t>
      </w:r>
      <w:r w:rsidR="00B74194" w:rsidRPr="00C67B74">
        <w:rPr>
          <w:rFonts w:ascii="Calibri" w:hAnsi="Calibri" w:cs="Calibri"/>
          <w:color w:val="auto"/>
          <w:sz w:val="22"/>
          <w:u w:val="single"/>
          <w:lang w:val="en-US"/>
        </w:rPr>
        <w:t>the transaction</w:t>
      </w:r>
      <w:r w:rsidR="00B12F3B" w:rsidRPr="00C67B74">
        <w:rPr>
          <w:rFonts w:ascii="Calibri" w:hAnsi="Calibri" w:cs="Calibri"/>
          <w:color w:val="auto"/>
          <w:sz w:val="22"/>
          <w:u w:val="single"/>
          <w:lang w:val="en-US"/>
        </w:rPr>
        <w:t xml:space="preserve"> exceeds 3%</w:t>
      </w:r>
      <w:r w:rsidR="00B74194" w:rsidRPr="00C67B74">
        <w:rPr>
          <w:rFonts w:ascii="Calibri" w:hAnsi="Calibri" w:cs="Calibri"/>
          <w:color w:val="auto"/>
          <w:sz w:val="22"/>
          <w:u w:val="single"/>
          <w:lang w:val="en-US"/>
        </w:rPr>
        <w:t xml:space="preserve"> of fund NAV</w:t>
      </w:r>
      <w:r w:rsidR="00B12F3B" w:rsidRPr="00C67B74">
        <w:rPr>
          <w:rFonts w:ascii="Calibri" w:hAnsi="Calibri" w:cs="Calibri"/>
          <w:color w:val="auto"/>
          <w:sz w:val="22"/>
          <w:u w:val="single"/>
          <w:lang w:val="en-US"/>
        </w:rPr>
        <w:t xml:space="preserve"> and </w:t>
      </w:r>
      <w:r w:rsidR="006F649A">
        <w:rPr>
          <w:rFonts w:ascii="Calibri" w:hAnsi="Calibri" w:cs="Calibri"/>
          <w:color w:val="auto"/>
          <w:sz w:val="22"/>
          <w:u w:val="single"/>
          <w:lang w:val="en-US"/>
        </w:rPr>
        <w:t xml:space="preserve">the transaction must be </w:t>
      </w:r>
      <w:r w:rsidRPr="00C67B74">
        <w:rPr>
          <w:rFonts w:ascii="Calibri" w:hAnsi="Calibri" w:cs="Calibri"/>
          <w:color w:val="auto"/>
          <w:sz w:val="22"/>
          <w:u w:val="single"/>
          <w:lang w:val="en-US"/>
        </w:rPr>
        <w:t>completed within 6 months</w:t>
      </w:r>
      <w:r w:rsidR="008705D5">
        <w:rPr>
          <w:rFonts w:ascii="Calibri" w:hAnsi="Calibri" w:cs="Calibri"/>
          <w:color w:val="auto"/>
          <w:sz w:val="22"/>
          <w:lang w:val="en-US"/>
        </w:rPr>
        <w:t>.</w:t>
      </w:r>
    </w:p>
    <w:p w14:paraId="7DD33C51" w14:textId="68DC8DD8" w:rsidR="0024654D" w:rsidRPr="00C527DE" w:rsidRDefault="0024654D" w:rsidP="009F73BE">
      <w:pPr>
        <w:pStyle w:val="BodyText"/>
        <w:numPr>
          <w:ilvl w:val="2"/>
          <w:numId w:val="104"/>
        </w:numPr>
        <w:jc w:val="both"/>
        <w:rPr>
          <w:rFonts w:ascii="Calibri" w:hAnsi="Calibri" w:cs="Calibri"/>
          <w:b/>
          <w:bCs/>
          <w:color w:val="auto"/>
          <w:sz w:val="22"/>
          <w:lang w:val="en-US"/>
        </w:rPr>
      </w:pPr>
      <w:r>
        <w:rPr>
          <w:rFonts w:ascii="Calibri" w:hAnsi="Calibri" w:cs="Calibri"/>
          <w:b/>
          <w:bCs/>
          <w:color w:val="auto"/>
          <w:sz w:val="22"/>
          <w:lang w:val="en-US"/>
        </w:rPr>
        <w:t>Valuation</w:t>
      </w:r>
      <w:r>
        <w:rPr>
          <w:rFonts w:ascii="Calibri" w:hAnsi="Calibri" w:cs="Calibri"/>
          <w:color w:val="auto"/>
          <w:sz w:val="22"/>
          <w:lang w:val="en-US"/>
        </w:rPr>
        <w:t>:</w:t>
      </w:r>
      <w:r w:rsidR="00C54460">
        <w:rPr>
          <w:rFonts w:ascii="Calibri" w:hAnsi="Calibri" w:cs="Calibri"/>
          <w:color w:val="auto"/>
          <w:sz w:val="22"/>
          <w:lang w:val="en-US"/>
        </w:rPr>
        <w:t xml:space="preserve"> </w:t>
      </w:r>
      <w:r w:rsidR="007610A8">
        <w:rPr>
          <w:rFonts w:ascii="Calibri" w:hAnsi="Calibri" w:cs="Calibri"/>
          <w:color w:val="auto"/>
          <w:sz w:val="22"/>
          <w:lang w:val="en-US"/>
        </w:rPr>
        <w:t>A full valuation should be conducted by a</w:t>
      </w:r>
      <w:r w:rsidR="00AA2587">
        <w:rPr>
          <w:rFonts w:ascii="Calibri" w:hAnsi="Calibri" w:cs="Calibri"/>
          <w:color w:val="auto"/>
          <w:sz w:val="22"/>
          <w:lang w:val="en-US"/>
        </w:rPr>
        <w:t xml:space="preserve">n </w:t>
      </w:r>
      <w:r w:rsidR="00AA2587" w:rsidRPr="00AA2587">
        <w:rPr>
          <w:rFonts w:ascii="Calibri" w:hAnsi="Calibri" w:cs="Calibri"/>
          <w:color w:val="auto"/>
          <w:sz w:val="22"/>
          <w:u w:val="single"/>
          <w:lang w:val="en-US"/>
        </w:rPr>
        <w:t>independent</w:t>
      </w:r>
      <w:r w:rsidR="007610A8" w:rsidRPr="00AA2587">
        <w:rPr>
          <w:rFonts w:ascii="Calibri" w:hAnsi="Calibri" w:cs="Calibri"/>
          <w:color w:val="auto"/>
          <w:sz w:val="22"/>
          <w:u w:val="single"/>
          <w:lang w:val="en-US"/>
        </w:rPr>
        <w:t xml:space="preserve"> </w:t>
      </w:r>
      <w:r w:rsidR="00887762">
        <w:rPr>
          <w:rFonts w:ascii="Calibri" w:hAnsi="Calibri" w:cs="Calibri"/>
          <w:color w:val="auto"/>
          <w:sz w:val="22"/>
          <w:u w:val="single"/>
          <w:lang w:val="en-US"/>
        </w:rPr>
        <w:t xml:space="preserve">professional </w:t>
      </w:r>
      <w:r w:rsidR="007610A8" w:rsidRPr="00AA2587">
        <w:rPr>
          <w:rFonts w:ascii="Calibri" w:hAnsi="Calibri" w:cs="Calibri"/>
          <w:color w:val="auto"/>
          <w:sz w:val="22"/>
          <w:u w:val="single"/>
          <w:lang w:val="en-US"/>
        </w:rPr>
        <w:t>valuer at least once a financial year</w:t>
      </w:r>
      <w:r w:rsidR="007610A8">
        <w:rPr>
          <w:rFonts w:ascii="Calibri" w:hAnsi="Calibri" w:cs="Calibri"/>
          <w:color w:val="auto"/>
          <w:sz w:val="22"/>
          <w:lang w:val="en-US"/>
        </w:rPr>
        <w:t>.</w:t>
      </w:r>
      <w:r w:rsidR="00887762">
        <w:rPr>
          <w:rFonts w:ascii="Calibri" w:hAnsi="Calibri" w:cs="Calibri"/>
          <w:color w:val="auto"/>
          <w:sz w:val="22"/>
          <w:lang w:val="en-US"/>
        </w:rPr>
        <w:t xml:space="preserve"> To ensure independence and objectivity, the valuer should not value the same property for more than 2 consecutive financial years.</w:t>
      </w:r>
      <w:r w:rsidR="007610A8">
        <w:rPr>
          <w:rFonts w:ascii="Calibri" w:hAnsi="Calibri" w:cs="Calibri"/>
          <w:color w:val="auto"/>
          <w:sz w:val="22"/>
          <w:lang w:val="en-US"/>
        </w:rPr>
        <w:t xml:space="preserve"> </w:t>
      </w:r>
      <w:r w:rsidR="00AA2587">
        <w:rPr>
          <w:rFonts w:ascii="Calibri" w:hAnsi="Calibri" w:cs="Calibri"/>
          <w:color w:val="auto"/>
          <w:sz w:val="22"/>
          <w:lang w:val="en-US"/>
        </w:rPr>
        <w:t xml:space="preserve"> </w:t>
      </w:r>
    </w:p>
    <w:p w14:paraId="5591D039" w14:textId="2078D8B8" w:rsidR="00C527DE" w:rsidRPr="00767992" w:rsidRDefault="00C527DE" w:rsidP="009F73BE">
      <w:pPr>
        <w:pStyle w:val="BodyText"/>
        <w:numPr>
          <w:ilvl w:val="2"/>
          <w:numId w:val="104"/>
        </w:numPr>
        <w:jc w:val="both"/>
        <w:rPr>
          <w:rFonts w:ascii="Calibri" w:hAnsi="Calibri" w:cs="Calibri"/>
          <w:b/>
          <w:bCs/>
          <w:color w:val="auto"/>
          <w:sz w:val="22"/>
          <w:lang w:val="en-US"/>
        </w:rPr>
      </w:pPr>
      <w:r w:rsidRPr="00767992">
        <w:rPr>
          <w:rFonts w:ascii="Calibri" w:hAnsi="Calibri" w:cs="Calibri"/>
          <w:b/>
          <w:bCs/>
          <w:color w:val="auto"/>
          <w:sz w:val="22"/>
          <w:lang w:val="en-US"/>
        </w:rPr>
        <w:t>Borrowings</w:t>
      </w:r>
      <w:r w:rsidRPr="00767992">
        <w:rPr>
          <w:rFonts w:ascii="Calibri" w:hAnsi="Calibri" w:cs="Calibri"/>
          <w:color w:val="auto"/>
          <w:sz w:val="22"/>
          <w:lang w:val="en-US"/>
        </w:rPr>
        <w:t xml:space="preserve">: </w:t>
      </w:r>
      <w:r>
        <w:rPr>
          <w:rFonts w:ascii="Calibri" w:hAnsi="Calibri" w:cs="Calibri"/>
          <w:color w:val="auto"/>
          <w:sz w:val="22"/>
          <w:lang w:val="en-US"/>
        </w:rPr>
        <w:t>May</w:t>
      </w:r>
      <w:r w:rsidRPr="00767992">
        <w:rPr>
          <w:rFonts w:ascii="Calibri" w:hAnsi="Calibri" w:cs="Calibri"/>
          <w:color w:val="auto"/>
          <w:sz w:val="22"/>
          <w:lang w:val="en-US"/>
        </w:rPr>
        <w:t xml:space="preserve"> </w:t>
      </w:r>
      <w:r>
        <w:rPr>
          <w:rFonts w:ascii="Calibri" w:hAnsi="Calibri" w:cs="Calibri"/>
          <w:color w:val="auto"/>
          <w:sz w:val="22"/>
          <w:lang w:val="en-US"/>
        </w:rPr>
        <w:t>mortgage its assets to secure borrowings</w:t>
      </w:r>
      <w:r w:rsidR="007C699F">
        <w:rPr>
          <w:rFonts w:ascii="Calibri" w:hAnsi="Calibri" w:cs="Calibri"/>
          <w:color w:val="auto"/>
          <w:sz w:val="22"/>
          <w:lang w:val="en-US"/>
        </w:rPr>
        <w:t xml:space="preserve"> (e.g., bonds, notes)</w:t>
      </w:r>
      <w:r>
        <w:rPr>
          <w:rFonts w:ascii="Calibri" w:hAnsi="Calibri" w:cs="Calibri"/>
          <w:color w:val="auto"/>
          <w:sz w:val="22"/>
          <w:lang w:val="en-US"/>
        </w:rPr>
        <w:t xml:space="preserve"> </w:t>
      </w:r>
      <w:r w:rsidRPr="00767992">
        <w:rPr>
          <w:rFonts w:ascii="Calibri" w:hAnsi="Calibri" w:cs="Calibri"/>
          <w:color w:val="auto"/>
          <w:sz w:val="22"/>
          <w:lang w:val="en-US"/>
        </w:rPr>
        <w:t xml:space="preserve">not exceeding </w:t>
      </w:r>
      <w:r w:rsidR="008F0802">
        <w:rPr>
          <w:rFonts w:ascii="Calibri" w:hAnsi="Calibri" w:cs="Calibri"/>
          <w:color w:val="auto"/>
          <w:sz w:val="22"/>
          <w:lang w:val="en-US"/>
        </w:rPr>
        <w:t>45</w:t>
      </w:r>
      <w:r w:rsidRPr="00767992">
        <w:rPr>
          <w:rFonts w:ascii="Calibri" w:hAnsi="Calibri" w:cs="Calibri"/>
          <w:color w:val="auto"/>
          <w:sz w:val="22"/>
          <w:lang w:val="en-US"/>
        </w:rPr>
        <w:t>%</w:t>
      </w:r>
      <w:r w:rsidR="008F0802">
        <w:rPr>
          <w:rFonts w:ascii="Calibri" w:hAnsi="Calibri" w:cs="Calibri"/>
          <w:color w:val="auto"/>
          <w:sz w:val="22"/>
          <w:lang w:val="en-US"/>
        </w:rPr>
        <w:t>/50% (</w:t>
      </w:r>
      <w:r w:rsidR="00BC72A1">
        <w:rPr>
          <w:rFonts w:ascii="Calibri" w:hAnsi="Calibri" w:cs="Calibri"/>
          <w:color w:val="auto"/>
          <w:sz w:val="22"/>
          <w:lang w:val="en-US"/>
        </w:rPr>
        <w:t xml:space="preserve">only </w:t>
      </w:r>
      <w:r w:rsidR="008F0802">
        <w:rPr>
          <w:rFonts w:ascii="Calibri" w:hAnsi="Calibri" w:cs="Calibri"/>
          <w:color w:val="auto"/>
          <w:sz w:val="22"/>
          <w:lang w:val="en-US"/>
        </w:rPr>
        <w:t>if Interest Coverage Ratio is 2.5 time</w:t>
      </w:r>
      <w:r w:rsidR="00BC72A1">
        <w:rPr>
          <w:rFonts w:ascii="Calibri" w:hAnsi="Calibri" w:cs="Calibri"/>
          <w:color w:val="auto"/>
          <w:sz w:val="22"/>
          <w:lang w:val="en-US"/>
        </w:rPr>
        <w:t>s)</w:t>
      </w:r>
      <w:r w:rsidRPr="00767992">
        <w:rPr>
          <w:rFonts w:ascii="Calibri" w:hAnsi="Calibri" w:cs="Calibri"/>
          <w:color w:val="auto"/>
          <w:sz w:val="22"/>
          <w:lang w:val="en-US"/>
        </w:rPr>
        <w:t xml:space="preserve"> NAV and must repay the debt within one month. </w:t>
      </w:r>
      <w:r w:rsidR="00A90916">
        <w:rPr>
          <w:rFonts w:ascii="Calibri" w:hAnsi="Calibri" w:cs="Calibri"/>
          <w:color w:val="auto"/>
          <w:sz w:val="22"/>
          <w:lang w:val="en-US"/>
        </w:rPr>
        <w:t>Once the 45%/50% threshold is breached, the property fund cannot undertake more borrowings.</w:t>
      </w:r>
    </w:p>
    <w:p w14:paraId="4337FA80" w14:textId="772561F1" w:rsidR="00C527DE" w:rsidRPr="00997394" w:rsidRDefault="00825423" w:rsidP="009F73BE">
      <w:pPr>
        <w:pStyle w:val="BodyText"/>
        <w:numPr>
          <w:ilvl w:val="2"/>
          <w:numId w:val="104"/>
        </w:numPr>
        <w:jc w:val="both"/>
        <w:rPr>
          <w:rFonts w:ascii="Calibri" w:hAnsi="Calibri" w:cs="Calibri"/>
          <w:b/>
          <w:bCs/>
          <w:color w:val="auto"/>
          <w:sz w:val="22"/>
          <w:lang w:val="en-US"/>
        </w:rPr>
      </w:pPr>
      <w:r w:rsidRPr="00825423">
        <w:rPr>
          <w:rFonts w:ascii="Calibri" w:hAnsi="Calibri" w:cs="Calibri"/>
          <w:b/>
          <w:bCs/>
          <w:color w:val="auto"/>
          <w:sz w:val="22"/>
          <w:lang w:val="en-US"/>
        </w:rPr>
        <w:t>Redemptions</w:t>
      </w:r>
      <w:r>
        <w:rPr>
          <w:rFonts w:ascii="Calibri" w:hAnsi="Calibri" w:cs="Calibri"/>
          <w:color w:val="auto"/>
          <w:sz w:val="22"/>
          <w:lang w:val="en-US"/>
        </w:rPr>
        <w:t>:</w:t>
      </w:r>
      <w:r w:rsidR="001F4190">
        <w:rPr>
          <w:rFonts w:ascii="Calibri" w:hAnsi="Calibri" w:cs="Calibri"/>
          <w:color w:val="auto"/>
          <w:sz w:val="22"/>
          <w:lang w:val="en-US"/>
        </w:rPr>
        <w:t xml:space="preserve"> In the case of unlisted property funds, the manager should offer to redeem units at least once a year. The period of redemption should be between 21 and 35 days after the offer is made. </w:t>
      </w:r>
      <w:r w:rsidR="00823185">
        <w:rPr>
          <w:rFonts w:ascii="Calibri" w:hAnsi="Calibri" w:cs="Calibri"/>
          <w:color w:val="auto"/>
          <w:sz w:val="22"/>
          <w:lang w:val="en-US"/>
        </w:rPr>
        <w:t>At</w:t>
      </w:r>
      <w:r w:rsidR="00997394">
        <w:rPr>
          <w:rFonts w:ascii="Calibri" w:hAnsi="Calibri" w:cs="Calibri"/>
          <w:color w:val="auto"/>
          <w:sz w:val="22"/>
          <w:lang w:val="en-US"/>
        </w:rPr>
        <w:t xml:space="preserve"> least 10% of the property fund’s deposited property should be offered. </w:t>
      </w:r>
    </w:p>
    <w:p w14:paraId="49C135CF" w14:textId="275E5D4C" w:rsidR="00997394" w:rsidRPr="00755AC1" w:rsidRDefault="007804F2" w:rsidP="009F73BE">
      <w:pPr>
        <w:pStyle w:val="BodyText"/>
        <w:numPr>
          <w:ilvl w:val="2"/>
          <w:numId w:val="104"/>
        </w:numPr>
        <w:jc w:val="both"/>
        <w:rPr>
          <w:rFonts w:ascii="Calibri" w:hAnsi="Calibri" w:cs="Calibri"/>
          <w:b/>
          <w:bCs/>
          <w:color w:val="auto"/>
          <w:sz w:val="22"/>
          <w:lang w:val="en-US"/>
        </w:rPr>
      </w:pPr>
      <w:r>
        <w:rPr>
          <w:rFonts w:ascii="Calibri" w:hAnsi="Calibri" w:cs="Calibri"/>
          <w:b/>
          <w:bCs/>
          <w:color w:val="auto"/>
          <w:sz w:val="22"/>
          <w:lang w:val="en-US"/>
        </w:rPr>
        <w:t>Reporting</w:t>
      </w:r>
      <w:r>
        <w:rPr>
          <w:rFonts w:ascii="Calibri" w:hAnsi="Calibri" w:cs="Calibri"/>
          <w:color w:val="auto"/>
          <w:sz w:val="22"/>
          <w:lang w:val="en-US"/>
        </w:rPr>
        <w:t xml:space="preserve">: An annual report should be prepared by the manager at the FYE that </w:t>
      </w:r>
      <w:r w:rsidRPr="00082060">
        <w:rPr>
          <w:rFonts w:ascii="Calibri" w:hAnsi="Calibri" w:cs="Calibri"/>
          <w:color w:val="auto"/>
          <w:sz w:val="22"/>
          <w:u w:val="single"/>
          <w:lang w:val="en-US"/>
        </w:rPr>
        <w:t xml:space="preserve">details all the RE transactions that are </w:t>
      </w:r>
      <w:r w:rsidR="00345107" w:rsidRPr="00082060">
        <w:rPr>
          <w:rFonts w:ascii="Calibri" w:hAnsi="Calibri" w:cs="Calibri"/>
          <w:color w:val="auto"/>
          <w:sz w:val="22"/>
          <w:u w:val="single"/>
          <w:lang w:val="en-US"/>
        </w:rPr>
        <w:t>en</w:t>
      </w:r>
      <w:r w:rsidRPr="00082060">
        <w:rPr>
          <w:rFonts w:ascii="Calibri" w:hAnsi="Calibri" w:cs="Calibri"/>
          <w:color w:val="auto"/>
          <w:sz w:val="22"/>
          <w:u w:val="single"/>
          <w:lang w:val="en-US"/>
        </w:rPr>
        <w:t>tered into</w:t>
      </w:r>
      <w:r w:rsidR="00345107">
        <w:rPr>
          <w:rFonts w:ascii="Calibri" w:hAnsi="Calibri" w:cs="Calibri"/>
          <w:color w:val="auto"/>
          <w:sz w:val="22"/>
          <w:lang w:val="en-US"/>
        </w:rPr>
        <w:t xml:space="preserve"> and </w:t>
      </w:r>
      <w:r w:rsidR="00345107" w:rsidRPr="00082060">
        <w:rPr>
          <w:rFonts w:ascii="Calibri" w:hAnsi="Calibri" w:cs="Calibri"/>
          <w:color w:val="auto"/>
          <w:sz w:val="22"/>
          <w:u w:val="single"/>
          <w:lang w:val="en-US"/>
        </w:rPr>
        <w:t>all the property fund’s RE assets</w:t>
      </w:r>
      <w:r w:rsidR="007D5F8B">
        <w:rPr>
          <w:rFonts w:ascii="Calibri" w:hAnsi="Calibri" w:cs="Calibri"/>
          <w:color w:val="auto"/>
          <w:sz w:val="22"/>
          <w:lang w:val="en-US"/>
        </w:rPr>
        <w:t xml:space="preserve">. Also, </w:t>
      </w:r>
      <w:r w:rsidR="007D5F8B" w:rsidRPr="00082060">
        <w:rPr>
          <w:rFonts w:ascii="Calibri" w:hAnsi="Calibri" w:cs="Calibri"/>
          <w:color w:val="auto"/>
          <w:sz w:val="22"/>
          <w:u w:val="single"/>
          <w:lang w:val="en-US"/>
        </w:rPr>
        <w:t xml:space="preserve">the </w:t>
      </w:r>
      <w:r w:rsidR="00C8607B" w:rsidRPr="00082060">
        <w:rPr>
          <w:rFonts w:ascii="Calibri" w:hAnsi="Calibri" w:cs="Calibri"/>
          <w:color w:val="auto"/>
          <w:sz w:val="22"/>
          <w:u w:val="single"/>
          <w:lang w:val="en-US"/>
        </w:rPr>
        <w:t>fund’s performance</w:t>
      </w:r>
      <w:r w:rsidRPr="00082060">
        <w:rPr>
          <w:rFonts w:ascii="Calibri" w:hAnsi="Calibri" w:cs="Calibri"/>
          <w:color w:val="auto"/>
          <w:sz w:val="22"/>
          <w:u w:val="single"/>
          <w:lang w:val="en-US"/>
        </w:rPr>
        <w:t xml:space="preserve"> </w:t>
      </w:r>
      <w:r w:rsidR="00C8607B" w:rsidRPr="00082060">
        <w:rPr>
          <w:rFonts w:ascii="Calibri" w:hAnsi="Calibri" w:cs="Calibri"/>
          <w:color w:val="auto"/>
          <w:sz w:val="22"/>
          <w:u w:val="single"/>
          <w:lang w:val="en-US"/>
        </w:rPr>
        <w:t xml:space="preserve">(1Y, 3Y, 5Y, 10Y), distributions, </w:t>
      </w:r>
      <w:r w:rsidR="008F153E" w:rsidRPr="00082060">
        <w:rPr>
          <w:rFonts w:ascii="Calibri" w:hAnsi="Calibri" w:cs="Calibri"/>
          <w:color w:val="auto"/>
          <w:sz w:val="22"/>
          <w:u w:val="single"/>
          <w:lang w:val="en-US"/>
        </w:rPr>
        <w:t>total operating expenses, borrowings</w:t>
      </w:r>
      <w:r w:rsidR="00B05762" w:rsidRPr="00082060">
        <w:rPr>
          <w:rFonts w:ascii="Calibri" w:hAnsi="Calibri" w:cs="Calibri"/>
          <w:color w:val="auto"/>
          <w:sz w:val="22"/>
          <w:u w:val="single"/>
          <w:lang w:val="en-US"/>
        </w:rPr>
        <w:t xml:space="preserve"> etc. should be disclosed in the same report</w:t>
      </w:r>
      <w:r w:rsidR="00B05762">
        <w:rPr>
          <w:rFonts w:ascii="Calibri" w:hAnsi="Calibri" w:cs="Calibri"/>
          <w:color w:val="auto"/>
          <w:sz w:val="22"/>
          <w:lang w:val="en-US"/>
        </w:rPr>
        <w:t>.</w:t>
      </w:r>
    </w:p>
    <w:p w14:paraId="7EEC1BAD" w14:textId="71DF4BF0" w:rsidR="00B00974" w:rsidRDefault="00544CE0" w:rsidP="009F73BE">
      <w:pPr>
        <w:pStyle w:val="BodyText"/>
        <w:numPr>
          <w:ilvl w:val="1"/>
          <w:numId w:val="104"/>
        </w:numPr>
        <w:jc w:val="both"/>
        <w:rPr>
          <w:rFonts w:ascii="Calibri" w:hAnsi="Calibri" w:cs="Calibri"/>
          <w:b/>
          <w:bCs/>
          <w:color w:val="auto"/>
          <w:sz w:val="22"/>
          <w:lang w:val="en-US"/>
        </w:rPr>
      </w:pPr>
      <w:r>
        <w:rPr>
          <w:rFonts w:ascii="Calibri" w:hAnsi="Calibri" w:cs="Calibri"/>
          <w:b/>
          <w:bCs/>
          <w:color w:val="auto"/>
          <w:sz w:val="22"/>
          <w:lang w:val="en-US"/>
        </w:rPr>
        <w:t>Precious Metal Funds</w:t>
      </w:r>
      <w:r w:rsidR="00385E75">
        <w:rPr>
          <w:rFonts w:ascii="Calibri" w:hAnsi="Calibri" w:cs="Calibri"/>
          <w:b/>
          <w:bCs/>
          <w:color w:val="auto"/>
          <w:sz w:val="22"/>
          <w:lang w:val="en-US"/>
        </w:rPr>
        <w:t>:</w:t>
      </w:r>
    </w:p>
    <w:p w14:paraId="3018475B" w14:textId="4FD70DD0" w:rsidR="00CE395D" w:rsidRPr="00EF15DE" w:rsidRDefault="00D7615A" w:rsidP="009F73BE">
      <w:pPr>
        <w:pStyle w:val="BodyText"/>
        <w:numPr>
          <w:ilvl w:val="2"/>
          <w:numId w:val="104"/>
        </w:numPr>
        <w:jc w:val="both"/>
        <w:rPr>
          <w:rFonts w:ascii="Calibri" w:hAnsi="Calibri" w:cs="Calibri"/>
          <w:b/>
          <w:bCs/>
          <w:color w:val="auto"/>
          <w:sz w:val="22"/>
          <w:lang w:val="en-US"/>
        </w:rPr>
      </w:pPr>
      <w:r>
        <w:rPr>
          <w:rFonts w:ascii="Calibri" w:hAnsi="Calibri" w:cs="Calibri"/>
          <w:b/>
          <w:bCs/>
          <w:color w:val="auto"/>
          <w:sz w:val="22"/>
          <w:lang w:val="en-US"/>
        </w:rPr>
        <w:t>Definition</w:t>
      </w:r>
      <w:r w:rsidRPr="00D7615A">
        <w:rPr>
          <w:rFonts w:ascii="Calibri" w:hAnsi="Calibri" w:cs="Calibri"/>
          <w:color w:val="auto"/>
          <w:sz w:val="22"/>
          <w:lang w:val="en-US"/>
        </w:rPr>
        <w:t>:</w:t>
      </w:r>
      <w:r>
        <w:rPr>
          <w:rFonts w:ascii="Calibri" w:hAnsi="Calibri" w:cs="Calibri"/>
          <w:color w:val="auto"/>
          <w:sz w:val="22"/>
          <w:lang w:val="en-US"/>
        </w:rPr>
        <w:t xml:space="preserve"> Invests </w:t>
      </w:r>
      <w:r w:rsidR="0033404F">
        <w:rPr>
          <w:rFonts w:ascii="Calibri" w:hAnsi="Calibri" w:cs="Calibri"/>
          <w:color w:val="auto"/>
          <w:sz w:val="22"/>
          <w:lang w:val="en-US"/>
        </w:rPr>
        <w:t xml:space="preserve">in </w:t>
      </w:r>
      <w:r w:rsidR="0033404F" w:rsidRPr="0033404F">
        <w:rPr>
          <w:rFonts w:ascii="Calibri" w:hAnsi="Calibri" w:cs="Calibri"/>
          <w:color w:val="auto"/>
          <w:sz w:val="22"/>
          <w:u w:val="single"/>
          <w:lang w:val="en-US"/>
        </w:rPr>
        <w:t xml:space="preserve">physical </w:t>
      </w:r>
      <w:r w:rsidRPr="0033404F">
        <w:rPr>
          <w:rFonts w:ascii="Calibri" w:hAnsi="Calibri" w:cs="Calibri"/>
          <w:color w:val="auto"/>
          <w:sz w:val="22"/>
          <w:u w:val="single"/>
          <w:lang w:val="en-US"/>
        </w:rPr>
        <w:t>gold, silver and</w:t>
      </w:r>
      <w:r w:rsidR="0033404F" w:rsidRPr="0033404F">
        <w:rPr>
          <w:rFonts w:ascii="Calibri" w:hAnsi="Calibri" w:cs="Calibri"/>
          <w:color w:val="auto"/>
          <w:sz w:val="22"/>
          <w:u w:val="single"/>
          <w:lang w:val="en-US"/>
        </w:rPr>
        <w:t>/or</w:t>
      </w:r>
      <w:r w:rsidRPr="0033404F">
        <w:rPr>
          <w:rFonts w:ascii="Calibri" w:hAnsi="Calibri" w:cs="Calibri"/>
          <w:color w:val="auto"/>
          <w:sz w:val="22"/>
          <w:u w:val="single"/>
          <w:lang w:val="en-US"/>
        </w:rPr>
        <w:t xml:space="preserve"> platinum</w:t>
      </w:r>
      <w:r w:rsidR="0033404F">
        <w:rPr>
          <w:rFonts w:ascii="Calibri" w:hAnsi="Calibri" w:cs="Calibri"/>
          <w:color w:val="auto"/>
          <w:sz w:val="22"/>
          <w:lang w:val="en-US"/>
        </w:rPr>
        <w:t>, i.e., Does not include precious metals through financial derivatives.</w:t>
      </w:r>
    </w:p>
    <w:p w14:paraId="0FCFA997" w14:textId="2C0F3A79" w:rsidR="004A09B1" w:rsidRPr="004A09B1" w:rsidRDefault="00443868" w:rsidP="009F73BE">
      <w:pPr>
        <w:pStyle w:val="BodyText"/>
        <w:numPr>
          <w:ilvl w:val="0"/>
          <w:numId w:val="104"/>
        </w:numPr>
        <w:jc w:val="both"/>
        <w:rPr>
          <w:rFonts w:ascii="Calibri" w:hAnsi="Calibri" w:cs="Calibri"/>
          <w:b/>
          <w:bCs/>
          <w:color w:val="auto"/>
          <w:sz w:val="22"/>
          <w:lang w:val="en-US"/>
        </w:rPr>
      </w:pPr>
      <w:r>
        <w:rPr>
          <w:rFonts w:ascii="Calibri" w:hAnsi="Calibri" w:cs="Calibri"/>
          <w:b/>
          <w:bCs/>
          <w:color w:val="auto"/>
          <w:sz w:val="22"/>
          <w:lang w:val="en-US"/>
        </w:rPr>
        <w:lastRenderedPageBreak/>
        <w:t>Single</w:t>
      </w:r>
      <w:r w:rsidR="00951FE8">
        <w:rPr>
          <w:rFonts w:ascii="Calibri" w:hAnsi="Calibri" w:cs="Calibri"/>
          <w:b/>
          <w:bCs/>
          <w:color w:val="auto"/>
          <w:sz w:val="22"/>
          <w:lang w:val="en-US"/>
        </w:rPr>
        <w:t xml:space="preserve"> and</w:t>
      </w:r>
      <w:r w:rsidR="004A09B1">
        <w:rPr>
          <w:rFonts w:ascii="Calibri" w:hAnsi="Calibri" w:cs="Calibri"/>
          <w:b/>
          <w:bCs/>
          <w:color w:val="auto"/>
          <w:sz w:val="22"/>
          <w:lang w:val="en-US"/>
        </w:rPr>
        <w:t xml:space="preserve"> </w:t>
      </w:r>
      <w:r>
        <w:rPr>
          <w:rFonts w:ascii="Calibri" w:hAnsi="Calibri" w:cs="Calibri"/>
          <w:b/>
          <w:bCs/>
          <w:color w:val="auto"/>
          <w:sz w:val="22"/>
          <w:lang w:val="en-US"/>
        </w:rPr>
        <w:t>Group Entity Limit</w:t>
      </w:r>
      <w:r>
        <w:rPr>
          <w:rFonts w:ascii="Calibri" w:hAnsi="Calibri" w:cs="Calibri"/>
          <w:color w:val="auto"/>
          <w:sz w:val="22"/>
          <w:lang w:val="en-US"/>
        </w:rPr>
        <w:t xml:space="preserve">: </w:t>
      </w:r>
    </w:p>
    <w:p w14:paraId="7621B890" w14:textId="42BC26CE" w:rsidR="004A09B1" w:rsidRPr="004A09B1" w:rsidRDefault="00BF0C6B" w:rsidP="009F73BE">
      <w:pPr>
        <w:pStyle w:val="BodyText"/>
        <w:numPr>
          <w:ilvl w:val="1"/>
          <w:numId w:val="104"/>
        </w:numPr>
        <w:jc w:val="both"/>
        <w:rPr>
          <w:rFonts w:ascii="Calibri" w:hAnsi="Calibri" w:cs="Calibri"/>
          <w:b/>
          <w:bCs/>
          <w:color w:val="auto"/>
          <w:sz w:val="22"/>
          <w:lang w:val="en-US"/>
        </w:rPr>
      </w:pPr>
      <w:r w:rsidRPr="00BF0C6B">
        <w:rPr>
          <w:rFonts w:ascii="Calibri" w:hAnsi="Calibri" w:cs="Calibri"/>
          <w:b/>
          <w:bCs/>
          <w:color w:val="auto"/>
          <w:sz w:val="22"/>
          <w:lang w:val="en-US"/>
        </w:rPr>
        <w:t>All scenarios</w:t>
      </w:r>
      <w:r w:rsidR="00951FE8" w:rsidRPr="00951FE8">
        <w:rPr>
          <w:rFonts w:ascii="Calibri" w:hAnsi="Calibri" w:cs="Calibri"/>
          <w:color w:val="auto"/>
          <w:sz w:val="22"/>
          <w:lang w:val="en-US"/>
        </w:rPr>
        <w:t>:</w:t>
      </w:r>
      <w:r>
        <w:rPr>
          <w:rFonts w:ascii="Calibri" w:hAnsi="Calibri" w:cs="Calibri"/>
          <w:color w:val="auto"/>
          <w:sz w:val="22"/>
          <w:lang w:val="en-US"/>
        </w:rPr>
        <w:t xml:space="preserve"> </w:t>
      </w:r>
      <w:r w:rsidR="00443868">
        <w:rPr>
          <w:rFonts w:ascii="Calibri" w:hAnsi="Calibri" w:cs="Calibri"/>
          <w:color w:val="auto"/>
          <w:sz w:val="22"/>
          <w:lang w:val="en-US"/>
        </w:rPr>
        <w:t>I</w:t>
      </w:r>
      <w:r w:rsidR="00CE6B72">
        <w:rPr>
          <w:rFonts w:ascii="Calibri" w:hAnsi="Calibri" w:cs="Calibri"/>
          <w:color w:val="auto"/>
          <w:sz w:val="22"/>
          <w:lang w:val="en-US"/>
        </w:rPr>
        <w:t xml:space="preserve">nvestments into a </w:t>
      </w:r>
      <w:r w:rsidR="00CE6B72" w:rsidRPr="004A09B1">
        <w:rPr>
          <w:rFonts w:ascii="Calibri" w:hAnsi="Calibri" w:cs="Calibri"/>
          <w:color w:val="auto"/>
          <w:sz w:val="22"/>
          <w:u w:val="single"/>
          <w:lang w:val="en-US"/>
        </w:rPr>
        <w:t>single entity should not exceed 10% NAV</w:t>
      </w:r>
      <w:r w:rsidR="004A09B1">
        <w:rPr>
          <w:rFonts w:ascii="Calibri" w:hAnsi="Calibri" w:cs="Calibri"/>
          <w:color w:val="auto"/>
          <w:sz w:val="22"/>
          <w:lang w:val="en-US"/>
        </w:rPr>
        <w:t>.</w:t>
      </w:r>
      <w:r w:rsidR="0020023D">
        <w:rPr>
          <w:rFonts w:ascii="Calibri" w:hAnsi="Calibri" w:cs="Calibri"/>
          <w:color w:val="auto"/>
          <w:sz w:val="22"/>
          <w:lang w:val="en-US"/>
        </w:rPr>
        <w:t xml:space="preserve"> </w:t>
      </w:r>
      <w:r w:rsidR="006971EA">
        <w:rPr>
          <w:rFonts w:ascii="Calibri" w:hAnsi="Calibri" w:cs="Calibri"/>
          <w:color w:val="auto"/>
          <w:sz w:val="22"/>
          <w:lang w:val="en-US"/>
        </w:rPr>
        <w:t xml:space="preserve">This </w:t>
      </w:r>
      <w:r w:rsidR="006971EA" w:rsidRPr="00C61963">
        <w:rPr>
          <w:rFonts w:ascii="Calibri" w:hAnsi="Calibri" w:cs="Calibri"/>
          <w:color w:val="auto"/>
          <w:sz w:val="22"/>
          <w:u w:val="single"/>
          <w:lang w:val="en-US"/>
        </w:rPr>
        <w:t>limit would</w:t>
      </w:r>
      <w:r w:rsidR="00C61963">
        <w:rPr>
          <w:rFonts w:ascii="Calibri" w:hAnsi="Calibri" w:cs="Calibri"/>
          <w:color w:val="auto"/>
          <w:sz w:val="22"/>
          <w:u w:val="single"/>
          <w:lang w:val="en-US"/>
        </w:rPr>
        <w:t xml:space="preserve"> only</w:t>
      </w:r>
      <w:r w:rsidR="006971EA" w:rsidRPr="00C61963">
        <w:rPr>
          <w:rFonts w:ascii="Calibri" w:hAnsi="Calibri" w:cs="Calibri"/>
          <w:color w:val="auto"/>
          <w:sz w:val="22"/>
          <w:u w:val="single"/>
          <w:lang w:val="en-US"/>
        </w:rPr>
        <w:t xml:space="preserve"> apply to</w:t>
      </w:r>
      <w:r w:rsidR="006971EA">
        <w:rPr>
          <w:rFonts w:ascii="Calibri" w:hAnsi="Calibri" w:cs="Calibri"/>
          <w:color w:val="auto"/>
          <w:sz w:val="22"/>
          <w:lang w:val="en-US"/>
        </w:rPr>
        <w:t xml:space="preserve"> </w:t>
      </w:r>
      <w:r w:rsidR="0020023D" w:rsidRPr="00C61963">
        <w:rPr>
          <w:rFonts w:ascii="Calibri" w:hAnsi="Calibri" w:cs="Calibri"/>
          <w:color w:val="auto"/>
          <w:sz w:val="22"/>
          <w:u w:val="single"/>
          <w:lang w:val="en-US"/>
        </w:rPr>
        <w:t>tran</w:t>
      </w:r>
      <w:r w:rsidR="006971EA" w:rsidRPr="00C61963">
        <w:rPr>
          <w:rFonts w:ascii="Calibri" w:hAnsi="Calibri" w:cs="Calibri"/>
          <w:color w:val="auto"/>
          <w:sz w:val="22"/>
          <w:u w:val="single"/>
          <w:lang w:val="en-US"/>
        </w:rPr>
        <w:t>sferable securities and money market instruments</w:t>
      </w:r>
      <w:r w:rsidR="006971EA">
        <w:rPr>
          <w:rFonts w:ascii="Calibri" w:hAnsi="Calibri" w:cs="Calibri"/>
          <w:color w:val="auto"/>
          <w:sz w:val="22"/>
          <w:lang w:val="en-US"/>
        </w:rPr>
        <w:t>.</w:t>
      </w:r>
    </w:p>
    <w:p w14:paraId="15326A62" w14:textId="479FCC51" w:rsidR="004A09B1" w:rsidRDefault="00951FE8" w:rsidP="009F73BE">
      <w:pPr>
        <w:pStyle w:val="BodyText"/>
        <w:numPr>
          <w:ilvl w:val="1"/>
          <w:numId w:val="104"/>
        </w:numPr>
        <w:jc w:val="both"/>
        <w:rPr>
          <w:rFonts w:ascii="Calibri" w:hAnsi="Calibri" w:cs="Calibri"/>
          <w:b/>
          <w:bCs/>
          <w:color w:val="auto"/>
          <w:sz w:val="22"/>
          <w:lang w:val="en-US"/>
        </w:rPr>
      </w:pPr>
      <w:r w:rsidRPr="00BF0C6B">
        <w:rPr>
          <w:rFonts w:ascii="Calibri" w:hAnsi="Calibri" w:cs="Calibri"/>
          <w:b/>
          <w:bCs/>
          <w:color w:val="auto"/>
          <w:sz w:val="22"/>
          <w:lang w:val="en-US"/>
        </w:rPr>
        <w:t>All scenarios</w:t>
      </w:r>
      <w:r w:rsidRPr="00951FE8">
        <w:rPr>
          <w:rFonts w:ascii="Calibri" w:hAnsi="Calibri" w:cs="Calibri"/>
          <w:color w:val="auto"/>
          <w:sz w:val="22"/>
          <w:lang w:val="en-US"/>
        </w:rPr>
        <w:t>:</w:t>
      </w:r>
      <w:r w:rsidR="00BF0C6B">
        <w:rPr>
          <w:rFonts w:ascii="Calibri" w:hAnsi="Calibri" w:cs="Calibri"/>
          <w:b/>
          <w:bCs/>
          <w:color w:val="auto"/>
          <w:sz w:val="22"/>
          <w:lang w:val="en-US"/>
        </w:rPr>
        <w:t xml:space="preserve"> </w:t>
      </w:r>
      <w:r w:rsidR="004A09B1">
        <w:rPr>
          <w:rFonts w:ascii="Calibri" w:hAnsi="Calibri" w:cs="Calibri"/>
          <w:color w:val="auto"/>
          <w:sz w:val="22"/>
          <w:lang w:val="en-US"/>
        </w:rPr>
        <w:t>I</w:t>
      </w:r>
      <w:r w:rsidR="00995AF5">
        <w:rPr>
          <w:rFonts w:ascii="Calibri" w:hAnsi="Calibri" w:cs="Calibri"/>
          <w:color w:val="auto"/>
          <w:sz w:val="22"/>
          <w:lang w:val="en-US"/>
        </w:rPr>
        <w:t xml:space="preserve">nvestments into a </w:t>
      </w:r>
      <w:r w:rsidR="00995AF5" w:rsidRPr="004A09B1">
        <w:rPr>
          <w:rFonts w:ascii="Calibri" w:hAnsi="Calibri" w:cs="Calibri"/>
          <w:color w:val="auto"/>
          <w:sz w:val="22"/>
          <w:u w:val="single"/>
          <w:lang w:val="en-US"/>
        </w:rPr>
        <w:t>group entity</w:t>
      </w:r>
      <w:r w:rsidR="00995AF5">
        <w:rPr>
          <w:rFonts w:ascii="Calibri" w:hAnsi="Calibri" w:cs="Calibri"/>
          <w:color w:val="auto"/>
          <w:sz w:val="22"/>
          <w:lang w:val="en-US"/>
        </w:rPr>
        <w:t xml:space="preserve"> (i.e., entity, subsidiaries, </w:t>
      </w:r>
      <w:r w:rsidR="00B854A4">
        <w:rPr>
          <w:rFonts w:ascii="Calibri" w:hAnsi="Calibri" w:cs="Calibri"/>
          <w:color w:val="auto"/>
          <w:sz w:val="22"/>
          <w:lang w:val="en-US"/>
        </w:rPr>
        <w:t xml:space="preserve">holding company) </w:t>
      </w:r>
      <w:r w:rsidR="00995AF5" w:rsidRPr="004A09B1">
        <w:rPr>
          <w:rFonts w:ascii="Calibri" w:hAnsi="Calibri" w:cs="Calibri"/>
          <w:color w:val="auto"/>
          <w:sz w:val="22"/>
          <w:u w:val="single"/>
          <w:lang w:val="en-US"/>
        </w:rPr>
        <w:t>should not exceed 20%</w:t>
      </w:r>
      <w:r w:rsidR="00995AF5">
        <w:rPr>
          <w:rFonts w:ascii="Calibri" w:hAnsi="Calibri" w:cs="Calibri"/>
          <w:color w:val="auto"/>
          <w:sz w:val="22"/>
          <w:lang w:val="en-US"/>
        </w:rPr>
        <w:t>.</w:t>
      </w:r>
      <w:r w:rsidR="006971EA">
        <w:rPr>
          <w:rFonts w:ascii="Calibri" w:hAnsi="Calibri" w:cs="Calibri"/>
          <w:color w:val="auto"/>
          <w:sz w:val="22"/>
          <w:lang w:val="en-US"/>
        </w:rPr>
        <w:t xml:space="preserve"> This </w:t>
      </w:r>
      <w:r w:rsidR="006971EA" w:rsidRPr="00C61963">
        <w:rPr>
          <w:rFonts w:ascii="Calibri" w:hAnsi="Calibri" w:cs="Calibri"/>
          <w:color w:val="auto"/>
          <w:sz w:val="22"/>
          <w:u w:val="single"/>
          <w:lang w:val="en-US"/>
        </w:rPr>
        <w:t xml:space="preserve">limit would </w:t>
      </w:r>
      <w:r w:rsidR="00C61963" w:rsidRPr="00C61963">
        <w:rPr>
          <w:rFonts w:ascii="Calibri" w:hAnsi="Calibri" w:cs="Calibri"/>
          <w:color w:val="auto"/>
          <w:sz w:val="22"/>
          <w:u w:val="single"/>
          <w:lang w:val="en-US"/>
        </w:rPr>
        <w:t xml:space="preserve">only </w:t>
      </w:r>
      <w:r w:rsidR="006971EA" w:rsidRPr="00C61963">
        <w:rPr>
          <w:rFonts w:ascii="Calibri" w:hAnsi="Calibri" w:cs="Calibri"/>
          <w:color w:val="auto"/>
          <w:sz w:val="22"/>
          <w:u w:val="single"/>
          <w:lang w:val="en-US"/>
        </w:rPr>
        <w:t>apply to transferable securities</w:t>
      </w:r>
      <w:r w:rsidR="00C61963" w:rsidRPr="00C61963">
        <w:rPr>
          <w:rFonts w:ascii="Calibri" w:hAnsi="Calibri" w:cs="Calibri"/>
          <w:color w:val="auto"/>
          <w:sz w:val="22"/>
          <w:u w:val="single"/>
          <w:lang w:val="en-US"/>
        </w:rPr>
        <w:t>,</w:t>
      </w:r>
      <w:r w:rsidR="006971EA" w:rsidRPr="00C61963">
        <w:rPr>
          <w:rFonts w:ascii="Calibri" w:hAnsi="Calibri" w:cs="Calibri"/>
          <w:color w:val="auto"/>
          <w:sz w:val="22"/>
          <w:u w:val="single"/>
          <w:lang w:val="en-US"/>
        </w:rPr>
        <w:t xml:space="preserve"> money market instruments and eligible deposits</w:t>
      </w:r>
      <w:r w:rsidR="00C61963" w:rsidRPr="00C61963">
        <w:rPr>
          <w:rFonts w:ascii="Calibri" w:hAnsi="Calibri" w:cs="Calibri"/>
          <w:color w:val="auto"/>
          <w:sz w:val="22"/>
          <w:u w:val="single"/>
          <w:lang w:val="en-US"/>
        </w:rPr>
        <w:t>, OTC financial derivatives</w:t>
      </w:r>
      <w:r w:rsidR="006971EA">
        <w:rPr>
          <w:rFonts w:ascii="Calibri" w:hAnsi="Calibri" w:cs="Calibri"/>
          <w:color w:val="auto"/>
          <w:sz w:val="22"/>
          <w:lang w:val="en-US"/>
        </w:rPr>
        <w:t>.</w:t>
      </w:r>
    </w:p>
    <w:p w14:paraId="1911B2FA" w14:textId="6BE3C603" w:rsidR="00676A9C" w:rsidRPr="000A6547" w:rsidRDefault="004435D5" w:rsidP="009F73BE">
      <w:pPr>
        <w:pStyle w:val="BodyText"/>
        <w:numPr>
          <w:ilvl w:val="1"/>
          <w:numId w:val="104"/>
        </w:numPr>
        <w:jc w:val="both"/>
        <w:rPr>
          <w:rFonts w:ascii="Calibri" w:hAnsi="Calibri" w:cs="Calibri"/>
          <w:b/>
          <w:bCs/>
          <w:color w:val="auto"/>
          <w:sz w:val="22"/>
          <w:lang w:val="en-US"/>
        </w:rPr>
      </w:pPr>
      <w:r w:rsidRPr="00BF0C6B">
        <w:rPr>
          <w:rFonts w:ascii="Calibri" w:hAnsi="Calibri" w:cs="Calibri"/>
          <w:b/>
          <w:bCs/>
          <w:color w:val="auto"/>
          <w:sz w:val="22"/>
          <w:lang w:val="en-US"/>
        </w:rPr>
        <w:t>Benchmark scenario</w:t>
      </w:r>
      <w:r w:rsidR="006371CE">
        <w:rPr>
          <w:rFonts w:ascii="Calibri" w:hAnsi="Calibri" w:cs="Calibri"/>
          <w:color w:val="auto"/>
          <w:sz w:val="22"/>
          <w:lang w:val="en-US"/>
        </w:rPr>
        <w:t>:</w:t>
      </w:r>
      <w:r>
        <w:rPr>
          <w:rFonts w:ascii="Calibri" w:hAnsi="Calibri" w:cs="Calibri"/>
          <w:color w:val="auto"/>
          <w:sz w:val="22"/>
          <w:lang w:val="en-US"/>
        </w:rPr>
        <w:t xml:space="preserve"> </w:t>
      </w:r>
      <w:r w:rsidR="002C1E55">
        <w:rPr>
          <w:rFonts w:ascii="Calibri" w:hAnsi="Calibri" w:cs="Calibri"/>
          <w:color w:val="auto"/>
          <w:sz w:val="22"/>
          <w:lang w:val="en-US"/>
        </w:rPr>
        <w:t>When t</w:t>
      </w:r>
      <w:r w:rsidR="00D96E2C" w:rsidRPr="004A09B1">
        <w:rPr>
          <w:rFonts w:ascii="Calibri" w:hAnsi="Calibri" w:cs="Calibri"/>
          <w:color w:val="auto"/>
          <w:sz w:val="22"/>
          <w:lang w:val="en-US"/>
        </w:rPr>
        <w:t>he scheme invest</w:t>
      </w:r>
      <w:r>
        <w:rPr>
          <w:rFonts w:ascii="Calibri" w:hAnsi="Calibri" w:cs="Calibri"/>
          <w:color w:val="auto"/>
          <w:sz w:val="22"/>
          <w:lang w:val="en-US"/>
        </w:rPr>
        <w:t>s</w:t>
      </w:r>
      <w:r w:rsidR="00D96E2C" w:rsidRPr="004A09B1">
        <w:rPr>
          <w:rFonts w:ascii="Calibri" w:hAnsi="Calibri" w:cs="Calibri"/>
          <w:color w:val="auto"/>
          <w:sz w:val="22"/>
          <w:lang w:val="en-US"/>
        </w:rPr>
        <w:t xml:space="preserve"> into transferable securit</w:t>
      </w:r>
      <w:r w:rsidR="00CB1808">
        <w:rPr>
          <w:rFonts w:ascii="Calibri" w:hAnsi="Calibri" w:cs="Calibri"/>
          <w:color w:val="auto"/>
          <w:sz w:val="22"/>
          <w:lang w:val="en-US"/>
        </w:rPr>
        <w:t>ies that</w:t>
      </w:r>
      <w:r w:rsidR="00D96E2C" w:rsidRPr="004A09B1">
        <w:rPr>
          <w:rFonts w:ascii="Calibri" w:hAnsi="Calibri" w:cs="Calibri"/>
          <w:color w:val="auto"/>
          <w:sz w:val="22"/>
          <w:lang w:val="en-US"/>
        </w:rPr>
        <w:t xml:space="preserve"> </w:t>
      </w:r>
      <w:r w:rsidR="00CB1808">
        <w:rPr>
          <w:rFonts w:ascii="Calibri" w:hAnsi="Calibri" w:cs="Calibri"/>
          <w:color w:val="auto"/>
          <w:sz w:val="22"/>
          <w:lang w:val="en-US"/>
        </w:rPr>
        <w:t xml:space="preserve">are </w:t>
      </w:r>
      <w:r w:rsidR="00D96E2C" w:rsidRPr="004A09B1">
        <w:rPr>
          <w:rFonts w:ascii="Calibri" w:hAnsi="Calibri" w:cs="Calibri"/>
          <w:color w:val="auto"/>
          <w:sz w:val="22"/>
          <w:lang w:val="en-US"/>
        </w:rPr>
        <w:t>constituent</w:t>
      </w:r>
      <w:r w:rsidR="00CB1808">
        <w:rPr>
          <w:rFonts w:ascii="Calibri" w:hAnsi="Calibri" w:cs="Calibri"/>
          <w:color w:val="auto"/>
          <w:sz w:val="22"/>
          <w:lang w:val="en-US"/>
        </w:rPr>
        <w:t>s</w:t>
      </w:r>
      <w:r w:rsidR="00D96E2C" w:rsidRPr="004A09B1">
        <w:rPr>
          <w:rFonts w:ascii="Calibri" w:hAnsi="Calibri" w:cs="Calibri"/>
          <w:color w:val="auto"/>
          <w:sz w:val="22"/>
          <w:lang w:val="en-US"/>
        </w:rPr>
        <w:t xml:space="preserve"> of its benchmark</w:t>
      </w:r>
      <w:r>
        <w:rPr>
          <w:rFonts w:ascii="Calibri" w:hAnsi="Calibri" w:cs="Calibri"/>
          <w:color w:val="auto"/>
          <w:sz w:val="22"/>
          <w:lang w:val="en-US"/>
        </w:rPr>
        <w:t>,</w:t>
      </w:r>
      <w:r w:rsidR="00D96E2C" w:rsidRPr="004A09B1">
        <w:rPr>
          <w:rFonts w:ascii="Calibri" w:hAnsi="Calibri" w:cs="Calibri"/>
          <w:color w:val="auto"/>
          <w:sz w:val="22"/>
          <w:lang w:val="en-US"/>
        </w:rPr>
        <w:t xml:space="preserve"> </w:t>
      </w:r>
      <w:r w:rsidR="00CB1808" w:rsidRPr="00A6728F">
        <w:rPr>
          <w:rFonts w:ascii="Calibri" w:hAnsi="Calibri" w:cs="Calibri"/>
          <w:color w:val="auto"/>
          <w:sz w:val="22"/>
          <w:u w:val="single"/>
          <w:lang w:val="en-US"/>
        </w:rPr>
        <w:t>the</w:t>
      </w:r>
      <w:r w:rsidR="00F2382D" w:rsidRPr="00A6728F">
        <w:rPr>
          <w:rFonts w:ascii="Calibri" w:hAnsi="Calibri" w:cs="Calibri"/>
          <w:color w:val="auto"/>
          <w:sz w:val="22"/>
          <w:u w:val="single"/>
          <w:lang w:val="en-US"/>
        </w:rPr>
        <w:t xml:space="preserve"> single and group entity limit would continue to apply</w:t>
      </w:r>
      <w:r w:rsidR="00A43463" w:rsidRPr="00A6728F">
        <w:rPr>
          <w:rFonts w:ascii="Calibri" w:hAnsi="Calibri" w:cs="Calibri"/>
          <w:color w:val="auto"/>
          <w:sz w:val="22"/>
          <w:u w:val="single"/>
          <w:lang w:val="en-US"/>
        </w:rPr>
        <w:t xml:space="preserve"> under such scenarios</w:t>
      </w:r>
      <w:r w:rsidR="00F2382D">
        <w:rPr>
          <w:rFonts w:ascii="Calibri" w:hAnsi="Calibri" w:cs="Calibri"/>
          <w:color w:val="auto"/>
          <w:sz w:val="22"/>
          <w:lang w:val="en-US"/>
        </w:rPr>
        <w:t>. However</w:t>
      </w:r>
      <w:r w:rsidR="00A43463">
        <w:rPr>
          <w:rFonts w:ascii="Calibri" w:hAnsi="Calibri" w:cs="Calibri"/>
          <w:color w:val="auto"/>
          <w:sz w:val="22"/>
          <w:lang w:val="en-US"/>
        </w:rPr>
        <w:t>,</w:t>
      </w:r>
      <w:r w:rsidR="00F2382D">
        <w:rPr>
          <w:rFonts w:ascii="Calibri" w:hAnsi="Calibri" w:cs="Calibri"/>
          <w:color w:val="auto"/>
          <w:sz w:val="22"/>
          <w:lang w:val="en-US"/>
        </w:rPr>
        <w:t xml:space="preserve"> if the benchmark weight is above </w:t>
      </w:r>
      <w:r w:rsidR="0078632E">
        <w:rPr>
          <w:rFonts w:ascii="Calibri" w:hAnsi="Calibri" w:cs="Calibri"/>
          <w:color w:val="auto"/>
          <w:sz w:val="22"/>
          <w:lang w:val="en-US"/>
        </w:rPr>
        <w:t>1</w:t>
      </w:r>
      <w:r w:rsidR="00F2382D">
        <w:rPr>
          <w:rFonts w:ascii="Calibri" w:hAnsi="Calibri" w:cs="Calibri"/>
          <w:color w:val="auto"/>
          <w:sz w:val="22"/>
          <w:lang w:val="en-US"/>
        </w:rPr>
        <w:t xml:space="preserve">0% </w:t>
      </w:r>
      <w:r w:rsidR="000B6286">
        <w:rPr>
          <w:rFonts w:ascii="Calibri" w:hAnsi="Calibri" w:cs="Calibri"/>
          <w:color w:val="auto"/>
          <w:sz w:val="22"/>
          <w:lang w:val="en-US"/>
        </w:rPr>
        <w:t xml:space="preserve">(e.g., </w:t>
      </w:r>
      <w:r w:rsidR="009135FD">
        <w:rPr>
          <w:rFonts w:ascii="Calibri" w:hAnsi="Calibri" w:cs="Calibri"/>
          <w:color w:val="auto"/>
          <w:sz w:val="22"/>
          <w:lang w:val="en-US"/>
        </w:rPr>
        <w:t>22</w:t>
      </w:r>
      <w:r w:rsidR="000B6286">
        <w:rPr>
          <w:rFonts w:ascii="Calibri" w:hAnsi="Calibri" w:cs="Calibri"/>
          <w:color w:val="auto"/>
          <w:sz w:val="22"/>
          <w:lang w:val="en-US"/>
        </w:rPr>
        <w:t>%)</w:t>
      </w:r>
      <w:r w:rsidR="00BE0DFB">
        <w:rPr>
          <w:rFonts w:ascii="Calibri" w:hAnsi="Calibri" w:cs="Calibri"/>
          <w:color w:val="auto"/>
          <w:sz w:val="22"/>
          <w:lang w:val="en-US"/>
        </w:rPr>
        <w:t xml:space="preserve">, </w:t>
      </w:r>
      <w:r w:rsidR="00BE0DFB" w:rsidRPr="00A6728F">
        <w:rPr>
          <w:rFonts w:ascii="Calibri" w:hAnsi="Calibri" w:cs="Calibri"/>
          <w:color w:val="auto"/>
          <w:sz w:val="22"/>
          <w:u w:val="single"/>
          <w:lang w:val="en-US"/>
        </w:rPr>
        <w:t xml:space="preserve">the Code allows the </w:t>
      </w:r>
      <w:r w:rsidR="002403F0" w:rsidRPr="00A6728F">
        <w:rPr>
          <w:rFonts w:ascii="Calibri" w:hAnsi="Calibri" w:cs="Calibri"/>
          <w:color w:val="auto"/>
          <w:sz w:val="22"/>
          <w:u w:val="single"/>
          <w:lang w:val="en-US"/>
        </w:rPr>
        <w:t xml:space="preserve">revisions of the </w:t>
      </w:r>
      <w:r w:rsidR="00BE0DFB" w:rsidRPr="00A6728F">
        <w:rPr>
          <w:rFonts w:ascii="Calibri" w:hAnsi="Calibri" w:cs="Calibri"/>
          <w:color w:val="auto"/>
          <w:sz w:val="22"/>
          <w:u w:val="single"/>
          <w:lang w:val="en-US"/>
        </w:rPr>
        <w:t xml:space="preserve">single entity limit </w:t>
      </w:r>
      <w:r w:rsidR="002403F0" w:rsidRPr="00A6728F">
        <w:rPr>
          <w:rFonts w:ascii="Calibri" w:hAnsi="Calibri" w:cs="Calibri"/>
          <w:color w:val="auto"/>
          <w:sz w:val="22"/>
          <w:u w:val="single"/>
          <w:lang w:val="en-US"/>
        </w:rPr>
        <w:t>t</w:t>
      </w:r>
      <w:r w:rsidR="00BE0DFB" w:rsidRPr="00A6728F">
        <w:rPr>
          <w:rFonts w:ascii="Calibri" w:hAnsi="Calibri" w:cs="Calibri"/>
          <w:color w:val="auto"/>
          <w:sz w:val="22"/>
          <w:u w:val="single"/>
          <w:lang w:val="en-US"/>
        </w:rPr>
        <w:t xml:space="preserve">o </w:t>
      </w:r>
      <w:r w:rsidR="002403F0" w:rsidRPr="00A6728F">
        <w:rPr>
          <w:rFonts w:ascii="Calibri" w:hAnsi="Calibri" w:cs="Calibri"/>
          <w:color w:val="auto"/>
          <w:sz w:val="22"/>
          <w:u w:val="single"/>
          <w:lang w:val="en-US"/>
        </w:rPr>
        <w:t xml:space="preserve">the </w:t>
      </w:r>
      <w:r w:rsidR="00BE0DFB" w:rsidRPr="00A6728F">
        <w:rPr>
          <w:rFonts w:ascii="Calibri" w:hAnsi="Calibri" w:cs="Calibri"/>
          <w:color w:val="auto"/>
          <w:sz w:val="22"/>
          <w:u w:val="single"/>
          <w:lang w:val="en-US"/>
        </w:rPr>
        <w:t>m</w:t>
      </w:r>
      <w:r w:rsidR="00764A2B" w:rsidRPr="00A6728F">
        <w:rPr>
          <w:rFonts w:ascii="Calibri" w:hAnsi="Calibri" w:cs="Calibri"/>
          <w:color w:val="auto"/>
          <w:sz w:val="22"/>
          <w:u w:val="single"/>
          <w:lang w:val="en-US"/>
        </w:rPr>
        <w:t>in</w:t>
      </w:r>
      <w:r w:rsidR="002403F0" w:rsidRPr="00A6728F">
        <w:rPr>
          <w:rFonts w:ascii="Calibri" w:hAnsi="Calibri" w:cs="Calibri"/>
          <w:color w:val="auto"/>
          <w:sz w:val="22"/>
          <w:u w:val="single"/>
          <w:lang w:val="en-US"/>
        </w:rPr>
        <w:t xml:space="preserve"> </w:t>
      </w:r>
      <w:r w:rsidR="00BE0DFB" w:rsidRPr="00A6728F">
        <w:rPr>
          <w:rFonts w:ascii="Calibri" w:hAnsi="Calibri" w:cs="Calibri"/>
          <w:color w:val="auto"/>
          <w:sz w:val="22"/>
          <w:u w:val="single"/>
          <w:lang w:val="en-US"/>
        </w:rPr>
        <w:t>(</w:t>
      </w:r>
      <w:r w:rsidR="00764A2B" w:rsidRPr="00A6728F">
        <w:rPr>
          <w:rFonts w:ascii="Calibri" w:hAnsi="Calibri" w:cs="Calibri"/>
          <w:color w:val="auto"/>
          <w:sz w:val="22"/>
          <w:u w:val="single"/>
          <w:lang w:val="en-US"/>
        </w:rPr>
        <w:t>benchmark weight,</w:t>
      </w:r>
      <w:r w:rsidR="002403F0" w:rsidRPr="00A6728F">
        <w:rPr>
          <w:rFonts w:ascii="Calibri" w:hAnsi="Calibri" w:cs="Calibri"/>
          <w:color w:val="auto"/>
          <w:sz w:val="22"/>
          <w:u w:val="single"/>
          <w:lang w:val="en-US"/>
        </w:rPr>
        <w:t xml:space="preserve"> </w:t>
      </w:r>
      <w:r w:rsidR="002403F0" w:rsidRPr="00A6728F">
        <w:rPr>
          <w:rFonts w:ascii="Calibri" w:hAnsi="Calibri" w:cs="Calibri"/>
          <w:color w:val="FF0000"/>
          <w:sz w:val="22"/>
          <w:u w:val="single"/>
          <w:lang w:val="en-US"/>
        </w:rPr>
        <w:t>25%</w:t>
      </w:r>
      <w:r w:rsidR="002403F0" w:rsidRPr="00A6728F">
        <w:rPr>
          <w:rFonts w:ascii="Calibri" w:hAnsi="Calibri" w:cs="Calibri"/>
          <w:color w:val="auto"/>
          <w:sz w:val="22"/>
          <w:u w:val="single"/>
          <w:lang w:val="en-US"/>
        </w:rPr>
        <w:t xml:space="preserve">) and the group entity limit to </w:t>
      </w:r>
      <w:r w:rsidR="002403F0" w:rsidRPr="00A6728F">
        <w:rPr>
          <w:rFonts w:ascii="Calibri" w:hAnsi="Calibri" w:cs="Calibri"/>
          <w:color w:val="FF0000"/>
          <w:sz w:val="22"/>
          <w:u w:val="single"/>
          <w:lang w:val="en-US"/>
        </w:rPr>
        <w:t>25%</w:t>
      </w:r>
      <w:r w:rsidR="002403F0">
        <w:rPr>
          <w:rFonts w:ascii="Calibri" w:hAnsi="Calibri" w:cs="Calibri"/>
          <w:color w:val="auto"/>
          <w:sz w:val="22"/>
          <w:lang w:val="en-US"/>
        </w:rPr>
        <w:t>.</w:t>
      </w:r>
    </w:p>
    <w:p w14:paraId="6ECB9C7C" w14:textId="225C0FF3" w:rsidR="000A6547" w:rsidRPr="00555305" w:rsidRDefault="00221924" w:rsidP="009F73BE">
      <w:pPr>
        <w:pStyle w:val="BodyText"/>
        <w:numPr>
          <w:ilvl w:val="1"/>
          <w:numId w:val="104"/>
        </w:numPr>
        <w:jc w:val="both"/>
        <w:rPr>
          <w:rFonts w:ascii="Calibri" w:hAnsi="Calibri" w:cs="Calibri"/>
          <w:b/>
          <w:bCs/>
          <w:color w:val="auto"/>
          <w:sz w:val="22"/>
          <w:lang w:val="en-US"/>
        </w:rPr>
      </w:pPr>
      <w:r>
        <w:rPr>
          <w:rFonts w:ascii="Calibri" w:hAnsi="Calibri" w:cs="Calibri"/>
          <w:b/>
          <w:bCs/>
          <w:color w:val="auto"/>
          <w:sz w:val="22"/>
          <w:lang w:val="en-US"/>
        </w:rPr>
        <w:t>Transferable Securities</w:t>
      </w:r>
      <w:r w:rsidR="006371CE">
        <w:rPr>
          <w:rFonts w:ascii="Calibri" w:hAnsi="Calibri" w:cs="Calibri"/>
          <w:b/>
          <w:bCs/>
          <w:color w:val="auto"/>
          <w:sz w:val="22"/>
          <w:lang w:val="en-US"/>
        </w:rPr>
        <w:t xml:space="preserve"> that are</w:t>
      </w:r>
      <w:r>
        <w:rPr>
          <w:rFonts w:ascii="Calibri" w:hAnsi="Calibri" w:cs="Calibri"/>
          <w:b/>
          <w:bCs/>
          <w:color w:val="auto"/>
          <w:sz w:val="22"/>
          <w:lang w:val="en-US"/>
        </w:rPr>
        <w:t xml:space="preserve"> </w:t>
      </w:r>
      <w:r w:rsidR="00555305">
        <w:rPr>
          <w:rFonts w:ascii="Calibri" w:hAnsi="Calibri" w:cs="Calibri"/>
          <w:b/>
          <w:bCs/>
          <w:color w:val="auto"/>
          <w:sz w:val="22"/>
          <w:lang w:val="en-US"/>
        </w:rPr>
        <w:t xml:space="preserve">Investment Grade </w:t>
      </w:r>
      <w:r w:rsidR="000A6547">
        <w:rPr>
          <w:rFonts w:ascii="Calibri" w:hAnsi="Calibri" w:cs="Calibri"/>
          <w:b/>
          <w:bCs/>
          <w:color w:val="auto"/>
          <w:sz w:val="22"/>
          <w:lang w:val="en-US"/>
        </w:rPr>
        <w:t>Government</w:t>
      </w:r>
      <w:r w:rsidR="00555305">
        <w:rPr>
          <w:rFonts w:ascii="Calibri" w:hAnsi="Calibri" w:cs="Calibri"/>
          <w:b/>
          <w:bCs/>
          <w:color w:val="auto"/>
          <w:sz w:val="22"/>
          <w:lang w:val="en-US"/>
        </w:rPr>
        <w:t xml:space="preserve"> </w:t>
      </w:r>
      <w:r w:rsidR="00A663BD">
        <w:rPr>
          <w:rFonts w:ascii="Calibri" w:hAnsi="Calibri" w:cs="Calibri"/>
          <w:b/>
          <w:bCs/>
          <w:color w:val="auto"/>
          <w:sz w:val="22"/>
          <w:lang w:val="en-US"/>
        </w:rPr>
        <w:t>Debt</w:t>
      </w:r>
      <w:r w:rsidR="006371CE">
        <w:rPr>
          <w:rFonts w:ascii="Calibri" w:hAnsi="Calibri" w:cs="Calibri"/>
          <w:color w:val="auto"/>
          <w:sz w:val="22"/>
          <w:lang w:val="en-US"/>
        </w:rPr>
        <w:t>:</w:t>
      </w:r>
      <w:r w:rsidR="000A6547">
        <w:rPr>
          <w:rFonts w:ascii="Calibri" w:hAnsi="Calibri" w:cs="Calibri"/>
          <w:b/>
          <w:bCs/>
          <w:color w:val="auto"/>
          <w:sz w:val="22"/>
          <w:lang w:val="en-US"/>
        </w:rPr>
        <w:t xml:space="preserve"> </w:t>
      </w:r>
      <w:r w:rsidR="000A6547">
        <w:rPr>
          <w:rFonts w:ascii="Calibri" w:hAnsi="Calibri" w:cs="Calibri"/>
          <w:color w:val="auto"/>
          <w:sz w:val="22"/>
          <w:lang w:val="en-US"/>
        </w:rPr>
        <w:t xml:space="preserve">When the </w:t>
      </w:r>
      <w:r w:rsidR="00BA1CE2">
        <w:rPr>
          <w:rFonts w:ascii="Calibri" w:hAnsi="Calibri" w:cs="Calibri"/>
          <w:color w:val="auto"/>
          <w:sz w:val="22"/>
          <w:lang w:val="en-US"/>
        </w:rPr>
        <w:t xml:space="preserve">investment is </w:t>
      </w:r>
      <w:r w:rsidR="000B3002">
        <w:rPr>
          <w:rFonts w:ascii="Calibri" w:hAnsi="Calibri" w:cs="Calibri"/>
          <w:color w:val="auto"/>
          <w:sz w:val="22"/>
          <w:lang w:val="en-US"/>
        </w:rPr>
        <w:t xml:space="preserve">going </w:t>
      </w:r>
      <w:r w:rsidR="00BA1CE2">
        <w:rPr>
          <w:rFonts w:ascii="Calibri" w:hAnsi="Calibri" w:cs="Calibri"/>
          <w:color w:val="auto"/>
          <w:sz w:val="22"/>
          <w:lang w:val="en-US"/>
        </w:rPr>
        <w:t xml:space="preserve">into </w:t>
      </w:r>
      <w:r w:rsidR="00BA1CE2" w:rsidRPr="009814EA">
        <w:rPr>
          <w:rFonts w:ascii="Calibri" w:hAnsi="Calibri" w:cs="Calibri"/>
          <w:color w:val="auto"/>
          <w:sz w:val="22"/>
          <w:u w:val="single"/>
          <w:lang w:val="en-US"/>
        </w:rPr>
        <w:t>government and other public debt securities/money market instruments</w:t>
      </w:r>
      <w:r w:rsidR="000B3002" w:rsidRPr="009814EA">
        <w:rPr>
          <w:rFonts w:ascii="Calibri" w:hAnsi="Calibri" w:cs="Calibri"/>
          <w:color w:val="auto"/>
          <w:sz w:val="22"/>
          <w:u w:val="single"/>
          <w:lang w:val="en-US"/>
        </w:rPr>
        <w:t xml:space="preserve"> that has a minimum long-term rating </w:t>
      </w:r>
      <w:r w:rsidR="00431854" w:rsidRPr="009814EA">
        <w:rPr>
          <w:rFonts w:ascii="Calibri" w:hAnsi="Calibri" w:cs="Calibri"/>
          <w:color w:val="auto"/>
          <w:sz w:val="22"/>
          <w:u w:val="single"/>
          <w:lang w:val="en-US"/>
        </w:rPr>
        <w:t xml:space="preserve">of </w:t>
      </w:r>
      <w:r w:rsidR="00690911" w:rsidRPr="009814EA">
        <w:rPr>
          <w:rFonts w:ascii="Calibri" w:hAnsi="Calibri" w:cs="Calibri"/>
          <w:color w:val="auto"/>
          <w:sz w:val="22"/>
          <w:u w:val="single"/>
          <w:lang w:val="en-US"/>
        </w:rPr>
        <w:t>investment grade</w:t>
      </w:r>
      <w:r w:rsidR="00431854">
        <w:rPr>
          <w:rFonts w:ascii="Calibri" w:hAnsi="Calibri" w:cs="Calibri"/>
          <w:color w:val="auto"/>
          <w:sz w:val="22"/>
          <w:lang w:val="en-US"/>
        </w:rPr>
        <w:t xml:space="preserve"> (BBB by Fitch, Baa by Moody’s or BBB by S&amp;P), </w:t>
      </w:r>
      <w:r w:rsidR="00431854" w:rsidRPr="009814EA">
        <w:rPr>
          <w:rFonts w:ascii="Calibri" w:hAnsi="Calibri" w:cs="Calibri"/>
          <w:color w:val="auto"/>
          <w:sz w:val="22"/>
          <w:u w:val="single"/>
          <w:lang w:val="en-US"/>
        </w:rPr>
        <w:t xml:space="preserve">then the </w:t>
      </w:r>
      <w:r w:rsidR="00A6728F" w:rsidRPr="009814EA">
        <w:rPr>
          <w:rFonts w:ascii="Calibri" w:hAnsi="Calibri" w:cs="Calibri"/>
          <w:color w:val="auto"/>
          <w:sz w:val="22"/>
          <w:u w:val="single"/>
          <w:lang w:val="en-US"/>
        </w:rPr>
        <w:t xml:space="preserve">single entity limit can be revised to 35%. If the rating is downgraded, then </w:t>
      </w:r>
      <w:r w:rsidR="00104762" w:rsidRPr="009814EA">
        <w:rPr>
          <w:rFonts w:ascii="Calibri" w:hAnsi="Calibri" w:cs="Calibri"/>
          <w:color w:val="auto"/>
          <w:sz w:val="22"/>
          <w:u w:val="single"/>
          <w:lang w:val="en-US"/>
        </w:rPr>
        <w:t>the single entity limit would be reduced back to 10%</w:t>
      </w:r>
      <w:r w:rsidR="00104762">
        <w:rPr>
          <w:rFonts w:ascii="Calibri" w:hAnsi="Calibri" w:cs="Calibri"/>
          <w:color w:val="auto"/>
          <w:sz w:val="22"/>
          <w:lang w:val="en-US"/>
        </w:rPr>
        <w:t>.</w:t>
      </w:r>
    </w:p>
    <w:p w14:paraId="3FE5D93C" w14:textId="021B6B4A" w:rsidR="00555305" w:rsidRPr="00221924" w:rsidRDefault="00221924" w:rsidP="009F73BE">
      <w:pPr>
        <w:pStyle w:val="BodyText"/>
        <w:numPr>
          <w:ilvl w:val="1"/>
          <w:numId w:val="104"/>
        </w:numPr>
        <w:jc w:val="both"/>
        <w:rPr>
          <w:rFonts w:ascii="Calibri" w:hAnsi="Calibri" w:cs="Calibri"/>
          <w:b/>
          <w:bCs/>
          <w:color w:val="auto"/>
          <w:sz w:val="22"/>
          <w:lang w:val="en-US"/>
        </w:rPr>
      </w:pPr>
      <w:r>
        <w:rPr>
          <w:rFonts w:ascii="Calibri" w:hAnsi="Calibri" w:cs="Calibri"/>
          <w:b/>
          <w:bCs/>
          <w:color w:val="auto"/>
          <w:sz w:val="22"/>
          <w:lang w:val="en-US"/>
        </w:rPr>
        <w:t>Transferable Securities</w:t>
      </w:r>
      <w:r w:rsidR="006371CE">
        <w:rPr>
          <w:rFonts w:ascii="Calibri" w:hAnsi="Calibri" w:cs="Calibri"/>
          <w:b/>
          <w:bCs/>
          <w:color w:val="auto"/>
          <w:sz w:val="22"/>
          <w:lang w:val="en-US"/>
        </w:rPr>
        <w:t xml:space="preserve"> that are</w:t>
      </w:r>
      <w:r>
        <w:rPr>
          <w:rFonts w:ascii="Calibri" w:hAnsi="Calibri" w:cs="Calibri"/>
          <w:b/>
          <w:bCs/>
          <w:color w:val="auto"/>
          <w:sz w:val="22"/>
          <w:lang w:val="en-US"/>
        </w:rPr>
        <w:t xml:space="preserve"> </w:t>
      </w:r>
      <w:r w:rsidR="006371CE">
        <w:rPr>
          <w:rFonts w:ascii="Calibri" w:hAnsi="Calibri" w:cs="Calibri"/>
          <w:b/>
          <w:bCs/>
          <w:color w:val="auto"/>
          <w:sz w:val="22"/>
          <w:lang w:val="en-US"/>
        </w:rPr>
        <w:t>u</w:t>
      </w:r>
      <w:r w:rsidR="00555305">
        <w:rPr>
          <w:rFonts w:ascii="Calibri" w:hAnsi="Calibri" w:cs="Calibri"/>
          <w:b/>
          <w:bCs/>
          <w:color w:val="auto"/>
          <w:sz w:val="22"/>
          <w:lang w:val="en-US"/>
        </w:rPr>
        <w:t>nrated or non</w:t>
      </w:r>
      <w:r w:rsidR="00A663BD">
        <w:rPr>
          <w:rFonts w:ascii="Calibri" w:hAnsi="Calibri" w:cs="Calibri"/>
          <w:b/>
          <w:bCs/>
          <w:color w:val="auto"/>
          <w:sz w:val="22"/>
          <w:lang w:val="en-US"/>
        </w:rPr>
        <w:t>-IG Corporate Debt</w:t>
      </w:r>
      <w:r w:rsidR="002A28A3">
        <w:rPr>
          <w:rFonts w:ascii="Calibri" w:hAnsi="Calibri" w:cs="Calibri"/>
          <w:color w:val="auto"/>
          <w:sz w:val="22"/>
          <w:lang w:val="en-US"/>
        </w:rPr>
        <w:t>:</w:t>
      </w:r>
      <w:r w:rsidR="00A663BD">
        <w:rPr>
          <w:rFonts w:ascii="Calibri" w:hAnsi="Calibri" w:cs="Calibri"/>
          <w:b/>
          <w:bCs/>
          <w:color w:val="auto"/>
          <w:sz w:val="22"/>
          <w:lang w:val="en-US"/>
        </w:rPr>
        <w:t xml:space="preserve"> </w:t>
      </w:r>
      <w:r w:rsidR="00A663BD">
        <w:rPr>
          <w:rFonts w:ascii="Calibri" w:hAnsi="Calibri" w:cs="Calibri"/>
          <w:color w:val="auto"/>
          <w:sz w:val="22"/>
          <w:lang w:val="en-US"/>
        </w:rPr>
        <w:t xml:space="preserve">The </w:t>
      </w:r>
      <w:r w:rsidR="00A663BD" w:rsidRPr="00045FA1">
        <w:rPr>
          <w:rFonts w:ascii="Calibri" w:hAnsi="Calibri" w:cs="Calibri"/>
          <w:color w:val="auto"/>
          <w:sz w:val="22"/>
          <w:u w:val="single"/>
          <w:lang w:val="en-US"/>
        </w:rPr>
        <w:t>single entity limit is revised downwards to 5%</w:t>
      </w:r>
      <w:r w:rsidR="000F33C6" w:rsidRPr="00045FA1">
        <w:rPr>
          <w:rFonts w:ascii="Calibri" w:hAnsi="Calibri" w:cs="Calibri"/>
          <w:color w:val="auto"/>
          <w:sz w:val="22"/>
          <w:u w:val="single"/>
          <w:lang w:val="en-US"/>
        </w:rPr>
        <w:t>.</w:t>
      </w:r>
    </w:p>
    <w:p w14:paraId="6BB53A8A" w14:textId="42227BF2" w:rsidR="002A28A3" w:rsidRPr="002A28A3" w:rsidRDefault="005B435B" w:rsidP="002A28A3">
      <w:pPr>
        <w:pStyle w:val="BodyText"/>
        <w:numPr>
          <w:ilvl w:val="1"/>
          <w:numId w:val="104"/>
        </w:numPr>
        <w:jc w:val="both"/>
        <w:rPr>
          <w:rFonts w:ascii="Calibri" w:hAnsi="Calibri" w:cs="Calibri"/>
          <w:b/>
          <w:bCs/>
          <w:color w:val="auto"/>
          <w:sz w:val="22"/>
          <w:lang w:val="en-US"/>
        </w:rPr>
      </w:pPr>
      <w:r>
        <w:rPr>
          <w:rFonts w:ascii="Calibri" w:hAnsi="Calibri" w:cs="Calibri"/>
          <w:b/>
          <w:bCs/>
          <w:color w:val="auto"/>
          <w:sz w:val="22"/>
          <w:lang w:val="en-US"/>
        </w:rPr>
        <w:t>Investments in other schemes</w:t>
      </w:r>
      <w:r w:rsidR="002A28A3">
        <w:rPr>
          <w:rFonts w:ascii="Calibri" w:hAnsi="Calibri" w:cs="Calibri"/>
          <w:color w:val="auto"/>
          <w:sz w:val="22"/>
          <w:lang w:val="en-US"/>
        </w:rPr>
        <w:t>:</w:t>
      </w:r>
      <w:r>
        <w:rPr>
          <w:rFonts w:ascii="Calibri" w:hAnsi="Calibri" w:cs="Calibri"/>
          <w:b/>
          <w:bCs/>
          <w:color w:val="auto"/>
          <w:sz w:val="22"/>
          <w:lang w:val="en-US"/>
        </w:rPr>
        <w:t xml:space="preserve"> </w:t>
      </w:r>
      <w:r>
        <w:rPr>
          <w:rFonts w:ascii="Calibri" w:hAnsi="Calibri" w:cs="Calibri"/>
          <w:color w:val="auto"/>
          <w:sz w:val="22"/>
          <w:lang w:val="en-US"/>
        </w:rPr>
        <w:t xml:space="preserve">A scheme </w:t>
      </w:r>
      <w:r w:rsidRPr="00045FA1">
        <w:rPr>
          <w:rFonts w:ascii="Calibri" w:hAnsi="Calibri" w:cs="Calibri"/>
          <w:color w:val="auto"/>
          <w:sz w:val="22"/>
          <w:u w:val="single"/>
          <w:lang w:val="en-US"/>
        </w:rPr>
        <w:t xml:space="preserve">may invest </w:t>
      </w:r>
      <w:r w:rsidR="00045FA1" w:rsidRPr="00045FA1">
        <w:rPr>
          <w:rFonts w:ascii="Calibri" w:hAnsi="Calibri" w:cs="Calibri"/>
          <w:color w:val="auto"/>
          <w:sz w:val="22"/>
          <w:u w:val="single"/>
          <w:lang w:val="en-US"/>
        </w:rPr>
        <w:t xml:space="preserve">100% of its NAV into another scheme </w:t>
      </w:r>
      <w:r w:rsidR="00045FA1">
        <w:rPr>
          <w:rFonts w:ascii="Calibri" w:hAnsi="Calibri" w:cs="Calibri"/>
          <w:color w:val="auto"/>
          <w:sz w:val="22"/>
          <w:lang w:val="en-US"/>
        </w:rPr>
        <w:t>assuming the underlying scheme is</w:t>
      </w:r>
      <w:r w:rsidR="002A28A3">
        <w:rPr>
          <w:rFonts w:ascii="Calibri" w:hAnsi="Calibri" w:cs="Calibri"/>
          <w:color w:val="auto"/>
          <w:sz w:val="22"/>
          <w:lang w:val="en-US"/>
        </w:rPr>
        <w:t xml:space="preserve"> –</w:t>
      </w:r>
    </w:p>
    <w:p w14:paraId="4BFE56A9" w14:textId="77777777" w:rsidR="00045FA1" w:rsidRDefault="00045FA1" w:rsidP="009F73BE">
      <w:pPr>
        <w:pStyle w:val="BodyText"/>
        <w:numPr>
          <w:ilvl w:val="2"/>
          <w:numId w:val="104"/>
        </w:numPr>
        <w:jc w:val="both"/>
        <w:rPr>
          <w:rFonts w:ascii="Calibri" w:hAnsi="Calibri" w:cs="Calibri"/>
          <w:color w:val="auto"/>
          <w:sz w:val="22"/>
          <w:lang w:val="en-US"/>
        </w:rPr>
      </w:pPr>
      <w:r>
        <w:rPr>
          <w:rFonts w:ascii="Calibri" w:hAnsi="Calibri" w:cs="Calibri"/>
          <w:color w:val="auto"/>
          <w:sz w:val="22"/>
          <w:lang w:val="en-US"/>
        </w:rPr>
        <w:t xml:space="preserve">(a) An </w:t>
      </w:r>
      <w:r w:rsidRPr="00267B68">
        <w:rPr>
          <w:rFonts w:ascii="Calibri" w:hAnsi="Calibri" w:cs="Calibri"/>
          <w:color w:val="auto"/>
          <w:sz w:val="22"/>
          <w:u w:val="single"/>
          <w:lang w:val="en-US"/>
        </w:rPr>
        <w:t xml:space="preserve">authorized or recognized scheme, excluding HFs and </w:t>
      </w:r>
      <w:proofErr w:type="spellStart"/>
      <w:r w:rsidRPr="00267B68">
        <w:rPr>
          <w:rFonts w:ascii="Calibri" w:hAnsi="Calibri" w:cs="Calibri"/>
          <w:color w:val="auto"/>
          <w:sz w:val="22"/>
          <w:u w:val="single"/>
          <w:lang w:val="en-US"/>
        </w:rPr>
        <w:t>FoHFs</w:t>
      </w:r>
      <w:proofErr w:type="spellEnd"/>
      <w:r w:rsidRPr="005F6635">
        <w:rPr>
          <w:rFonts w:ascii="Calibri" w:hAnsi="Calibri" w:cs="Calibri"/>
          <w:color w:val="auto"/>
          <w:sz w:val="22"/>
          <w:lang w:val="en-US"/>
        </w:rPr>
        <w:t>; or</w:t>
      </w:r>
    </w:p>
    <w:p w14:paraId="774F5DAB" w14:textId="77777777" w:rsidR="00045FA1" w:rsidRPr="0055572F" w:rsidRDefault="00045FA1" w:rsidP="009F73BE">
      <w:pPr>
        <w:pStyle w:val="BodyText"/>
        <w:numPr>
          <w:ilvl w:val="2"/>
          <w:numId w:val="104"/>
        </w:numPr>
        <w:jc w:val="both"/>
        <w:rPr>
          <w:rFonts w:ascii="Calibri" w:hAnsi="Calibri" w:cs="Calibri"/>
          <w:color w:val="auto"/>
          <w:sz w:val="22"/>
          <w:lang w:val="en-US"/>
        </w:rPr>
      </w:pPr>
      <w:r>
        <w:rPr>
          <w:rFonts w:ascii="Calibri" w:hAnsi="Calibri" w:cs="Calibri"/>
          <w:color w:val="auto"/>
          <w:sz w:val="22"/>
          <w:lang w:val="en-US"/>
        </w:rPr>
        <w:t xml:space="preserve">(b) Constituted and regulated in a jurisdiction that affords </w:t>
      </w:r>
      <w:r w:rsidRPr="00267B68">
        <w:rPr>
          <w:rFonts w:ascii="Calibri" w:hAnsi="Calibri" w:cs="Calibri"/>
          <w:color w:val="auto"/>
          <w:sz w:val="22"/>
          <w:u w:val="single"/>
          <w:lang w:val="en-US"/>
        </w:rPr>
        <w:t>protection equivalent to those constituted in Singapore</w:t>
      </w:r>
      <w:r>
        <w:rPr>
          <w:rFonts w:ascii="Calibri" w:hAnsi="Calibri" w:cs="Calibri"/>
          <w:color w:val="auto"/>
          <w:sz w:val="22"/>
          <w:lang w:val="en-US"/>
        </w:rPr>
        <w:t xml:space="preserve"> and </w:t>
      </w:r>
      <w:r>
        <w:rPr>
          <w:rFonts w:ascii="Calibri" w:hAnsi="Calibri" w:cs="Calibri"/>
          <w:color w:val="auto"/>
          <w:sz w:val="22"/>
          <w:u w:val="single"/>
          <w:lang w:val="en-US"/>
        </w:rPr>
        <w:t>c</w:t>
      </w:r>
      <w:r w:rsidRPr="0055572F">
        <w:rPr>
          <w:rFonts w:ascii="Calibri" w:hAnsi="Calibri" w:cs="Calibri"/>
          <w:color w:val="auto"/>
          <w:sz w:val="22"/>
          <w:u w:val="single"/>
          <w:lang w:val="en-US"/>
        </w:rPr>
        <w:t>omply with core investment guidelines and borrowing limits</w:t>
      </w:r>
      <w:r w:rsidRPr="005F6635">
        <w:rPr>
          <w:rFonts w:ascii="Calibri" w:hAnsi="Calibri" w:cs="Calibri"/>
          <w:color w:val="auto"/>
          <w:sz w:val="22"/>
          <w:lang w:val="en-US"/>
        </w:rPr>
        <w:t>; or</w:t>
      </w:r>
    </w:p>
    <w:p w14:paraId="36A3FBC4" w14:textId="7D4807A0" w:rsidR="00045FA1" w:rsidRDefault="00045FA1" w:rsidP="00045FA1">
      <w:pPr>
        <w:pStyle w:val="BodyText"/>
        <w:ind w:left="720"/>
        <w:jc w:val="both"/>
        <w:rPr>
          <w:rFonts w:ascii="Calibri" w:hAnsi="Calibri" w:cs="Calibri"/>
          <w:color w:val="auto"/>
          <w:sz w:val="22"/>
          <w:lang w:val="en-US"/>
        </w:rPr>
      </w:pPr>
      <w:r>
        <w:rPr>
          <w:rFonts w:ascii="Calibri" w:hAnsi="Calibri" w:cs="Calibri"/>
          <w:color w:val="auto"/>
          <w:sz w:val="22"/>
          <w:lang w:val="en-US"/>
        </w:rPr>
        <w:t xml:space="preserve">However, if the underlying scheme is invested into (c) </w:t>
      </w:r>
      <w:r w:rsidRPr="000A0786">
        <w:rPr>
          <w:rFonts w:ascii="Calibri" w:hAnsi="Calibri" w:cs="Calibri"/>
          <w:color w:val="auto"/>
          <w:sz w:val="22"/>
          <w:u w:val="single"/>
          <w:lang w:val="en-US"/>
        </w:rPr>
        <w:t>transferable securities, commodities and real estate</w:t>
      </w:r>
      <w:r>
        <w:rPr>
          <w:rFonts w:ascii="Calibri" w:hAnsi="Calibri" w:cs="Calibri"/>
          <w:color w:val="auto"/>
          <w:sz w:val="22"/>
          <w:lang w:val="en-US"/>
        </w:rPr>
        <w:t xml:space="preserve"> that are </w:t>
      </w:r>
      <w:r w:rsidRPr="000A0786">
        <w:rPr>
          <w:rFonts w:ascii="Calibri" w:hAnsi="Calibri" w:cs="Calibri"/>
          <w:color w:val="auto"/>
          <w:sz w:val="22"/>
          <w:u w:val="single"/>
          <w:lang w:val="en-US"/>
        </w:rPr>
        <w:t>listed for quotation</w:t>
      </w:r>
      <w:r>
        <w:rPr>
          <w:rFonts w:ascii="Calibri" w:hAnsi="Calibri" w:cs="Calibri"/>
          <w:color w:val="auto"/>
          <w:sz w:val="22"/>
          <w:lang w:val="en-US"/>
        </w:rPr>
        <w:t xml:space="preserve">, then </w:t>
      </w:r>
      <w:r w:rsidR="004C05F1">
        <w:rPr>
          <w:rFonts w:ascii="Calibri" w:hAnsi="Calibri" w:cs="Calibri"/>
          <w:color w:val="auto"/>
          <w:sz w:val="22"/>
          <w:lang w:val="en-US"/>
        </w:rPr>
        <w:t xml:space="preserve">the </w:t>
      </w:r>
      <w:r w:rsidR="004C05F1" w:rsidRPr="0038625E">
        <w:rPr>
          <w:rFonts w:ascii="Calibri" w:hAnsi="Calibri" w:cs="Calibri"/>
          <w:color w:val="auto"/>
          <w:sz w:val="22"/>
          <w:u w:val="single"/>
          <w:lang w:val="en-US"/>
        </w:rPr>
        <w:t>single entity limit of 10% would apply</w:t>
      </w:r>
      <w:r w:rsidR="004C05F1">
        <w:rPr>
          <w:rFonts w:ascii="Calibri" w:hAnsi="Calibri" w:cs="Calibri"/>
          <w:color w:val="auto"/>
          <w:sz w:val="22"/>
          <w:lang w:val="en-US"/>
        </w:rPr>
        <w:t>.</w:t>
      </w:r>
    </w:p>
    <w:p w14:paraId="3C3DA42D" w14:textId="70B78C47" w:rsidR="00A25286" w:rsidRPr="00045FA1" w:rsidRDefault="00485292" w:rsidP="009F73BE">
      <w:pPr>
        <w:pStyle w:val="BodyText"/>
        <w:numPr>
          <w:ilvl w:val="1"/>
          <w:numId w:val="111"/>
        </w:numPr>
        <w:jc w:val="both"/>
        <w:rPr>
          <w:rFonts w:ascii="Calibri" w:hAnsi="Calibri" w:cs="Calibri"/>
          <w:color w:val="auto"/>
          <w:sz w:val="22"/>
          <w:lang w:val="en-US"/>
        </w:rPr>
      </w:pPr>
      <w:r w:rsidRPr="00951FE8">
        <w:rPr>
          <w:rFonts w:ascii="Calibri" w:hAnsi="Calibri" w:cs="Calibri"/>
          <w:b/>
          <w:bCs/>
          <w:color w:val="auto"/>
          <w:sz w:val="22"/>
          <w:lang w:val="en-US"/>
        </w:rPr>
        <w:t>Alternatives</w:t>
      </w:r>
      <w:r w:rsidR="002A28A3">
        <w:rPr>
          <w:rFonts w:ascii="Calibri" w:hAnsi="Calibri" w:cs="Calibri"/>
          <w:color w:val="auto"/>
          <w:sz w:val="22"/>
          <w:lang w:val="en-US"/>
        </w:rPr>
        <w:t>:</w:t>
      </w:r>
      <w:r>
        <w:rPr>
          <w:rFonts w:ascii="Calibri" w:hAnsi="Calibri" w:cs="Calibri"/>
          <w:color w:val="auto"/>
          <w:sz w:val="22"/>
          <w:lang w:val="en-US"/>
        </w:rPr>
        <w:t xml:space="preserve"> For </w:t>
      </w:r>
      <w:r w:rsidR="00914746">
        <w:rPr>
          <w:rFonts w:ascii="Calibri" w:hAnsi="Calibri" w:cs="Calibri"/>
          <w:color w:val="auto"/>
          <w:sz w:val="22"/>
          <w:lang w:val="en-US"/>
        </w:rPr>
        <w:t>unlisted securities, commodities</w:t>
      </w:r>
      <w:r w:rsidR="0038625E">
        <w:rPr>
          <w:rFonts w:ascii="Calibri" w:hAnsi="Calibri" w:cs="Calibri"/>
          <w:color w:val="auto"/>
          <w:sz w:val="22"/>
          <w:lang w:val="en-US"/>
        </w:rPr>
        <w:t xml:space="preserve"> etc., the </w:t>
      </w:r>
      <w:r w:rsidR="0038625E" w:rsidRPr="0038625E">
        <w:rPr>
          <w:rFonts w:ascii="Calibri" w:hAnsi="Calibri" w:cs="Calibri"/>
          <w:color w:val="auto"/>
          <w:sz w:val="22"/>
          <w:u w:val="single"/>
          <w:lang w:val="en-US"/>
        </w:rPr>
        <w:t>single entity limit of 10% would apply</w:t>
      </w:r>
      <w:r w:rsidR="0038625E">
        <w:rPr>
          <w:rFonts w:ascii="Calibri" w:hAnsi="Calibri" w:cs="Calibri"/>
          <w:color w:val="auto"/>
          <w:sz w:val="22"/>
          <w:lang w:val="en-US"/>
        </w:rPr>
        <w:t xml:space="preserve">. </w:t>
      </w:r>
      <w:r>
        <w:rPr>
          <w:rFonts w:ascii="Calibri" w:hAnsi="Calibri" w:cs="Calibri"/>
          <w:color w:val="auto"/>
          <w:sz w:val="22"/>
          <w:lang w:val="en-US"/>
        </w:rPr>
        <w:t xml:space="preserve"> </w:t>
      </w:r>
    </w:p>
    <w:p w14:paraId="491C07F7" w14:textId="62FB60C0" w:rsidR="00543416" w:rsidRPr="00B51190" w:rsidRDefault="00543416" w:rsidP="009F73BE">
      <w:pPr>
        <w:pStyle w:val="BodyText"/>
        <w:numPr>
          <w:ilvl w:val="0"/>
          <w:numId w:val="111"/>
        </w:numPr>
        <w:jc w:val="both"/>
        <w:rPr>
          <w:rFonts w:ascii="Calibri" w:hAnsi="Calibri" w:cs="Calibri"/>
          <w:b/>
          <w:bCs/>
          <w:color w:val="auto"/>
          <w:sz w:val="22"/>
          <w:lang w:val="en-US"/>
        </w:rPr>
      </w:pPr>
      <w:r>
        <w:rPr>
          <w:rFonts w:ascii="Calibri" w:hAnsi="Calibri" w:cs="Calibri"/>
          <w:b/>
          <w:bCs/>
          <w:color w:val="auto"/>
          <w:sz w:val="22"/>
          <w:lang w:val="en-US"/>
        </w:rPr>
        <w:t>Global Exposure</w:t>
      </w:r>
      <w:r>
        <w:rPr>
          <w:rFonts w:ascii="Calibri" w:hAnsi="Calibri" w:cs="Calibri"/>
          <w:color w:val="auto"/>
          <w:sz w:val="22"/>
          <w:lang w:val="en-US"/>
        </w:rPr>
        <w:t xml:space="preserve">: </w:t>
      </w:r>
      <w:r w:rsidRPr="00E6133F">
        <w:rPr>
          <w:rFonts w:ascii="Calibri" w:hAnsi="Calibri" w:cs="Calibri"/>
          <w:color w:val="auto"/>
          <w:sz w:val="22"/>
          <w:lang w:val="en-US"/>
        </w:rPr>
        <w:t xml:space="preserve">The manager should calculate the global exposure of a scheme based </w:t>
      </w:r>
      <w:r w:rsidR="00905283" w:rsidRPr="00E6133F">
        <w:rPr>
          <w:rFonts w:ascii="Calibri" w:hAnsi="Calibri" w:cs="Calibri"/>
          <w:color w:val="auto"/>
          <w:sz w:val="22"/>
          <w:lang w:val="en-US"/>
        </w:rPr>
        <w:t>on Commitment Approach or Value-at-Risk (</w:t>
      </w:r>
      <w:proofErr w:type="spellStart"/>
      <w:r w:rsidR="00905283" w:rsidRPr="00E6133F">
        <w:rPr>
          <w:rFonts w:ascii="Calibri" w:hAnsi="Calibri" w:cs="Calibri"/>
          <w:color w:val="auto"/>
          <w:sz w:val="22"/>
          <w:lang w:val="en-US"/>
        </w:rPr>
        <w:t>VaR</w:t>
      </w:r>
      <w:proofErr w:type="spellEnd"/>
      <w:r w:rsidR="0040119A" w:rsidRPr="00E6133F">
        <w:rPr>
          <w:rFonts w:ascii="Calibri" w:hAnsi="Calibri" w:cs="Calibri"/>
          <w:color w:val="auto"/>
          <w:sz w:val="22"/>
          <w:lang w:val="en-US"/>
        </w:rPr>
        <w:t xml:space="preserve">; upon </w:t>
      </w:r>
      <w:r w:rsidR="00F327D4">
        <w:rPr>
          <w:rFonts w:ascii="Calibri" w:hAnsi="Calibri" w:cs="Calibri"/>
          <w:color w:val="auto"/>
          <w:sz w:val="22"/>
          <w:lang w:val="en-US"/>
        </w:rPr>
        <w:t xml:space="preserve">consultant with </w:t>
      </w:r>
      <w:r w:rsidR="0040119A" w:rsidRPr="00E6133F">
        <w:rPr>
          <w:rFonts w:ascii="Calibri" w:hAnsi="Calibri" w:cs="Calibri"/>
          <w:color w:val="auto"/>
          <w:sz w:val="22"/>
          <w:lang w:val="en-US"/>
        </w:rPr>
        <w:t>MAS</w:t>
      </w:r>
      <w:r w:rsidR="00905283" w:rsidRPr="00E6133F">
        <w:rPr>
          <w:rFonts w:ascii="Calibri" w:hAnsi="Calibri" w:cs="Calibri"/>
          <w:color w:val="auto"/>
          <w:sz w:val="22"/>
          <w:lang w:val="en-US"/>
        </w:rPr>
        <w:t>)</w:t>
      </w:r>
      <w:r w:rsidRPr="00E6133F">
        <w:rPr>
          <w:rFonts w:ascii="Calibri" w:hAnsi="Calibri" w:cs="Calibri"/>
          <w:color w:val="auto"/>
          <w:sz w:val="22"/>
          <w:lang w:val="en-US"/>
        </w:rPr>
        <w:t>.</w:t>
      </w:r>
    </w:p>
    <w:p w14:paraId="05885728" w14:textId="4C8D67DE" w:rsidR="00B51190" w:rsidRPr="00B51190" w:rsidRDefault="00B51190" w:rsidP="009F73BE">
      <w:pPr>
        <w:pStyle w:val="BodyText"/>
        <w:numPr>
          <w:ilvl w:val="1"/>
          <w:numId w:val="111"/>
        </w:numPr>
        <w:jc w:val="both"/>
        <w:rPr>
          <w:rFonts w:ascii="Calibri" w:hAnsi="Calibri" w:cs="Calibri"/>
          <w:b/>
          <w:bCs/>
          <w:color w:val="auto"/>
          <w:sz w:val="22"/>
          <w:lang w:val="en-US"/>
        </w:rPr>
      </w:pPr>
      <w:r w:rsidRPr="00B51190">
        <w:rPr>
          <w:rFonts w:ascii="Calibri" w:hAnsi="Calibri" w:cs="Calibri"/>
          <w:b/>
          <w:bCs/>
          <w:color w:val="auto"/>
          <w:sz w:val="22"/>
          <w:lang w:val="en-US"/>
        </w:rPr>
        <w:t>Commitment Approach</w:t>
      </w:r>
      <w:r w:rsidR="002A28A3" w:rsidRPr="002A28A3">
        <w:rPr>
          <w:rFonts w:ascii="Calibri" w:hAnsi="Calibri" w:cs="Calibri"/>
          <w:color w:val="auto"/>
          <w:sz w:val="22"/>
          <w:lang w:val="en-US"/>
        </w:rPr>
        <w:t>:</w:t>
      </w:r>
    </w:p>
    <w:p w14:paraId="248AAA11" w14:textId="2E86F9B7" w:rsidR="00113168" w:rsidRDefault="00113168" w:rsidP="009F73BE">
      <w:pPr>
        <w:pStyle w:val="BodyText"/>
        <w:numPr>
          <w:ilvl w:val="2"/>
          <w:numId w:val="111"/>
        </w:numPr>
        <w:jc w:val="both"/>
        <w:rPr>
          <w:rFonts w:ascii="Calibri" w:hAnsi="Calibri" w:cs="Calibri"/>
          <w:color w:val="auto"/>
          <w:sz w:val="22"/>
          <w:lang w:val="en-US"/>
        </w:rPr>
      </w:pPr>
      <w:r w:rsidRPr="00113168">
        <w:rPr>
          <w:rFonts w:ascii="Calibri" w:hAnsi="Calibri" w:cs="Calibri"/>
          <w:color w:val="auto"/>
          <w:sz w:val="22"/>
          <w:lang w:val="en-US"/>
        </w:rPr>
        <w:t xml:space="preserve">The </w:t>
      </w:r>
      <w:r w:rsidRPr="00F327D4">
        <w:rPr>
          <w:rFonts w:ascii="Calibri" w:hAnsi="Calibri" w:cs="Calibri"/>
          <w:color w:val="auto"/>
          <w:sz w:val="22"/>
          <w:u w:val="single"/>
          <w:lang w:val="en-US"/>
        </w:rPr>
        <w:t xml:space="preserve">exposure to financial derivatives </w:t>
      </w:r>
      <w:r w:rsidR="0032410D" w:rsidRPr="00F327D4">
        <w:rPr>
          <w:rFonts w:ascii="Calibri" w:hAnsi="Calibri" w:cs="Calibri"/>
          <w:color w:val="auto"/>
          <w:sz w:val="22"/>
          <w:u w:val="single"/>
          <w:lang w:val="en-US"/>
        </w:rPr>
        <w:t>should be converted into the base currency of the scheme at the spot rate</w:t>
      </w:r>
      <w:r w:rsidR="0032410D">
        <w:rPr>
          <w:rFonts w:ascii="Calibri" w:hAnsi="Calibri" w:cs="Calibri"/>
          <w:color w:val="auto"/>
          <w:sz w:val="22"/>
          <w:lang w:val="en-US"/>
        </w:rPr>
        <w:t>.</w:t>
      </w:r>
      <w:r w:rsidR="0077496C">
        <w:rPr>
          <w:rFonts w:ascii="Calibri" w:hAnsi="Calibri" w:cs="Calibri"/>
          <w:color w:val="auto"/>
          <w:sz w:val="22"/>
          <w:lang w:val="en-US"/>
        </w:rPr>
        <w:t xml:space="preserve"> </w:t>
      </w:r>
      <w:r w:rsidR="00746286">
        <w:rPr>
          <w:rFonts w:ascii="Calibri" w:hAnsi="Calibri" w:cs="Calibri"/>
          <w:color w:val="auto"/>
          <w:sz w:val="22"/>
          <w:lang w:val="en-US"/>
        </w:rPr>
        <w:t xml:space="preserve">The generic formula </w:t>
      </w:r>
      <w:r w:rsidR="00F327D4">
        <w:rPr>
          <w:rFonts w:ascii="Calibri" w:hAnsi="Calibri" w:cs="Calibri"/>
          <w:color w:val="auto"/>
          <w:sz w:val="22"/>
          <w:lang w:val="en-US"/>
        </w:rPr>
        <w:t xml:space="preserve">(for option) </w:t>
      </w:r>
      <w:r w:rsidR="00746286">
        <w:rPr>
          <w:rFonts w:ascii="Calibri" w:hAnsi="Calibri" w:cs="Calibri"/>
          <w:color w:val="auto"/>
          <w:sz w:val="22"/>
          <w:lang w:val="en-US"/>
        </w:rPr>
        <w:t xml:space="preserve">is given by no. of contracts * notional value * </w:t>
      </w:r>
      <w:r w:rsidR="00136AC0">
        <w:rPr>
          <w:rFonts w:ascii="Calibri" w:hAnsi="Calibri" w:cs="Calibri"/>
          <w:color w:val="auto"/>
          <w:sz w:val="22"/>
          <w:lang w:val="en-US"/>
        </w:rPr>
        <w:t>underlying price * delta</w:t>
      </w:r>
    </w:p>
    <w:p w14:paraId="5271E684" w14:textId="482C2812" w:rsidR="008179FE" w:rsidRDefault="00CB7D07" w:rsidP="009F73BE">
      <w:pPr>
        <w:pStyle w:val="BodyText"/>
        <w:numPr>
          <w:ilvl w:val="2"/>
          <w:numId w:val="111"/>
        </w:numPr>
        <w:jc w:val="both"/>
        <w:rPr>
          <w:rFonts w:ascii="Calibri" w:hAnsi="Calibri" w:cs="Calibri"/>
          <w:color w:val="auto"/>
          <w:sz w:val="22"/>
          <w:lang w:val="en-US"/>
        </w:rPr>
      </w:pPr>
      <w:r>
        <w:rPr>
          <w:rFonts w:ascii="Calibri" w:hAnsi="Calibri" w:cs="Calibri"/>
          <w:color w:val="auto"/>
          <w:sz w:val="22"/>
          <w:lang w:val="en-US"/>
        </w:rPr>
        <w:t>For OTC financial derivatives</w:t>
      </w:r>
      <w:r w:rsidR="00981F3D">
        <w:rPr>
          <w:rFonts w:ascii="Calibri" w:hAnsi="Calibri" w:cs="Calibri"/>
          <w:color w:val="auto"/>
          <w:sz w:val="22"/>
          <w:lang w:val="en-US"/>
        </w:rPr>
        <w:t>, i</w:t>
      </w:r>
      <w:r w:rsidR="0060564B">
        <w:rPr>
          <w:rFonts w:ascii="Calibri" w:hAnsi="Calibri" w:cs="Calibri"/>
          <w:color w:val="auto"/>
          <w:sz w:val="22"/>
          <w:lang w:val="en-US"/>
        </w:rPr>
        <w:t xml:space="preserve">t is also </w:t>
      </w:r>
      <w:r w:rsidR="003F244C">
        <w:rPr>
          <w:rFonts w:ascii="Calibri" w:hAnsi="Calibri" w:cs="Calibri"/>
          <w:color w:val="auto"/>
          <w:sz w:val="22"/>
          <w:lang w:val="en-US"/>
        </w:rPr>
        <w:t xml:space="preserve">important to </w:t>
      </w:r>
      <w:r w:rsidR="003F244C" w:rsidRPr="00080B9A">
        <w:rPr>
          <w:rFonts w:ascii="Calibri" w:hAnsi="Calibri" w:cs="Calibri"/>
          <w:color w:val="auto"/>
          <w:sz w:val="22"/>
          <w:u w:val="single"/>
          <w:lang w:val="en-US"/>
        </w:rPr>
        <w:t xml:space="preserve">calculate the exposure to financial derivatives </w:t>
      </w:r>
      <w:r w:rsidR="00803D03" w:rsidRPr="00080B9A">
        <w:rPr>
          <w:rFonts w:ascii="Calibri" w:hAnsi="Calibri" w:cs="Calibri"/>
          <w:color w:val="auto"/>
          <w:sz w:val="22"/>
          <w:u w:val="single"/>
          <w:lang w:val="en-US"/>
        </w:rPr>
        <w:t xml:space="preserve">for </w:t>
      </w:r>
      <w:r w:rsidR="003F244C" w:rsidRPr="00080B9A">
        <w:rPr>
          <w:rFonts w:ascii="Calibri" w:hAnsi="Calibri" w:cs="Calibri"/>
          <w:color w:val="auto"/>
          <w:sz w:val="22"/>
          <w:u w:val="single"/>
          <w:lang w:val="en-US"/>
        </w:rPr>
        <w:t>counterpart</w:t>
      </w:r>
      <w:r w:rsidR="00803D03" w:rsidRPr="00080B9A">
        <w:rPr>
          <w:rFonts w:ascii="Calibri" w:hAnsi="Calibri" w:cs="Calibri"/>
          <w:color w:val="auto"/>
          <w:sz w:val="22"/>
          <w:u w:val="single"/>
          <w:lang w:val="en-US"/>
        </w:rPr>
        <w:t>ies</w:t>
      </w:r>
      <w:r w:rsidR="00803D03">
        <w:rPr>
          <w:rFonts w:ascii="Calibri" w:hAnsi="Calibri" w:cs="Calibri"/>
          <w:color w:val="auto"/>
          <w:sz w:val="22"/>
          <w:lang w:val="en-US"/>
        </w:rPr>
        <w:t>, since they could default</w:t>
      </w:r>
      <w:r w:rsidR="000F722A">
        <w:rPr>
          <w:rFonts w:ascii="Calibri" w:hAnsi="Calibri" w:cs="Calibri"/>
          <w:color w:val="auto"/>
          <w:sz w:val="22"/>
          <w:lang w:val="en-US"/>
        </w:rPr>
        <w:t xml:space="preserve"> on their obligation</w:t>
      </w:r>
      <w:r w:rsidR="00080B9A">
        <w:rPr>
          <w:rFonts w:ascii="Calibri" w:hAnsi="Calibri" w:cs="Calibri"/>
          <w:color w:val="auto"/>
          <w:sz w:val="22"/>
          <w:lang w:val="en-US"/>
        </w:rPr>
        <w:t>s</w:t>
      </w:r>
      <w:r w:rsidR="000F722A">
        <w:rPr>
          <w:rFonts w:ascii="Calibri" w:hAnsi="Calibri" w:cs="Calibri"/>
          <w:color w:val="auto"/>
          <w:sz w:val="22"/>
          <w:lang w:val="en-US"/>
        </w:rPr>
        <w:t xml:space="preserve">. </w:t>
      </w:r>
      <w:r w:rsidR="000F722A" w:rsidRPr="00080B9A">
        <w:rPr>
          <w:rFonts w:ascii="Calibri" w:hAnsi="Calibri" w:cs="Calibri"/>
          <w:color w:val="auto"/>
          <w:sz w:val="22"/>
          <w:u w:val="single"/>
          <w:lang w:val="en-US"/>
        </w:rPr>
        <w:t>Collaterals can be used to offset the exposure</w:t>
      </w:r>
      <w:r w:rsidR="00D31132">
        <w:rPr>
          <w:rFonts w:ascii="Calibri" w:hAnsi="Calibri" w:cs="Calibri"/>
          <w:color w:val="auto"/>
          <w:sz w:val="22"/>
          <w:lang w:val="en-US"/>
        </w:rPr>
        <w:t xml:space="preserve">, </w:t>
      </w:r>
      <w:r w:rsidR="005C1AA7">
        <w:rPr>
          <w:rFonts w:ascii="Calibri" w:hAnsi="Calibri" w:cs="Calibri"/>
          <w:color w:val="auto"/>
          <w:sz w:val="22"/>
          <w:lang w:val="en-US"/>
        </w:rPr>
        <w:t>provided</w:t>
      </w:r>
      <w:r w:rsidR="00D31132">
        <w:rPr>
          <w:rFonts w:ascii="Calibri" w:hAnsi="Calibri" w:cs="Calibri"/>
          <w:color w:val="auto"/>
          <w:sz w:val="22"/>
          <w:lang w:val="en-US"/>
        </w:rPr>
        <w:t xml:space="preserve"> they are </w:t>
      </w:r>
      <w:r w:rsidR="00D31132" w:rsidRPr="00080B9A">
        <w:rPr>
          <w:rFonts w:ascii="Calibri" w:hAnsi="Calibri" w:cs="Calibri"/>
          <w:color w:val="auto"/>
          <w:sz w:val="22"/>
          <w:u w:val="single"/>
          <w:lang w:val="en-US"/>
        </w:rPr>
        <w:t>liquid</w:t>
      </w:r>
      <w:r w:rsidR="00D31132">
        <w:rPr>
          <w:rFonts w:ascii="Calibri" w:hAnsi="Calibri" w:cs="Calibri"/>
          <w:color w:val="auto"/>
          <w:sz w:val="22"/>
          <w:lang w:val="en-US"/>
        </w:rPr>
        <w:t xml:space="preserve"> (i.e., cash or </w:t>
      </w:r>
      <w:r w:rsidR="005067FB">
        <w:rPr>
          <w:rFonts w:ascii="Calibri" w:hAnsi="Calibri" w:cs="Calibri"/>
          <w:color w:val="auto"/>
          <w:sz w:val="22"/>
          <w:lang w:val="en-US"/>
        </w:rPr>
        <w:t>highest credit</w:t>
      </w:r>
      <w:r w:rsidR="00E50D3E">
        <w:rPr>
          <w:rFonts w:ascii="Calibri" w:hAnsi="Calibri" w:cs="Calibri"/>
          <w:color w:val="auto"/>
          <w:sz w:val="22"/>
          <w:lang w:val="en-US"/>
        </w:rPr>
        <w:t xml:space="preserve"> quality</w:t>
      </w:r>
      <w:r w:rsidR="005067FB">
        <w:rPr>
          <w:rFonts w:ascii="Calibri" w:hAnsi="Calibri" w:cs="Calibri"/>
          <w:color w:val="auto"/>
          <w:sz w:val="22"/>
          <w:lang w:val="en-US"/>
        </w:rPr>
        <w:t xml:space="preserve"> </w:t>
      </w:r>
      <w:r w:rsidR="00B20430">
        <w:rPr>
          <w:rFonts w:ascii="Calibri" w:hAnsi="Calibri" w:cs="Calibri"/>
          <w:color w:val="auto"/>
          <w:sz w:val="22"/>
          <w:lang w:val="en-US"/>
        </w:rPr>
        <w:t xml:space="preserve">AAA </w:t>
      </w:r>
      <w:r w:rsidR="00D31132">
        <w:rPr>
          <w:rFonts w:ascii="Calibri" w:hAnsi="Calibri" w:cs="Calibri"/>
          <w:color w:val="auto"/>
          <w:sz w:val="22"/>
          <w:lang w:val="en-US"/>
        </w:rPr>
        <w:t xml:space="preserve">government-back securities), </w:t>
      </w:r>
      <w:r w:rsidR="00D31132" w:rsidRPr="00080B9A">
        <w:rPr>
          <w:rFonts w:ascii="Calibri" w:hAnsi="Calibri" w:cs="Calibri"/>
          <w:color w:val="auto"/>
          <w:sz w:val="22"/>
          <w:u w:val="single"/>
          <w:lang w:val="en-US"/>
        </w:rPr>
        <w:t>marked</w:t>
      </w:r>
      <w:r w:rsidR="00981F3D" w:rsidRPr="00080B9A">
        <w:rPr>
          <w:rFonts w:ascii="Calibri" w:hAnsi="Calibri" w:cs="Calibri"/>
          <w:color w:val="auto"/>
          <w:sz w:val="22"/>
          <w:u w:val="single"/>
          <w:lang w:val="en-US"/>
        </w:rPr>
        <w:t>-</w:t>
      </w:r>
      <w:r w:rsidR="00D31132" w:rsidRPr="00080B9A">
        <w:rPr>
          <w:rFonts w:ascii="Calibri" w:hAnsi="Calibri" w:cs="Calibri"/>
          <w:color w:val="auto"/>
          <w:sz w:val="22"/>
          <w:u w:val="single"/>
          <w:lang w:val="en-US"/>
        </w:rPr>
        <w:t>to</w:t>
      </w:r>
      <w:r w:rsidR="00981F3D" w:rsidRPr="00080B9A">
        <w:rPr>
          <w:rFonts w:ascii="Calibri" w:hAnsi="Calibri" w:cs="Calibri"/>
          <w:color w:val="auto"/>
          <w:sz w:val="22"/>
          <w:u w:val="single"/>
          <w:lang w:val="en-US"/>
        </w:rPr>
        <w:t>-</w:t>
      </w:r>
      <w:r w:rsidR="00D31132" w:rsidRPr="00080B9A">
        <w:rPr>
          <w:rFonts w:ascii="Calibri" w:hAnsi="Calibri" w:cs="Calibri"/>
          <w:color w:val="auto"/>
          <w:sz w:val="22"/>
          <w:u w:val="single"/>
          <w:lang w:val="en-US"/>
        </w:rPr>
        <w:t>market</w:t>
      </w:r>
      <w:r w:rsidR="00981F3D" w:rsidRPr="00080B9A">
        <w:rPr>
          <w:rFonts w:ascii="Calibri" w:hAnsi="Calibri" w:cs="Calibri"/>
          <w:color w:val="auto"/>
          <w:sz w:val="22"/>
          <w:u w:val="single"/>
          <w:lang w:val="en-US"/>
        </w:rPr>
        <w:t xml:space="preserve"> daily</w:t>
      </w:r>
      <w:r w:rsidR="005749E6">
        <w:rPr>
          <w:rFonts w:ascii="Calibri" w:hAnsi="Calibri" w:cs="Calibri"/>
          <w:color w:val="auto"/>
          <w:sz w:val="22"/>
          <w:lang w:val="en-US"/>
        </w:rPr>
        <w:t xml:space="preserve">, </w:t>
      </w:r>
      <w:r w:rsidR="00D31132" w:rsidRPr="00080B9A">
        <w:rPr>
          <w:rFonts w:ascii="Calibri" w:hAnsi="Calibri" w:cs="Calibri"/>
          <w:color w:val="auto"/>
          <w:sz w:val="22"/>
          <w:u w:val="single"/>
          <w:lang w:val="en-US"/>
        </w:rPr>
        <w:t>not issued by the counterparty</w:t>
      </w:r>
      <w:r w:rsidR="005749E6">
        <w:rPr>
          <w:rFonts w:ascii="Calibri" w:hAnsi="Calibri" w:cs="Calibri"/>
          <w:color w:val="auto"/>
          <w:sz w:val="22"/>
          <w:lang w:val="en-US"/>
        </w:rPr>
        <w:t xml:space="preserve"> or its related entities, and </w:t>
      </w:r>
      <w:r w:rsidR="005749E6" w:rsidRPr="00080B9A">
        <w:rPr>
          <w:rFonts w:ascii="Calibri" w:hAnsi="Calibri" w:cs="Calibri"/>
          <w:color w:val="auto"/>
          <w:sz w:val="22"/>
          <w:u w:val="single"/>
          <w:lang w:val="en-US"/>
        </w:rPr>
        <w:t>must be held by a custodian</w:t>
      </w:r>
      <w:r w:rsidR="00D31132">
        <w:rPr>
          <w:rFonts w:ascii="Calibri" w:hAnsi="Calibri" w:cs="Calibri"/>
          <w:color w:val="auto"/>
          <w:sz w:val="22"/>
          <w:lang w:val="en-US"/>
        </w:rPr>
        <w:t>.</w:t>
      </w:r>
    </w:p>
    <w:p w14:paraId="02004E9E" w14:textId="67D69506" w:rsidR="00142AFA" w:rsidRPr="00142AFA" w:rsidRDefault="00142AFA" w:rsidP="009F73BE">
      <w:pPr>
        <w:pStyle w:val="BodyText"/>
        <w:numPr>
          <w:ilvl w:val="1"/>
          <w:numId w:val="111"/>
        </w:numPr>
        <w:jc w:val="both"/>
        <w:rPr>
          <w:rFonts w:ascii="Calibri" w:hAnsi="Calibri" w:cs="Calibri"/>
          <w:b/>
          <w:bCs/>
          <w:color w:val="auto"/>
          <w:sz w:val="22"/>
          <w:lang w:val="en-US"/>
        </w:rPr>
      </w:pPr>
      <w:proofErr w:type="spellStart"/>
      <w:r w:rsidRPr="00142AFA">
        <w:rPr>
          <w:rFonts w:ascii="Calibri" w:hAnsi="Calibri" w:cs="Calibri"/>
          <w:b/>
          <w:bCs/>
          <w:color w:val="auto"/>
          <w:sz w:val="22"/>
          <w:lang w:val="en-US"/>
        </w:rPr>
        <w:t>VaR</w:t>
      </w:r>
      <w:proofErr w:type="spellEnd"/>
      <w:r w:rsidRPr="00142AFA">
        <w:rPr>
          <w:rFonts w:ascii="Calibri" w:hAnsi="Calibri" w:cs="Calibri"/>
          <w:b/>
          <w:bCs/>
          <w:color w:val="auto"/>
          <w:sz w:val="22"/>
          <w:lang w:val="en-US"/>
        </w:rPr>
        <w:t xml:space="preserve"> Approach</w:t>
      </w:r>
      <w:r w:rsidR="002A28A3" w:rsidRPr="002A28A3">
        <w:rPr>
          <w:rFonts w:ascii="Calibri" w:hAnsi="Calibri" w:cs="Calibri"/>
          <w:color w:val="auto"/>
          <w:sz w:val="22"/>
          <w:lang w:val="en-US"/>
        </w:rPr>
        <w:t>:</w:t>
      </w:r>
    </w:p>
    <w:p w14:paraId="03001E04" w14:textId="50A6915B" w:rsidR="00142AFA" w:rsidRDefault="00EA2FEC" w:rsidP="009F73BE">
      <w:pPr>
        <w:pStyle w:val="BodyText"/>
        <w:numPr>
          <w:ilvl w:val="2"/>
          <w:numId w:val="111"/>
        </w:numPr>
        <w:jc w:val="both"/>
        <w:rPr>
          <w:rFonts w:ascii="Calibri" w:hAnsi="Calibri" w:cs="Calibri"/>
          <w:color w:val="auto"/>
          <w:sz w:val="22"/>
          <w:lang w:val="en-US"/>
        </w:rPr>
      </w:pPr>
      <w:r>
        <w:rPr>
          <w:rFonts w:ascii="Calibri" w:hAnsi="Calibri" w:cs="Calibri"/>
          <w:color w:val="auto"/>
          <w:sz w:val="22"/>
          <w:lang w:val="en-US"/>
        </w:rPr>
        <w:t xml:space="preserve">Where a </w:t>
      </w:r>
      <w:r w:rsidRPr="00515226">
        <w:rPr>
          <w:rFonts w:ascii="Calibri" w:hAnsi="Calibri" w:cs="Calibri"/>
          <w:color w:val="auto"/>
          <w:sz w:val="22"/>
          <w:u w:val="single"/>
          <w:lang w:val="en-US"/>
        </w:rPr>
        <w:t>reference portfolio</w:t>
      </w:r>
      <w:r>
        <w:rPr>
          <w:rFonts w:ascii="Calibri" w:hAnsi="Calibri" w:cs="Calibri"/>
          <w:color w:val="auto"/>
          <w:sz w:val="22"/>
          <w:lang w:val="en-US"/>
        </w:rPr>
        <w:t xml:space="preserve"> (or benchmark for the scheme) can be determine</w:t>
      </w:r>
      <w:r w:rsidR="00515226">
        <w:rPr>
          <w:rFonts w:ascii="Calibri" w:hAnsi="Calibri" w:cs="Calibri"/>
          <w:color w:val="auto"/>
          <w:sz w:val="22"/>
          <w:lang w:val="en-US"/>
        </w:rPr>
        <w:t>d</w:t>
      </w:r>
      <w:r>
        <w:rPr>
          <w:rFonts w:ascii="Calibri" w:hAnsi="Calibri" w:cs="Calibri"/>
          <w:color w:val="auto"/>
          <w:sz w:val="22"/>
          <w:lang w:val="en-US"/>
        </w:rPr>
        <w:t xml:space="preserve">, the scheme can use </w:t>
      </w:r>
      <w:r w:rsidRPr="00515226">
        <w:rPr>
          <w:rFonts w:ascii="Calibri" w:hAnsi="Calibri" w:cs="Calibri"/>
          <w:color w:val="auto"/>
          <w:sz w:val="22"/>
          <w:u w:val="single"/>
          <w:lang w:val="en-US"/>
        </w:rPr>
        <w:t xml:space="preserve">a relative </w:t>
      </w:r>
      <w:proofErr w:type="spellStart"/>
      <w:r w:rsidRPr="00515226">
        <w:rPr>
          <w:rFonts w:ascii="Calibri" w:hAnsi="Calibri" w:cs="Calibri"/>
          <w:color w:val="auto"/>
          <w:sz w:val="22"/>
          <w:u w:val="single"/>
          <w:lang w:val="en-US"/>
        </w:rPr>
        <w:t>VaR</w:t>
      </w:r>
      <w:proofErr w:type="spellEnd"/>
      <w:r w:rsidRPr="00515226">
        <w:rPr>
          <w:rFonts w:ascii="Calibri" w:hAnsi="Calibri" w:cs="Calibri"/>
          <w:color w:val="auto"/>
          <w:sz w:val="22"/>
          <w:u w:val="single"/>
          <w:lang w:val="en-US"/>
        </w:rPr>
        <w:t xml:space="preserve"> </w:t>
      </w:r>
      <w:r w:rsidR="00515226" w:rsidRPr="00515226">
        <w:rPr>
          <w:rFonts w:ascii="Calibri" w:hAnsi="Calibri" w:cs="Calibri"/>
          <w:color w:val="auto"/>
          <w:sz w:val="22"/>
          <w:u w:val="single"/>
          <w:lang w:val="en-US"/>
        </w:rPr>
        <w:t>approach</w:t>
      </w:r>
      <w:r w:rsidR="00515226">
        <w:rPr>
          <w:rFonts w:ascii="Calibri" w:hAnsi="Calibri" w:cs="Calibri"/>
          <w:color w:val="auto"/>
          <w:sz w:val="22"/>
          <w:lang w:val="en-US"/>
        </w:rPr>
        <w:t xml:space="preserve"> </w:t>
      </w:r>
      <w:r>
        <w:rPr>
          <w:rFonts w:ascii="Calibri" w:hAnsi="Calibri" w:cs="Calibri"/>
          <w:color w:val="auto"/>
          <w:sz w:val="22"/>
          <w:lang w:val="en-US"/>
        </w:rPr>
        <w:t xml:space="preserve">where the </w:t>
      </w:r>
      <w:proofErr w:type="spellStart"/>
      <w:r>
        <w:rPr>
          <w:rFonts w:ascii="Calibri" w:hAnsi="Calibri" w:cs="Calibri"/>
          <w:color w:val="auto"/>
          <w:sz w:val="22"/>
          <w:lang w:val="en-US"/>
        </w:rPr>
        <w:t>VaR</w:t>
      </w:r>
      <w:proofErr w:type="spellEnd"/>
      <w:r>
        <w:rPr>
          <w:rFonts w:ascii="Calibri" w:hAnsi="Calibri" w:cs="Calibri"/>
          <w:color w:val="auto"/>
          <w:sz w:val="22"/>
          <w:lang w:val="en-US"/>
        </w:rPr>
        <w:t xml:space="preserve"> of the scheme should not be more than 1.5 times the </w:t>
      </w:r>
      <w:proofErr w:type="spellStart"/>
      <w:r>
        <w:rPr>
          <w:rFonts w:ascii="Calibri" w:hAnsi="Calibri" w:cs="Calibri"/>
          <w:color w:val="auto"/>
          <w:sz w:val="22"/>
          <w:lang w:val="en-US"/>
        </w:rPr>
        <w:t>VaR</w:t>
      </w:r>
      <w:proofErr w:type="spellEnd"/>
      <w:r>
        <w:rPr>
          <w:rFonts w:ascii="Calibri" w:hAnsi="Calibri" w:cs="Calibri"/>
          <w:color w:val="auto"/>
          <w:sz w:val="22"/>
          <w:lang w:val="en-US"/>
        </w:rPr>
        <w:t xml:space="preserve"> of the relative portfolio. </w:t>
      </w:r>
    </w:p>
    <w:p w14:paraId="5B8AFF8D" w14:textId="29E86777" w:rsidR="00042A86" w:rsidRDefault="00515226" w:rsidP="009F73BE">
      <w:pPr>
        <w:pStyle w:val="BodyText"/>
        <w:numPr>
          <w:ilvl w:val="2"/>
          <w:numId w:val="111"/>
        </w:numPr>
        <w:jc w:val="both"/>
        <w:rPr>
          <w:rFonts w:ascii="Calibri" w:hAnsi="Calibri" w:cs="Calibri"/>
          <w:color w:val="auto"/>
          <w:sz w:val="22"/>
          <w:lang w:val="en-US"/>
        </w:rPr>
      </w:pPr>
      <w:r>
        <w:rPr>
          <w:rFonts w:ascii="Calibri" w:hAnsi="Calibri" w:cs="Calibri"/>
          <w:color w:val="auto"/>
          <w:sz w:val="22"/>
          <w:lang w:val="en-US"/>
        </w:rPr>
        <w:lastRenderedPageBreak/>
        <w:t xml:space="preserve">Where a </w:t>
      </w:r>
      <w:r w:rsidRPr="00396155">
        <w:rPr>
          <w:rFonts w:ascii="Calibri" w:hAnsi="Calibri" w:cs="Calibri"/>
          <w:color w:val="auto"/>
          <w:sz w:val="22"/>
          <w:u w:val="single"/>
          <w:lang w:val="en-US"/>
        </w:rPr>
        <w:t xml:space="preserve">reference portfolio </w:t>
      </w:r>
      <w:r w:rsidR="00396155" w:rsidRPr="00396155">
        <w:rPr>
          <w:rFonts w:ascii="Calibri" w:hAnsi="Calibri" w:cs="Calibri"/>
          <w:color w:val="auto"/>
          <w:sz w:val="22"/>
          <w:u w:val="single"/>
          <w:lang w:val="en-US"/>
        </w:rPr>
        <w:t>is not available</w:t>
      </w:r>
      <w:r w:rsidR="00396155">
        <w:rPr>
          <w:rFonts w:ascii="Calibri" w:hAnsi="Calibri" w:cs="Calibri"/>
          <w:color w:val="auto"/>
          <w:sz w:val="22"/>
          <w:lang w:val="en-US"/>
        </w:rPr>
        <w:t xml:space="preserve">, then the </w:t>
      </w:r>
      <w:r w:rsidR="00396155" w:rsidRPr="00396155">
        <w:rPr>
          <w:rFonts w:ascii="Calibri" w:hAnsi="Calibri" w:cs="Calibri"/>
          <w:color w:val="auto"/>
          <w:sz w:val="22"/>
          <w:u w:val="single"/>
          <w:lang w:val="en-US"/>
        </w:rPr>
        <w:t xml:space="preserve">absolute </w:t>
      </w:r>
      <w:proofErr w:type="spellStart"/>
      <w:r w:rsidR="00396155" w:rsidRPr="00396155">
        <w:rPr>
          <w:rFonts w:ascii="Calibri" w:hAnsi="Calibri" w:cs="Calibri"/>
          <w:color w:val="auto"/>
          <w:sz w:val="22"/>
          <w:u w:val="single"/>
          <w:lang w:val="en-US"/>
        </w:rPr>
        <w:t>VaR</w:t>
      </w:r>
      <w:proofErr w:type="spellEnd"/>
      <w:r w:rsidR="00396155" w:rsidRPr="00396155">
        <w:rPr>
          <w:rFonts w:ascii="Calibri" w:hAnsi="Calibri" w:cs="Calibri"/>
          <w:color w:val="auto"/>
          <w:sz w:val="22"/>
          <w:u w:val="single"/>
          <w:lang w:val="en-US"/>
        </w:rPr>
        <w:t xml:space="preserve"> approach</w:t>
      </w:r>
      <w:r w:rsidR="00396155">
        <w:rPr>
          <w:rFonts w:ascii="Calibri" w:hAnsi="Calibri" w:cs="Calibri"/>
          <w:color w:val="auto"/>
          <w:sz w:val="22"/>
          <w:lang w:val="en-US"/>
        </w:rPr>
        <w:t xml:space="preserve"> would be used, which should </w:t>
      </w:r>
      <w:r w:rsidR="00396155" w:rsidRPr="00396155">
        <w:rPr>
          <w:rFonts w:ascii="Calibri" w:hAnsi="Calibri" w:cs="Calibri"/>
          <w:color w:val="auto"/>
          <w:sz w:val="22"/>
          <w:u w:val="single"/>
          <w:lang w:val="en-US"/>
        </w:rPr>
        <w:t>not exceed 20% of the scheme’s NAV</w:t>
      </w:r>
      <w:r w:rsidR="00396155">
        <w:rPr>
          <w:rFonts w:ascii="Calibri" w:hAnsi="Calibri" w:cs="Calibri"/>
          <w:color w:val="auto"/>
          <w:sz w:val="22"/>
          <w:lang w:val="en-US"/>
        </w:rPr>
        <w:t xml:space="preserve">. </w:t>
      </w:r>
    </w:p>
    <w:p w14:paraId="6078AAE9" w14:textId="4BB64132" w:rsidR="00814EAB" w:rsidRDefault="00814EAB" w:rsidP="009F73BE">
      <w:pPr>
        <w:pStyle w:val="BodyText"/>
        <w:numPr>
          <w:ilvl w:val="2"/>
          <w:numId w:val="111"/>
        </w:numPr>
        <w:jc w:val="both"/>
        <w:rPr>
          <w:rFonts w:ascii="Calibri" w:hAnsi="Calibri" w:cs="Calibri"/>
          <w:color w:val="auto"/>
          <w:sz w:val="22"/>
          <w:lang w:val="en-US"/>
        </w:rPr>
      </w:pPr>
      <w:r>
        <w:rPr>
          <w:rFonts w:ascii="Calibri" w:hAnsi="Calibri" w:cs="Calibri"/>
          <w:color w:val="auto"/>
          <w:sz w:val="22"/>
          <w:lang w:val="en-US"/>
        </w:rPr>
        <w:t xml:space="preserve">Under the </w:t>
      </w:r>
      <w:proofErr w:type="spellStart"/>
      <w:r>
        <w:rPr>
          <w:rFonts w:ascii="Calibri" w:hAnsi="Calibri" w:cs="Calibri"/>
          <w:color w:val="auto"/>
          <w:sz w:val="22"/>
          <w:lang w:val="en-US"/>
        </w:rPr>
        <w:t>VaR</w:t>
      </w:r>
      <w:proofErr w:type="spellEnd"/>
      <w:r>
        <w:rPr>
          <w:rFonts w:ascii="Calibri" w:hAnsi="Calibri" w:cs="Calibri"/>
          <w:color w:val="auto"/>
          <w:sz w:val="22"/>
          <w:lang w:val="en-US"/>
        </w:rPr>
        <w:t xml:space="preserve"> approach, these parameters would apply: (</w:t>
      </w:r>
      <w:proofErr w:type="spellStart"/>
      <w:r>
        <w:rPr>
          <w:rFonts w:ascii="Calibri" w:hAnsi="Calibri" w:cs="Calibri"/>
          <w:color w:val="auto"/>
          <w:sz w:val="22"/>
          <w:lang w:val="en-US"/>
        </w:rPr>
        <w:t>i</w:t>
      </w:r>
      <w:proofErr w:type="spellEnd"/>
      <w:r>
        <w:rPr>
          <w:rFonts w:ascii="Calibri" w:hAnsi="Calibri" w:cs="Calibri"/>
          <w:color w:val="auto"/>
          <w:sz w:val="22"/>
          <w:lang w:val="en-US"/>
        </w:rPr>
        <w:t xml:space="preserve">) </w:t>
      </w:r>
      <w:r w:rsidR="00B775AA">
        <w:rPr>
          <w:rFonts w:ascii="Calibri" w:hAnsi="Calibri" w:cs="Calibri"/>
          <w:color w:val="auto"/>
          <w:sz w:val="22"/>
          <w:lang w:val="en-US"/>
        </w:rPr>
        <w:t xml:space="preserve">One-tailed </w:t>
      </w:r>
      <w:r>
        <w:rPr>
          <w:rFonts w:ascii="Calibri" w:hAnsi="Calibri" w:cs="Calibri"/>
          <w:color w:val="auto"/>
          <w:sz w:val="22"/>
          <w:lang w:val="en-US"/>
        </w:rPr>
        <w:t>99% confidence interval</w:t>
      </w:r>
      <w:r w:rsidR="00B775AA">
        <w:rPr>
          <w:rFonts w:ascii="Calibri" w:hAnsi="Calibri" w:cs="Calibri"/>
          <w:color w:val="auto"/>
          <w:sz w:val="22"/>
          <w:lang w:val="en-US"/>
        </w:rPr>
        <w:t xml:space="preserve">, </w:t>
      </w:r>
      <w:r w:rsidR="003C7E04">
        <w:rPr>
          <w:rFonts w:ascii="Calibri" w:hAnsi="Calibri" w:cs="Calibri"/>
          <w:color w:val="auto"/>
          <w:sz w:val="22"/>
          <w:lang w:val="en-US"/>
        </w:rPr>
        <w:t xml:space="preserve">(ii) </w:t>
      </w:r>
      <w:r w:rsidR="00B775AA">
        <w:rPr>
          <w:rFonts w:ascii="Calibri" w:hAnsi="Calibri" w:cs="Calibri"/>
          <w:color w:val="auto"/>
          <w:sz w:val="22"/>
          <w:lang w:val="en-US"/>
        </w:rPr>
        <w:t>20 business days</w:t>
      </w:r>
      <w:r w:rsidR="003E7BA5">
        <w:rPr>
          <w:rFonts w:ascii="Calibri" w:hAnsi="Calibri" w:cs="Calibri"/>
          <w:color w:val="auto"/>
          <w:sz w:val="22"/>
          <w:lang w:val="en-US"/>
        </w:rPr>
        <w:t xml:space="preserve"> (or one month)</w:t>
      </w:r>
      <w:r w:rsidR="00B775AA">
        <w:rPr>
          <w:rFonts w:ascii="Calibri" w:hAnsi="Calibri" w:cs="Calibri"/>
          <w:color w:val="auto"/>
          <w:sz w:val="22"/>
          <w:lang w:val="en-US"/>
        </w:rPr>
        <w:t xml:space="preserve"> as holding period, </w:t>
      </w:r>
      <w:r w:rsidR="003C7E04">
        <w:rPr>
          <w:rFonts w:ascii="Calibri" w:hAnsi="Calibri" w:cs="Calibri"/>
          <w:color w:val="auto"/>
          <w:sz w:val="22"/>
          <w:lang w:val="en-US"/>
        </w:rPr>
        <w:t xml:space="preserve">(iii) </w:t>
      </w:r>
      <w:r w:rsidR="00B775AA">
        <w:rPr>
          <w:rFonts w:ascii="Calibri" w:hAnsi="Calibri" w:cs="Calibri"/>
          <w:color w:val="auto"/>
          <w:sz w:val="22"/>
          <w:lang w:val="en-US"/>
        </w:rPr>
        <w:t xml:space="preserve">250 business days </w:t>
      </w:r>
      <w:r w:rsidR="003C7E04">
        <w:rPr>
          <w:rFonts w:ascii="Calibri" w:hAnsi="Calibri" w:cs="Calibri"/>
          <w:color w:val="auto"/>
          <w:sz w:val="22"/>
          <w:lang w:val="en-US"/>
        </w:rPr>
        <w:t xml:space="preserve">as </w:t>
      </w:r>
      <w:r w:rsidR="00B775AA">
        <w:rPr>
          <w:rFonts w:ascii="Calibri" w:hAnsi="Calibri" w:cs="Calibri"/>
          <w:color w:val="auto"/>
          <w:sz w:val="22"/>
          <w:lang w:val="en-US"/>
        </w:rPr>
        <w:t>observation period</w:t>
      </w:r>
      <w:r w:rsidR="003C7E04">
        <w:rPr>
          <w:rFonts w:ascii="Calibri" w:hAnsi="Calibri" w:cs="Calibri"/>
          <w:color w:val="auto"/>
          <w:sz w:val="22"/>
          <w:lang w:val="en-US"/>
        </w:rPr>
        <w:t>, (iv) quarterly data updates, (v) daily calculations</w:t>
      </w:r>
      <w:r w:rsidR="006A59F8">
        <w:rPr>
          <w:rFonts w:ascii="Calibri" w:hAnsi="Calibri" w:cs="Calibri"/>
          <w:color w:val="auto"/>
          <w:sz w:val="22"/>
          <w:lang w:val="en-US"/>
        </w:rPr>
        <w:t>.</w:t>
      </w:r>
    </w:p>
    <w:p w14:paraId="4B88CF3F" w14:textId="71926D23" w:rsidR="006A59F8" w:rsidRPr="00113168" w:rsidRDefault="006A59F8" w:rsidP="009F73BE">
      <w:pPr>
        <w:pStyle w:val="BodyText"/>
        <w:numPr>
          <w:ilvl w:val="2"/>
          <w:numId w:val="111"/>
        </w:numPr>
        <w:jc w:val="both"/>
        <w:rPr>
          <w:rFonts w:ascii="Calibri" w:hAnsi="Calibri" w:cs="Calibri"/>
          <w:color w:val="auto"/>
          <w:sz w:val="22"/>
          <w:lang w:val="en-US"/>
        </w:rPr>
      </w:pPr>
      <w:r>
        <w:rPr>
          <w:rFonts w:ascii="Calibri" w:hAnsi="Calibri" w:cs="Calibri"/>
          <w:color w:val="auto"/>
          <w:sz w:val="22"/>
          <w:lang w:val="en-US"/>
        </w:rPr>
        <w:t xml:space="preserve">The manager should </w:t>
      </w:r>
      <w:r w:rsidRPr="008C217A">
        <w:rPr>
          <w:rFonts w:ascii="Calibri" w:hAnsi="Calibri" w:cs="Calibri"/>
          <w:color w:val="auto"/>
          <w:sz w:val="22"/>
          <w:u w:val="single"/>
          <w:lang w:val="en-US"/>
        </w:rPr>
        <w:t xml:space="preserve">stress test </w:t>
      </w:r>
      <w:r w:rsidR="00E72262" w:rsidRPr="008C217A">
        <w:rPr>
          <w:rFonts w:ascii="Calibri" w:hAnsi="Calibri" w:cs="Calibri"/>
          <w:color w:val="auto"/>
          <w:sz w:val="22"/>
          <w:u w:val="single"/>
          <w:lang w:val="en-US"/>
        </w:rPr>
        <w:t xml:space="preserve">on the scheme and back-test its </w:t>
      </w:r>
      <w:proofErr w:type="spellStart"/>
      <w:r w:rsidR="00E72262" w:rsidRPr="008C217A">
        <w:rPr>
          <w:rFonts w:ascii="Calibri" w:hAnsi="Calibri" w:cs="Calibri"/>
          <w:color w:val="auto"/>
          <w:sz w:val="22"/>
          <w:u w:val="single"/>
          <w:lang w:val="en-US"/>
        </w:rPr>
        <w:t>VaR</w:t>
      </w:r>
      <w:proofErr w:type="spellEnd"/>
      <w:r w:rsidR="00E72262" w:rsidRPr="008C217A">
        <w:rPr>
          <w:rFonts w:ascii="Calibri" w:hAnsi="Calibri" w:cs="Calibri"/>
          <w:color w:val="auto"/>
          <w:sz w:val="22"/>
          <w:u w:val="single"/>
          <w:lang w:val="en-US"/>
        </w:rPr>
        <w:t xml:space="preserve"> model at least monthly</w:t>
      </w:r>
      <w:r w:rsidR="00E72262">
        <w:rPr>
          <w:rFonts w:ascii="Calibri" w:hAnsi="Calibri" w:cs="Calibri"/>
          <w:color w:val="auto"/>
          <w:sz w:val="22"/>
          <w:lang w:val="en-US"/>
        </w:rPr>
        <w:t xml:space="preserve">. </w:t>
      </w:r>
      <w:r w:rsidR="008C217A">
        <w:rPr>
          <w:rFonts w:ascii="Calibri" w:hAnsi="Calibri" w:cs="Calibri"/>
          <w:color w:val="auto"/>
          <w:sz w:val="22"/>
          <w:lang w:val="en-US"/>
        </w:rPr>
        <w:t xml:space="preserve">The </w:t>
      </w:r>
      <w:r w:rsidR="008C217A" w:rsidRPr="008C217A">
        <w:rPr>
          <w:rFonts w:ascii="Calibri" w:hAnsi="Calibri" w:cs="Calibri"/>
          <w:color w:val="auto"/>
          <w:sz w:val="22"/>
          <w:u w:val="single"/>
          <w:lang w:val="en-US"/>
        </w:rPr>
        <w:t>manager should notify MAS of a</w:t>
      </w:r>
      <w:r w:rsidR="00953811" w:rsidRPr="008C217A">
        <w:rPr>
          <w:rFonts w:ascii="Calibri" w:hAnsi="Calibri" w:cs="Calibri"/>
          <w:color w:val="auto"/>
          <w:sz w:val="22"/>
          <w:u w:val="single"/>
          <w:lang w:val="en-US"/>
        </w:rPr>
        <w:t xml:space="preserve">ny exceptions that arise from </w:t>
      </w:r>
      <w:r w:rsidR="008C217A" w:rsidRPr="008C217A">
        <w:rPr>
          <w:rFonts w:ascii="Calibri" w:hAnsi="Calibri" w:cs="Calibri"/>
          <w:color w:val="auto"/>
          <w:sz w:val="22"/>
          <w:u w:val="single"/>
          <w:lang w:val="en-US"/>
        </w:rPr>
        <w:t>back-testing within 3 business days</w:t>
      </w:r>
      <w:r w:rsidR="008C217A">
        <w:rPr>
          <w:rFonts w:ascii="Calibri" w:hAnsi="Calibri" w:cs="Calibri"/>
          <w:color w:val="auto"/>
          <w:sz w:val="22"/>
          <w:lang w:val="en-US"/>
        </w:rPr>
        <w:t xml:space="preserve">. </w:t>
      </w:r>
    </w:p>
    <w:p w14:paraId="1F544DB5" w14:textId="39E19274" w:rsidR="006D7700" w:rsidRDefault="003C263A" w:rsidP="009F73BE">
      <w:pPr>
        <w:pStyle w:val="BodyText"/>
        <w:numPr>
          <w:ilvl w:val="0"/>
          <w:numId w:val="111"/>
        </w:numPr>
        <w:jc w:val="both"/>
        <w:rPr>
          <w:rFonts w:ascii="Calibri" w:hAnsi="Calibri" w:cs="Calibri"/>
          <w:color w:val="auto"/>
          <w:sz w:val="22"/>
          <w:lang w:val="en-US"/>
        </w:rPr>
      </w:pPr>
      <w:r>
        <w:rPr>
          <w:rFonts w:ascii="Calibri" w:hAnsi="Calibri" w:cs="Calibri"/>
          <w:b/>
          <w:bCs/>
          <w:color w:val="auto"/>
          <w:sz w:val="22"/>
          <w:lang w:val="en-US"/>
        </w:rPr>
        <w:t>Efficient Portfolio Management</w:t>
      </w:r>
      <w:r w:rsidR="00E50D3E">
        <w:rPr>
          <w:rFonts w:ascii="Calibri" w:hAnsi="Calibri" w:cs="Calibri"/>
          <w:b/>
          <w:bCs/>
          <w:color w:val="auto"/>
          <w:sz w:val="22"/>
          <w:lang w:val="en-US"/>
        </w:rPr>
        <w:t xml:space="preserve"> (EPM)</w:t>
      </w:r>
      <w:r w:rsidR="006D7700">
        <w:rPr>
          <w:rFonts w:ascii="Calibri" w:hAnsi="Calibri" w:cs="Calibri"/>
          <w:color w:val="auto"/>
          <w:sz w:val="22"/>
          <w:lang w:val="en-US"/>
        </w:rPr>
        <w:t xml:space="preserve">: </w:t>
      </w:r>
      <w:r>
        <w:rPr>
          <w:rFonts w:ascii="Calibri" w:hAnsi="Calibri" w:cs="Calibri"/>
          <w:color w:val="auto"/>
          <w:sz w:val="22"/>
          <w:lang w:val="en-US"/>
        </w:rPr>
        <w:t>The scheme may lend transferable securities and money market instruments</w:t>
      </w:r>
      <w:r w:rsidR="00E50D3E">
        <w:rPr>
          <w:rFonts w:ascii="Calibri" w:hAnsi="Calibri" w:cs="Calibri"/>
          <w:color w:val="auto"/>
          <w:sz w:val="22"/>
          <w:lang w:val="en-US"/>
        </w:rPr>
        <w:t xml:space="preserve"> under EPM</w:t>
      </w:r>
      <w:r w:rsidR="006D7700" w:rsidRPr="00E6133F">
        <w:rPr>
          <w:rFonts w:ascii="Calibri" w:hAnsi="Calibri" w:cs="Calibri"/>
          <w:color w:val="auto"/>
          <w:sz w:val="22"/>
          <w:lang w:val="en-US"/>
        </w:rPr>
        <w:t>.</w:t>
      </w:r>
      <w:r w:rsidR="00AE31A5">
        <w:rPr>
          <w:rFonts w:ascii="Calibri" w:hAnsi="Calibri" w:cs="Calibri"/>
          <w:color w:val="auto"/>
          <w:sz w:val="22"/>
          <w:lang w:val="en-US"/>
        </w:rPr>
        <w:t xml:space="preserve"> The counterparty to a securities lending agreement must be a </w:t>
      </w:r>
      <w:r w:rsidR="00967185">
        <w:rPr>
          <w:rFonts w:ascii="Calibri" w:hAnsi="Calibri" w:cs="Calibri"/>
          <w:color w:val="auto"/>
          <w:sz w:val="22"/>
          <w:lang w:val="en-US"/>
        </w:rPr>
        <w:t>(</w:t>
      </w:r>
      <w:proofErr w:type="spellStart"/>
      <w:r w:rsidR="00967185">
        <w:rPr>
          <w:rFonts w:ascii="Calibri" w:hAnsi="Calibri" w:cs="Calibri"/>
          <w:color w:val="auto"/>
          <w:sz w:val="22"/>
          <w:lang w:val="en-US"/>
        </w:rPr>
        <w:t>i</w:t>
      </w:r>
      <w:proofErr w:type="spellEnd"/>
      <w:r w:rsidR="00967185">
        <w:rPr>
          <w:rFonts w:ascii="Calibri" w:hAnsi="Calibri" w:cs="Calibri"/>
          <w:color w:val="auto"/>
          <w:sz w:val="22"/>
          <w:lang w:val="en-US"/>
        </w:rPr>
        <w:t xml:space="preserve">) </w:t>
      </w:r>
      <w:r w:rsidR="00AE31A5">
        <w:rPr>
          <w:rFonts w:ascii="Calibri" w:hAnsi="Calibri" w:cs="Calibri"/>
          <w:color w:val="auto"/>
          <w:sz w:val="22"/>
          <w:lang w:val="en-US"/>
        </w:rPr>
        <w:t xml:space="preserve">financial institution </w:t>
      </w:r>
      <w:r w:rsidR="00967185">
        <w:rPr>
          <w:rFonts w:ascii="Calibri" w:hAnsi="Calibri" w:cs="Calibri"/>
          <w:color w:val="auto"/>
          <w:sz w:val="22"/>
          <w:lang w:val="en-US"/>
        </w:rPr>
        <w:t xml:space="preserve">with (ii) </w:t>
      </w:r>
      <w:r w:rsidR="00AE31A5">
        <w:rPr>
          <w:rFonts w:ascii="Calibri" w:hAnsi="Calibri" w:cs="Calibri"/>
          <w:color w:val="auto"/>
          <w:sz w:val="22"/>
          <w:lang w:val="en-US"/>
        </w:rPr>
        <w:t xml:space="preserve">a minimum </w:t>
      </w:r>
      <w:r w:rsidR="002200CF">
        <w:rPr>
          <w:rFonts w:ascii="Calibri" w:hAnsi="Calibri" w:cs="Calibri"/>
          <w:color w:val="auto"/>
          <w:sz w:val="22"/>
          <w:lang w:val="en-US"/>
        </w:rPr>
        <w:t xml:space="preserve">long-term rating of </w:t>
      </w:r>
      <w:r w:rsidR="00C35FFF">
        <w:rPr>
          <w:rFonts w:ascii="Calibri" w:hAnsi="Calibri" w:cs="Calibri"/>
          <w:color w:val="auto"/>
          <w:sz w:val="22"/>
          <w:lang w:val="en-US"/>
        </w:rPr>
        <w:t xml:space="preserve">high credit </w:t>
      </w:r>
      <w:r w:rsidR="00E50D3E">
        <w:rPr>
          <w:rFonts w:ascii="Calibri" w:hAnsi="Calibri" w:cs="Calibri"/>
          <w:color w:val="auto"/>
          <w:sz w:val="22"/>
          <w:lang w:val="en-US"/>
        </w:rPr>
        <w:t>quality</w:t>
      </w:r>
      <w:r w:rsidR="00C35FFF">
        <w:rPr>
          <w:rFonts w:ascii="Calibri" w:hAnsi="Calibri" w:cs="Calibri"/>
          <w:color w:val="auto"/>
          <w:sz w:val="22"/>
          <w:lang w:val="en-US"/>
        </w:rPr>
        <w:t xml:space="preserve"> (A by Fitch/Moody’s/S&amp;P)</w:t>
      </w:r>
      <w:r w:rsidR="00967185">
        <w:rPr>
          <w:rFonts w:ascii="Calibri" w:hAnsi="Calibri" w:cs="Calibri"/>
          <w:color w:val="auto"/>
          <w:sz w:val="22"/>
          <w:lang w:val="en-US"/>
        </w:rPr>
        <w:t xml:space="preserve"> and provide collateral that are </w:t>
      </w:r>
      <w:r w:rsidR="00967185" w:rsidRPr="00080B9A">
        <w:rPr>
          <w:rFonts w:ascii="Calibri" w:hAnsi="Calibri" w:cs="Calibri"/>
          <w:color w:val="auto"/>
          <w:sz w:val="22"/>
          <w:u w:val="single"/>
          <w:lang w:val="en-US"/>
        </w:rPr>
        <w:t>liquid</w:t>
      </w:r>
      <w:r w:rsidR="00967185">
        <w:rPr>
          <w:rFonts w:ascii="Calibri" w:hAnsi="Calibri" w:cs="Calibri"/>
          <w:color w:val="auto"/>
          <w:sz w:val="22"/>
          <w:lang w:val="en-US"/>
        </w:rPr>
        <w:t xml:space="preserve"> (i.e., cash or high credit</w:t>
      </w:r>
      <w:r w:rsidR="006027A6">
        <w:rPr>
          <w:rFonts w:ascii="Calibri" w:hAnsi="Calibri" w:cs="Calibri"/>
          <w:color w:val="auto"/>
          <w:sz w:val="22"/>
          <w:lang w:val="en-US"/>
        </w:rPr>
        <w:t xml:space="preserve"> quality</w:t>
      </w:r>
      <w:r w:rsidR="00967185">
        <w:rPr>
          <w:rFonts w:ascii="Calibri" w:hAnsi="Calibri" w:cs="Calibri"/>
          <w:color w:val="auto"/>
          <w:sz w:val="22"/>
          <w:lang w:val="en-US"/>
        </w:rPr>
        <w:t xml:space="preserve"> A securities</w:t>
      </w:r>
      <w:r w:rsidR="00891A61">
        <w:rPr>
          <w:rFonts w:ascii="Calibri" w:hAnsi="Calibri" w:cs="Calibri"/>
          <w:color w:val="auto"/>
          <w:sz w:val="22"/>
          <w:lang w:val="en-US"/>
        </w:rPr>
        <w:t xml:space="preserve"> that may or may not be government-backed</w:t>
      </w:r>
      <w:r w:rsidR="00967185">
        <w:rPr>
          <w:rFonts w:ascii="Calibri" w:hAnsi="Calibri" w:cs="Calibri"/>
          <w:color w:val="auto"/>
          <w:sz w:val="22"/>
          <w:lang w:val="en-US"/>
        </w:rPr>
        <w:t xml:space="preserve">), </w:t>
      </w:r>
      <w:r w:rsidR="00967185" w:rsidRPr="00080B9A">
        <w:rPr>
          <w:rFonts w:ascii="Calibri" w:hAnsi="Calibri" w:cs="Calibri"/>
          <w:color w:val="auto"/>
          <w:sz w:val="22"/>
          <w:u w:val="single"/>
          <w:lang w:val="en-US"/>
        </w:rPr>
        <w:t>marked-to-market daily</w:t>
      </w:r>
      <w:r w:rsidR="00967185">
        <w:rPr>
          <w:rFonts w:ascii="Calibri" w:hAnsi="Calibri" w:cs="Calibri"/>
          <w:color w:val="auto"/>
          <w:sz w:val="22"/>
          <w:lang w:val="en-US"/>
        </w:rPr>
        <w:t xml:space="preserve">, </w:t>
      </w:r>
      <w:r w:rsidR="00967185" w:rsidRPr="00080B9A">
        <w:rPr>
          <w:rFonts w:ascii="Calibri" w:hAnsi="Calibri" w:cs="Calibri"/>
          <w:color w:val="auto"/>
          <w:sz w:val="22"/>
          <w:u w:val="single"/>
          <w:lang w:val="en-US"/>
        </w:rPr>
        <w:t>not issued by the counterparty</w:t>
      </w:r>
      <w:r w:rsidR="00967185">
        <w:rPr>
          <w:rFonts w:ascii="Calibri" w:hAnsi="Calibri" w:cs="Calibri"/>
          <w:color w:val="auto"/>
          <w:sz w:val="22"/>
          <w:lang w:val="en-US"/>
        </w:rPr>
        <w:t xml:space="preserve"> or its related entities, and </w:t>
      </w:r>
      <w:r w:rsidR="00967185" w:rsidRPr="00080B9A">
        <w:rPr>
          <w:rFonts w:ascii="Calibri" w:hAnsi="Calibri" w:cs="Calibri"/>
          <w:color w:val="auto"/>
          <w:sz w:val="22"/>
          <w:u w:val="single"/>
          <w:lang w:val="en-US"/>
        </w:rPr>
        <w:t>must be held by a custodian</w:t>
      </w:r>
      <w:r w:rsidR="00650D36">
        <w:rPr>
          <w:rFonts w:ascii="Calibri" w:hAnsi="Calibri" w:cs="Calibri"/>
          <w:color w:val="auto"/>
          <w:sz w:val="22"/>
          <w:lang w:val="en-US"/>
        </w:rPr>
        <w:t>.</w:t>
      </w:r>
    </w:p>
    <w:p w14:paraId="6109216C" w14:textId="77777777" w:rsidR="001A5F32" w:rsidRDefault="001A5F32" w:rsidP="00767992">
      <w:pPr>
        <w:pStyle w:val="BodyText"/>
        <w:ind w:left="360"/>
        <w:jc w:val="both"/>
        <w:rPr>
          <w:rFonts w:ascii="Calibri" w:hAnsi="Calibri" w:cs="Calibri"/>
          <w:color w:val="auto"/>
          <w:sz w:val="22"/>
          <w:lang w:val="en-US"/>
        </w:rPr>
      </w:pPr>
    </w:p>
    <w:p w14:paraId="2A68ABA0" w14:textId="1D35A7DF" w:rsidR="00501C0C" w:rsidRDefault="00501C0C"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 xml:space="preserve">Responsibilities of Manager </w:t>
      </w:r>
      <w:r w:rsidR="00BB4863">
        <w:rPr>
          <w:rFonts w:ascii="Calibri" w:hAnsi="Calibri" w:cs="Calibri"/>
          <w:color w:val="auto"/>
          <w:lang w:val="en-US"/>
        </w:rPr>
        <w:t>&amp;</w:t>
      </w:r>
      <w:r>
        <w:rPr>
          <w:rFonts w:ascii="Calibri" w:hAnsi="Calibri" w:cs="Calibri"/>
          <w:color w:val="auto"/>
          <w:lang w:val="en-US"/>
        </w:rPr>
        <w:t xml:space="preserve"> Trustee</w:t>
      </w:r>
    </w:p>
    <w:p w14:paraId="0C8CD97E" w14:textId="77777777" w:rsidR="00501C0C" w:rsidRPr="007A7B04" w:rsidRDefault="00501C0C" w:rsidP="009F73BE">
      <w:pPr>
        <w:pStyle w:val="BodyText"/>
        <w:numPr>
          <w:ilvl w:val="0"/>
          <w:numId w:val="112"/>
        </w:numPr>
        <w:jc w:val="both"/>
        <w:rPr>
          <w:rFonts w:ascii="Calibri" w:hAnsi="Calibri" w:cs="Calibri"/>
          <w:color w:val="auto"/>
          <w:sz w:val="22"/>
          <w:lang w:val="en-US"/>
        </w:rPr>
      </w:pPr>
      <w:r>
        <w:rPr>
          <w:rFonts w:ascii="Calibri" w:hAnsi="Calibri" w:cs="Calibri"/>
          <w:color w:val="auto"/>
          <w:sz w:val="22"/>
          <w:lang w:val="en-US"/>
        </w:rPr>
        <w:t xml:space="preserve">The </w:t>
      </w:r>
      <w:r>
        <w:rPr>
          <w:rFonts w:ascii="Calibri" w:hAnsi="Calibri" w:cs="Calibri"/>
          <w:color w:val="auto"/>
          <w:sz w:val="22"/>
          <w:u w:val="single"/>
          <w:lang w:val="en-US"/>
        </w:rPr>
        <w:t>CIS m</w:t>
      </w:r>
      <w:r w:rsidRPr="00883B3D">
        <w:rPr>
          <w:rFonts w:ascii="Calibri" w:hAnsi="Calibri" w:cs="Calibri"/>
          <w:color w:val="auto"/>
          <w:sz w:val="22"/>
          <w:u w:val="single"/>
          <w:lang w:val="en-US"/>
        </w:rPr>
        <w:t>anager and trustee must be deemed to be fit and proper</w:t>
      </w:r>
      <w:r>
        <w:rPr>
          <w:rFonts w:ascii="Calibri" w:hAnsi="Calibri" w:cs="Calibri"/>
          <w:color w:val="auto"/>
          <w:sz w:val="22"/>
          <w:lang w:val="en-US"/>
        </w:rPr>
        <w:t xml:space="preserve">. In addition, the </w:t>
      </w:r>
      <w:r>
        <w:rPr>
          <w:rFonts w:ascii="Calibri" w:hAnsi="Calibri" w:cs="Calibri"/>
          <w:color w:val="auto"/>
          <w:sz w:val="22"/>
          <w:u w:val="single"/>
          <w:lang w:val="en-US"/>
        </w:rPr>
        <w:t>CIS m</w:t>
      </w:r>
      <w:r w:rsidRPr="00883B3D">
        <w:rPr>
          <w:rFonts w:ascii="Calibri" w:hAnsi="Calibri" w:cs="Calibri"/>
          <w:color w:val="auto"/>
          <w:sz w:val="22"/>
          <w:u w:val="single"/>
          <w:lang w:val="en-US"/>
        </w:rPr>
        <w:t>anager must be licensed for fund management</w:t>
      </w:r>
      <w:r>
        <w:rPr>
          <w:rFonts w:ascii="Calibri" w:hAnsi="Calibri" w:cs="Calibri"/>
          <w:color w:val="auto"/>
          <w:sz w:val="22"/>
          <w:lang w:val="en-US"/>
        </w:rPr>
        <w:t xml:space="preserve"> The </w:t>
      </w:r>
      <w:r w:rsidRPr="0057720E">
        <w:rPr>
          <w:rFonts w:ascii="Calibri" w:hAnsi="Calibri" w:cs="Calibri"/>
          <w:color w:val="auto"/>
          <w:sz w:val="22"/>
          <w:u w:val="single"/>
          <w:lang w:val="en-US"/>
        </w:rPr>
        <w:t>CIS trustee would oversee the CIS manager’s compliance with the Code on CIS</w:t>
      </w:r>
      <w:r>
        <w:rPr>
          <w:rFonts w:ascii="Calibri" w:hAnsi="Calibri" w:cs="Calibri"/>
          <w:color w:val="auto"/>
          <w:sz w:val="22"/>
          <w:lang w:val="en-US"/>
        </w:rPr>
        <w:t xml:space="preserve"> (i.e., independent from CIS manager with &lt;20% voting shares in CIS manager) to safeguard the interest of CIS participants/unitholders (since CIS are constituted as unit trusts). </w:t>
      </w:r>
    </w:p>
    <w:p w14:paraId="12806B60" w14:textId="77777777" w:rsidR="00501C0C" w:rsidRDefault="00501C0C" w:rsidP="009F73BE">
      <w:pPr>
        <w:pStyle w:val="BodyText"/>
        <w:numPr>
          <w:ilvl w:val="0"/>
          <w:numId w:val="112"/>
        </w:numPr>
        <w:jc w:val="both"/>
        <w:rPr>
          <w:rFonts w:ascii="Calibri" w:hAnsi="Calibri" w:cs="Calibri"/>
          <w:color w:val="auto"/>
          <w:sz w:val="22"/>
          <w:lang w:val="en-US"/>
        </w:rPr>
      </w:pPr>
      <w:r>
        <w:rPr>
          <w:rFonts w:ascii="Calibri" w:hAnsi="Calibri" w:cs="Calibri"/>
          <w:color w:val="auto"/>
          <w:sz w:val="22"/>
          <w:lang w:val="en-US"/>
        </w:rPr>
        <w:t xml:space="preserve">A </w:t>
      </w:r>
      <w:r w:rsidRPr="00883B3D">
        <w:rPr>
          <w:rFonts w:ascii="Calibri" w:hAnsi="Calibri" w:cs="Calibri"/>
          <w:color w:val="auto"/>
          <w:sz w:val="22"/>
          <w:u w:val="single"/>
          <w:lang w:val="en-US"/>
        </w:rPr>
        <w:t>trust deed governs the T&amp;Cs and responsibilities of the manager and the trustee</w:t>
      </w:r>
      <w:r>
        <w:rPr>
          <w:rFonts w:ascii="Calibri" w:hAnsi="Calibri" w:cs="Calibri"/>
          <w:color w:val="auto"/>
          <w:sz w:val="22"/>
          <w:lang w:val="en-US"/>
        </w:rPr>
        <w:t xml:space="preserve">, i.e., to act in the best interests of the CIS participants, adhere to the Code on CIS, maintain proper records etc. – </w:t>
      </w:r>
    </w:p>
    <w:p w14:paraId="63A408FB" w14:textId="77777777" w:rsidR="00501C0C" w:rsidRPr="00D3723B" w:rsidRDefault="00501C0C" w:rsidP="009F73BE">
      <w:pPr>
        <w:pStyle w:val="BodyText"/>
        <w:numPr>
          <w:ilvl w:val="1"/>
          <w:numId w:val="112"/>
        </w:numPr>
        <w:jc w:val="both"/>
        <w:rPr>
          <w:rFonts w:ascii="Calibri" w:hAnsi="Calibri" w:cs="Calibri"/>
          <w:b/>
          <w:bCs/>
          <w:color w:val="auto"/>
          <w:sz w:val="22"/>
          <w:lang w:val="en-US"/>
        </w:rPr>
      </w:pPr>
      <w:r w:rsidRPr="003220DF">
        <w:rPr>
          <w:rFonts w:ascii="Calibri" w:hAnsi="Calibri" w:cs="Calibri"/>
          <w:b/>
          <w:bCs/>
          <w:color w:val="auto"/>
          <w:sz w:val="22"/>
          <w:lang w:val="en-US"/>
        </w:rPr>
        <w:t>Manager</w:t>
      </w:r>
      <w:r>
        <w:rPr>
          <w:rFonts w:ascii="Calibri" w:hAnsi="Calibri" w:cs="Calibri"/>
          <w:b/>
          <w:bCs/>
          <w:color w:val="auto"/>
          <w:sz w:val="22"/>
          <w:lang w:val="en-US"/>
        </w:rPr>
        <w:t xml:space="preserve"> Role</w:t>
      </w:r>
      <w:r>
        <w:rPr>
          <w:rFonts w:ascii="Calibri" w:hAnsi="Calibri" w:cs="Calibri"/>
          <w:color w:val="auto"/>
          <w:sz w:val="22"/>
          <w:lang w:val="en-US"/>
        </w:rPr>
        <w:t xml:space="preserve">: </w:t>
      </w:r>
    </w:p>
    <w:p w14:paraId="26F96D7C" w14:textId="77777777" w:rsidR="00501C0C" w:rsidRPr="006767FB" w:rsidRDefault="00501C0C" w:rsidP="009F73BE">
      <w:pPr>
        <w:pStyle w:val="BodyText"/>
        <w:numPr>
          <w:ilvl w:val="2"/>
          <w:numId w:val="112"/>
        </w:numPr>
        <w:jc w:val="both"/>
        <w:rPr>
          <w:rFonts w:ascii="Calibri" w:hAnsi="Calibri" w:cs="Calibri"/>
          <w:b/>
          <w:bCs/>
          <w:color w:val="auto"/>
          <w:sz w:val="22"/>
          <w:lang w:val="en-US"/>
        </w:rPr>
      </w:pPr>
      <w:r w:rsidRPr="00D3723B">
        <w:rPr>
          <w:rFonts w:ascii="Calibri" w:hAnsi="Calibri" w:cs="Calibri"/>
          <w:color w:val="auto"/>
          <w:sz w:val="22"/>
          <w:u w:val="single"/>
          <w:lang w:val="en-US"/>
        </w:rPr>
        <w:t>Calculates NAV</w:t>
      </w:r>
      <w:r>
        <w:rPr>
          <w:rFonts w:ascii="Calibri" w:hAnsi="Calibri" w:cs="Calibri"/>
          <w:color w:val="auto"/>
          <w:sz w:val="22"/>
          <w:u w:val="single"/>
          <w:lang w:val="en-US"/>
        </w:rPr>
        <w:t xml:space="preserve"> and NAV per unit</w:t>
      </w:r>
      <w:r>
        <w:rPr>
          <w:rFonts w:ascii="Calibri" w:hAnsi="Calibri" w:cs="Calibri"/>
          <w:color w:val="auto"/>
          <w:sz w:val="22"/>
          <w:lang w:val="en-US"/>
        </w:rPr>
        <w:t xml:space="preserve"> using (</w:t>
      </w:r>
      <w:proofErr w:type="spellStart"/>
      <w:r>
        <w:rPr>
          <w:rFonts w:ascii="Calibri" w:hAnsi="Calibri" w:cs="Calibri"/>
          <w:color w:val="auto"/>
          <w:sz w:val="22"/>
          <w:lang w:val="en-US"/>
        </w:rPr>
        <w:t>i</w:t>
      </w:r>
      <w:proofErr w:type="spellEnd"/>
      <w:r>
        <w:rPr>
          <w:rFonts w:ascii="Calibri" w:hAnsi="Calibri" w:cs="Calibri"/>
          <w:color w:val="auto"/>
          <w:sz w:val="22"/>
          <w:lang w:val="en-US"/>
        </w:rPr>
        <w:t xml:space="preserve">) market quotations (for listed securities), (ii) fair value (for unlisted securities; expected realized value upon sale), or (iii) other alternative methods. This </w:t>
      </w:r>
      <w:r w:rsidRPr="00D3723B">
        <w:rPr>
          <w:rFonts w:ascii="Calibri" w:hAnsi="Calibri" w:cs="Calibri"/>
          <w:color w:val="auto"/>
          <w:sz w:val="22"/>
          <w:u w:val="single"/>
          <w:lang w:val="en-US"/>
        </w:rPr>
        <w:t>valuation must be done every business day</w:t>
      </w:r>
      <w:r>
        <w:rPr>
          <w:rFonts w:ascii="Calibri" w:hAnsi="Calibri" w:cs="Calibri"/>
          <w:color w:val="auto"/>
          <w:sz w:val="22"/>
          <w:lang w:val="en-US"/>
        </w:rPr>
        <w:t>, except CIS with irregular trading (at least once a month) and property funds (at least once a year).</w:t>
      </w:r>
    </w:p>
    <w:p w14:paraId="49EA01E4" w14:textId="77777777" w:rsidR="00501C0C" w:rsidRPr="006767FB" w:rsidRDefault="00501C0C" w:rsidP="009F73BE">
      <w:pPr>
        <w:pStyle w:val="BodyText"/>
        <w:numPr>
          <w:ilvl w:val="2"/>
          <w:numId w:val="112"/>
        </w:numPr>
        <w:jc w:val="both"/>
        <w:rPr>
          <w:rFonts w:ascii="Calibri" w:hAnsi="Calibri" w:cs="Calibri"/>
          <w:b/>
          <w:bCs/>
          <w:color w:val="auto"/>
          <w:sz w:val="22"/>
          <w:lang w:val="en-US"/>
        </w:rPr>
      </w:pPr>
      <w:r>
        <w:rPr>
          <w:rFonts w:ascii="Calibri" w:hAnsi="Calibri" w:cs="Calibri"/>
          <w:color w:val="auto"/>
          <w:sz w:val="22"/>
          <w:u w:val="single"/>
          <w:lang w:val="en-US"/>
        </w:rPr>
        <w:t>Any valuation error must be reported to MAS and CIS trustee</w:t>
      </w:r>
      <w:r w:rsidRPr="006767FB">
        <w:rPr>
          <w:rFonts w:ascii="Calibri" w:hAnsi="Calibri" w:cs="Calibri"/>
          <w:color w:val="auto"/>
          <w:sz w:val="22"/>
          <w:lang w:val="en-US"/>
        </w:rPr>
        <w:t>.</w:t>
      </w:r>
      <w:r>
        <w:rPr>
          <w:rFonts w:ascii="Calibri" w:hAnsi="Calibri" w:cs="Calibri"/>
          <w:color w:val="auto"/>
          <w:sz w:val="22"/>
          <w:lang w:val="en-US"/>
        </w:rPr>
        <w:t xml:space="preserve"> Compensation is required if valuation error is at least 0.5% of CIS NAV per unit.</w:t>
      </w:r>
    </w:p>
    <w:p w14:paraId="31576B7C" w14:textId="77777777" w:rsidR="00501C0C" w:rsidRPr="006767FB" w:rsidRDefault="00501C0C" w:rsidP="009F73BE">
      <w:pPr>
        <w:pStyle w:val="BodyText"/>
        <w:numPr>
          <w:ilvl w:val="2"/>
          <w:numId w:val="112"/>
        </w:numPr>
        <w:jc w:val="both"/>
        <w:rPr>
          <w:rFonts w:ascii="Calibri" w:hAnsi="Calibri" w:cs="Calibri"/>
          <w:b/>
          <w:bCs/>
          <w:color w:val="auto"/>
          <w:sz w:val="22"/>
          <w:lang w:val="en-US"/>
        </w:rPr>
      </w:pPr>
      <w:r w:rsidRPr="006767FB">
        <w:rPr>
          <w:rFonts w:ascii="Calibri" w:hAnsi="Calibri" w:cs="Calibri"/>
          <w:color w:val="auto"/>
          <w:sz w:val="22"/>
          <w:lang w:val="en-US"/>
        </w:rPr>
        <w:t>Manager</w:t>
      </w:r>
      <w:r>
        <w:rPr>
          <w:rFonts w:ascii="Calibri" w:hAnsi="Calibri" w:cs="Calibri"/>
          <w:color w:val="auto"/>
          <w:sz w:val="22"/>
          <w:lang w:val="en-US"/>
        </w:rPr>
        <w:t xml:space="preserve"> should also </w:t>
      </w:r>
      <w:r w:rsidRPr="006767FB">
        <w:rPr>
          <w:rFonts w:ascii="Calibri" w:hAnsi="Calibri" w:cs="Calibri"/>
          <w:color w:val="auto"/>
          <w:sz w:val="22"/>
          <w:u w:val="single"/>
          <w:lang w:val="en-US"/>
        </w:rPr>
        <w:t>prepare the half-yearly financial statements and annual audited financial statements</w:t>
      </w:r>
      <w:r>
        <w:rPr>
          <w:rFonts w:ascii="Calibri" w:hAnsi="Calibri" w:cs="Calibri"/>
          <w:color w:val="auto"/>
          <w:sz w:val="22"/>
          <w:lang w:val="en-US"/>
        </w:rPr>
        <w:t xml:space="preserve">. </w:t>
      </w:r>
      <w:r w:rsidRPr="006767FB">
        <w:rPr>
          <w:rFonts w:ascii="Calibri" w:hAnsi="Calibri" w:cs="Calibri"/>
          <w:color w:val="auto"/>
          <w:sz w:val="22"/>
          <w:u w:val="single"/>
          <w:lang w:val="en-US"/>
        </w:rPr>
        <w:t>Such requirement can be waived if it covers</w:t>
      </w:r>
    </w:p>
    <w:p w14:paraId="01C33DDB" w14:textId="77777777" w:rsidR="00501C0C" w:rsidRPr="006767FB" w:rsidRDefault="00501C0C" w:rsidP="009F73BE">
      <w:pPr>
        <w:pStyle w:val="BodyText"/>
        <w:numPr>
          <w:ilvl w:val="3"/>
          <w:numId w:val="112"/>
        </w:numPr>
        <w:jc w:val="both"/>
        <w:rPr>
          <w:rFonts w:ascii="Calibri" w:hAnsi="Calibri" w:cs="Calibri"/>
          <w:b/>
          <w:bCs/>
          <w:color w:val="auto"/>
          <w:sz w:val="22"/>
          <w:lang w:val="en-US"/>
        </w:rPr>
      </w:pPr>
      <w:r w:rsidRPr="006767FB">
        <w:rPr>
          <w:rFonts w:ascii="Calibri" w:hAnsi="Calibri" w:cs="Calibri"/>
          <w:color w:val="auto"/>
          <w:sz w:val="22"/>
          <w:u w:val="single"/>
          <w:lang w:val="en-US"/>
        </w:rPr>
        <w:t>A period of 3 months or less from the initial launch date</w:t>
      </w:r>
      <w:r>
        <w:rPr>
          <w:rFonts w:ascii="Calibri" w:hAnsi="Calibri" w:cs="Calibri"/>
          <w:color w:val="auto"/>
          <w:sz w:val="22"/>
          <w:lang w:val="en-US"/>
        </w:rPr>
        <w:t>; or</w:t>
      </w:r>
    </w:p>
    <w:p w14:paraId="3A28AAD0" w14:textId="77777777" w:rsidR="00501C0C" w:rsidRDefault="00501C0C" w:rsidP="009F73BE">
      <w:pPr>
        <w:pStyle w:val="BodyText"/>
        <w:numPr>
          <w:ilvl w:val="3"/>
          <w:numId w:val="112"/>
        </w:numPr>
        <w:jc w:val="both"/>
        <w:rPr>
          <w:rFonts w:ascii="Calibri" w:hAnsi="Calibri" w:cs="Calibri"/>
          <w:color w:val="auto"/>
          <w:sz w:val="22"/>
          <w:lang w:val="en-US"/>
        </w:rPr>
      </w:pPr>
      <w:r w:rsidRPr="008E0137">
        <w:rPr>
          <w:rFonts w:ascii="Calibri" w:hAnsi="Calibri" w:cs="Calibri"/>
          <w:color w:val="auto"/>
          <w:sz w:val="22"/>
          <w:u w:val="single"/>
          <w:lang w:val="en-US"/>
        </w:rPr>
        <w:t>A period ending before CIS termination</w:t>
      </w:r>
      <w:r>
        <w:rPr>
          <w:rFonts w:ascii="Calibri" w:hAnsi="Calibri" w:cs="Calibri"/>
          <w:color w:val="auto"/>
          <w:sz w:val="22"/>
          <w:u w:val="single"/>
          <w:lang w:val="en-US"/>
        </w:rPr>
        <w:t>/</w:t>
      </w:r>
      <w:r w:rsidRPr="008E0137">
        <w:rPr>
          <w:rFonts w:ascii="Calibri" w:hAnsi="Calibri" w:cs="Calibri"/>
          <w:color w:val="auto"/>
          <w:sz w:val="22"/>
          <w:u w:val="single"/>
          <w:lang w:val="en-US"/>
        </w:rPr>
        <w:t>maturity (e.g., for FYE 31 Dec 2024) but the reports are due to be sent</w:t>
      </w:r>
      <w:r>
        <w:rPr>
          <w:rFonts w:ascii="Calibri" w:hAnsi="Calibri" w:cs="Calibri"/>
          <w:color w:val="auto"/>
          <w:sz w:val="22"/>
          <w:u w:val="single"/>
          <w:lang w:val="en-US"/>
        </w:rPr>
        <w:t>/</w:t>
      </w:r>
      <w:r w:rsidRPr="008E0137">
        <w:rPr>
          <w:rFonts w:ascii="Calibri" w:hAnsi="Calibri" w:cs="Calibri"/>
          <w:color w:val="auto"/>
          <w:sz w:val="22"/>
          <w:u w:val="single"/>
          <w:lang w:val="en-US"/>
        </w:rPr>
        <w:t>disseminated 1 month before CIS termination</w:t>
      </w:r>
      <w:r>
        <w:rPr>
          <w:rFonts w:ascii="Calibri" w:hAnsi="Calibri" w:cs="Calibri"/>
          <w:color w:val="auto"/>
          <w:sz w:val="22"/>
          <w:u w:val="single"/>
          <w:lang w:val="en-US"/>
        </w:rPr>
        <w:t>/</w:t>
      </w:r>
      <w:r w:rsidRPr="008E0137">
        <w:rPr>
          <w:rFonts w:ascii="Calibri" w:hAnsi="Calibri" w:cs="Calibri"/>
          <w:color w:val="auto"/>
          <w:sz w:val="22"/>
          <w:u w:val="single"/>
          <w:lang w:val="en-US"/>
        </w:rPr>
        <w:t>maturity</w:t>
      </w:r>
      <w:r>
        <w:rPr>
          <w:rFonts w:ascii="Calibri" w:hAnsi="Calibri" w:cs="Calibri"/>
          <w:color w:val="auto"/>
          <w:sz w:val="22"/>
          <w:lang w:val="en-US"/>
        </w:rPr>
        <w:t>. For example, for FYE 31 Dec 2024 report, the manager should send the report by 31 Mar 2025. But if the CIS is due to be terminated/matured on 30 Apr 2025, the FYE 31 Dec 2024 report need not be prepared by the manager. Note the duty to send those reports lie with the trustee.</w:t>
      </w:r>
    </w:p>
    <w:p w14:paraId="452DC681" w14:textId="77777777" w:rsidR="00501C0C" w:rsidRDefault="00501C0C" w:rsidP="009F73BE">
      <w:pPr>
        <w:pStyle w:val="BodyText"/>
        <w:numPr>
          <w:ilvl w:val="2"/>
          <w:numId w:val="112"/>
        </w:numPr>
        <w:jc w:val="both"/>
        <w:rPr>
          <w:rFonts w:ascii="Calibri" w:hAnsi="Calibri" w:cs="Calibri"/>
          <w:color w:val="auto"/>
          <w:sz w:val="22"/>
          <w:lang w:val="en-US"/>
        </w:rPr>
      </w:pPr>
      <w:r>
        <w:rPr>
          <w:rFonts w:ascii="Calibri" w:hAnsi="Calibri" w:cs="Calibri"/>
          <w:color w:val="auto"/>
          <w:sz w:val="22"/>
          <w:lang w:val="en-US"/>
        </w:rPr>
        <w:t>Under the Code on CIS, manager should include the following into the semi-annual and annual report, e.g., (</w:t>
      </w:r>
      <w:proofErr w:type="spellStart"/>
      <w:r>
        <w:rPr>
          <w:rFonts w:ascii="Calibri" w:hAnsi="Calibri" w:cs="Calibri"/>
          <w:color w:val="auto"/>
          <w:sz w:val="22"/>
          <w:lang w:val="en-US"/>
        </w:rPr>
        <w:t>i</w:t>
      </w:r>
      <w:proofErr w:type="spellEnd"/>
      <w:r>
        <w:rPr>
          <w:rFonts w:ascii="Calibri" w:hAnsi="Calibri" w:cs="Calibri"/>
          <w:color w:val="auto"/>
          <w:sz w:val="22"/>
          <w:lang w:val="en-US"/>
        </w:rPr>
        <w:t xml:space="preserve">) Investments at market value (bucketed at country, asset class, industry etc.) as a % of CIS NAV, (ii) top 10 holdings, (iii) financial derivatives exposure (including the method to calculate global exposure), counterparty risks </w:t>
      </w:r>
      <w:r>
        <w:rPr>
          <w:rFonts w:ascii="Calibri" w:hAnsi="Calibri" w:cs="Calibri"/>
          <w:color w:val="auto"/>
          <w:sz w:val="22"/>
          <w:lang w:val="en-US"/>
        </w:rPr>
        <w:lastRenderedPageBreak/>
        <w:t xml:space="preserve">and collaterals used, (iv) securities lending / borrowings, (v) related party transactions, (vi) CIS performance (1Y, 3Y, 5Y, 10Y, LTD), (vii) expense ratios, (viii) turnover ratios, (ix) contingent liabilities etc. </w:t>
      </w:r>
    </w:p>
    <w:p w14:paraId="082524A6" w14:textId="77777777" w:rsidR="00501C0C" w:rsidRDefault="00501C0C" w:rsidP="009F73BE">
      <w:pPr>
        <w:pStyle w:val="BodyText"/>
        <w:numPr>
          <w:ilvl w:val="2"/>
          <w:numId w:val="112"/>
        </w:numPr>
        <w:jc w:val="both"/>
        <w:rPr>
          <w:rFonts w:ascii="Calibri" w:hAnsi="Calibri" w:cs="Calibri"/>
          <w:color w:val="auto"/>
          <w:sz w:val="22"/>
          <w:lang w:val="en-US"/>
        </w:rPr>
      </w:pPr>
      <w:r>
        <w:rPr>
          <w:rFonts w:ascii="Calibri" w:hAnsi="Calibri" w:cs="Calibri"/>
          <w:color w:val="auto"/>
          <w:sz w:val="22"/>
          <w:lang w:val="en-US"/>
        </w:rPr>
        <w:t xml:space="preserve">Manager should also </w:t>
      </w:r>
      <w:r w:rsidRPr="00560A7E">
        <w:rPr>
          <w:rFonts w:ascii="Calibri" w:hAnsi="Calibri" w:cs="Calibri"/>
          <w:color w:val="auto"/>
          <w:sz w:val="22"/>
          <w:u w:val="single"/>
          <w:lang w:val="en-US"/>
        </w:rPr>
        <w:t>maintain a record of (</w:t>
      </w:r>
      <w:proofErr w:type="spellStart"/>
      <w:r w:rsidRPr="00560A7E">
        <w:rPr>
          <w:rFonts w:ascii="Calibri" w:hAnsi="Calibri" w:cs="Calibri"/>
          <w:color w:val="auto"/>
          <w:sz w:val="22"/>
          <w:u w:val="single"/>
          <w:lang w:val="en-US"/>
        </w:rPr>
        <w:t>i</w:t>
      </w:r>
      <w:proofErr w:type="spellEnd"/>
      <w:r w:rsidRPr="00560A7E">
        <w:rPr>
          <w:rFonts w:ascii="Calibri" w:hAnsi="Calibri" w:cs="Calibri"/>
          <w:color w:val="auto"/>
          <w:sz w:val="22"/>
          <w:u w:val="single"/>
          <w:lang w:val="en-US"/>
        </w:rPr>
        <w:t>) instructions of how votes should be exercised and the (ii) soft dollars received</w:t>
      </w:r>
      <w:r>
        <w:rPr>
          <w:rFonts w:ascii="Calibri" w:hAnsi="Calibri" w:cs="Calibri"/>
          <w:color w:val="auto"/>
          <w:sz w:val="22"/>
          <w:lang w:val="en-US"/>
        </w:rPr>
        <w:t>.</w:t>
      </w:r>
    </w:p>
    <w:p w14:paraId="13FBA95B" w14:textId="77777777" w:rsidR="00501C0C" w:rsidRDefault="00501C0C" w:rsidP="009F73BE">
      <w:pPr>
        <w:pStyle w:val="BodyText"/>
        <w:numPr>
          <w:ilvl w:val="2"/>
          <w:numId w:val="112"/>
        </w:numPr>
        <w:jc w:val="both"/>
        <w:rPr>
          <w:rFonts w:ascii="Calibri" w:hAnsi="Calibri" w:cs="Calibri"/>
          <w:color w:val="auto"/>
          <w:sz w:val="22"/>
          <w:lang w:val="en-US"/>
        </w:rPr>
      </w:pPr>
      <w:r>
        <w:rPr>
          <w:rFonts w:ascii="Calibri" w:hAnsi="Calibri" w:cs="Calibri"/>
          <w:color w:val="auto"/>
          <w:sz w:val="22"/>
          <w:lang w:val="en-US"/>
        </w:rPr>
        <w:t xml:space="preserve">Manager is </w:t>
      </w:r>
      <w:r w:rsidRPr="00DA5122">
        <w:rPr>
          <w:rFonts w:ascii="Calibri" w:hAnsi="Calibri" w:cs="Calibri"/>
          <w:color w:val="auto"/>
          <w:sz w:val="22"/>
          <w:u w:val="single"/>
          <w:lang w:val="en-US"/>
        </w:rPr>
        <w:t>prohibited from paying marketing or promotion expenses</w:t>
      </w:r>
      <w:r>
        <w:rPr>
          <w:rFonts w:ascii="Calibri" w:hAnsi="Calibri" w:cs="Calibri"/>
          <w:color w:val="auto"/>
          <w:sz w:val="22"/>
          <w:lang w:val="en-US"/>
        </w:rPr>
        <w:t xml:space="preserve"> from the CIS, except for the preparation of prospectus, profile statement or product highlight sheet.</w:t>
      </w:r>
    </w:p>
    <w:p w14:paraId="389CD29D" w14:textId="77777777" w:rsidR="00501C0C" w:rsidRDefault="00501C0C" w:rsidP="009F73BE">
      <w:pPr>
        <w:pStyle w:val="BodyText"/>
        <w:numPr>
          <w:ilvl w:val="2"/>
          <w:numId w:val="112"/>
        </w:numPr>
        <w:jc w:val="both"/>
        <w:rPr>
          <w:rFonts w:ascii="Calibri" w:hAnsi="Calibri" w:cs="Calibri"/>
          <w:color w:val="auto"/>
          <w:sz w:val="22"/>
          <w:lang w:val="en-US"/>
        </w:rPr>
      </w:pPr>
      <w:r>
        <w:rPr>
          <w:rFonts w:ascii="Calibri" w:hAnsi="Calibri" w:cs="Calibri"/>
          <w:color w:val="auto"/>
          <w:sz w:val="22"/>
          <w:lang w:val="en-US"/>
        </w:rPr>
        <w:t xml:space="preserve">Manager is also </w:t>
      </w:r>
      <w:r w:rsidRPr="00DA5122">
        <w:rPr>
          <w:rFonts w:ascii="Calibri" w:hAnsi="Calibri" w:cs="Calibri"/>
          <w:color w:val="auto"/>
          <w:sz w:val="22"/>
          <w:u w:val="single"/>
          <w:lang w:val="en-US"/>
        </w:rPr>
        <w:t>prohibited from using CIS monies to (</w:t>
      </w:r>
      <w:proofErr w:type="spellStart"/>
      <w:r w:rsidRPr="00DA5122">
        <w:rPr>
          <w:rFonts w:ascii="Calibri" w:hAnsi="Calibri" w:cs="Calibri"/>
          <w:color w:val="auto"/>
          <w:sz w:val="22"/>
          <w:u w:val="single"/>
          <w:lang w:val="en-US"/>
        </w:rPr>
        <w:t>i</w:t>
      </w:r>
      <w:proofErr w:type="spellEnd"/>
      <w:r w:rsidRPr="00DA5122">
        <w:rPr>
          <w:rFonts w:ascii="Calibri" w:hAnsi="Calibri" w:cs="Calibri"/>
          <w:color w:val="auto"/>
          <w:sz w:val="22"/>
          <w:u w:val="single"/>
          <w:lang w:val="en-US"/>
        </w:rPr>
        <w:t>) invest in own securities</w:t>
      </w:r>
      <w:r>
        <w:rPr>
          <w:rFonts w:ascii="Calibri" w:hAnsi="Calibri" w:cs="Calibri"/>
          <w:color w:val="auto"/>
          <w:sz w:val="22"/>
          <w:lang w:val="en-US"/>
        </w:rPr>
        <w:t xml:space="preserve"> (assuming the manager is a listed entity), (ii) </w:t>
      </w:r>
      <w:r w:rsidRPr="00DA5122">
        <w:rPr>
          <w:rFonts w:ascii="Calibri" w:hAnsi="Calibri" w:cs="Calibri"/>
          <w:color w:val="auto"/>
          <w:sz w:val="22"/>
          <w:u w:val="single"/>
          <w:lang w:val="en-US"/>
        </w:rPr>
        <w:t>lend monies to its related parties</w:t>
      </w:r>
      <w:r>
        <w:rPr>
          <w:rFonts w:ascii="Calibri" w:hAnsi="Calibri" w:cs="Calibri"/>
          <w:color w:val="auto"/>
          <w:sz w:val="22"/>
          <w:lang w:val="en-US"/>
        </w:rPr>
        <w:t xml:space="preserve">, (iii) </w:t>
      </w:r>
      <w:r w:rsidRPr="00DA5122">
        <w:rPr>
          <w:rFonts w:ascii="Calibri" w:hAnsi="Calibri" w:cs="Calibri"/>
          <w:color w:val="auto"/>
          <w:sz w:val="22"/>
          <w:u w:val="single"/>
          <w:lang w:val="en-US"/>
        </w:rPr>
        <w:t>purchase real estate assets owned by the manager</w:t>
      </w:r>
      <w:r>
        <w:rPr>
          <w:rFonts w:ascii="Calibri" w:hAnsi="Calibri" w:cs="Calibri"/>
          <w:color w:val="auto"/>
          <w:sz w:val="22"/>
          <w:lang w:val="en-US"/>
        </w:rPr>
        <w:t xml:space="preserve">.  </w:t>
      </w:r>
    </w:p>
    <w:p w14:paraId="7348A09B" w14:textId="77777777" w:rsidR="00501C0C" w:rsidRDefault="00501C0C" w:rsidP="009F73BE">
      <w:pPr>
        <w:pStyle w:val="BodyText"/>
        <w:numPr>
          <w:ilvl w:val="2"/>
          <w:numId w:val="112"/>
        </w:numPr>
        <w:jc w:val="both"/>
        <w:rPr>
          <w:rFonts w:ascii="Calibri" w:hAnsi="Calibri" w:cs="Calibri"/>
          <w:color w:val="auto"/>
          <w:sz w:val="22"/>
          <w:lang w:val="en-US"/>
        </w:rPr>
      </w:pPr>
      <w:r>
        <w:rPr>
          <w:rFonts w:ascii="Calibri" w:hAnsi="Calibri" w:cs="Calibri"/>
          <w:color w:val="auto"/>
          <w:sz w:val="22"/>
          <w:lang w:val="en-US"/>
        </w:rPr>
        <w:t xml:space="preserve">Manager is also </w:t>
      </w:r>
      <w:r w:rsidRPr="00DA5122">
        <w:rPr>
          <w:rFonts w:ascii="Calibri" w:hAnsi="Calibri" w:cs="Calibri"/>
          <w:color w:val="auto"/>
          <w:sz w:val="22"/>
          <w:u w:val="single"/>
          <w:lang w:val="en-US"/>
        </w:rPr>
        <w:t>responsible for creating its own internal credit assessment standards and establishing its credit assessment process</w:t>
      </w:r>
      <w:r>
        <w:rPr>
          <w:rFonts w:ascii="Calibri" w:hAnsi="Calibri" w:cs="Calibri"/>
          <w:color w:val="auto"/>
          <w:sz w:val="22"/>
          <w:lang w:val="en-US"/>
        </w:rPr>
        <w:t xml:space="preserve"> to ensure its investments are aligned with the standards, instead of relying solely on credit ratings produced by rating agencies.</w:t>
      </w:r>
    </w:p>
    <w:p w14:paraId="444656C4" w14:textId="77777777" w:rsidR="00501C0C" w:rsidRDefault="00501C0C" w:rsidP="009F73BE">
      <w:pPr>
        <w:pStyle w:val="BodyText"/>
        <w:numPr>
          <w:ilvl w:val="2"/>
          <w:numId w:val="112"/>
        </w:numPr>
        <w:jc w:val="both"/>
        <w:rPr>
          <w:rFonts w:ascii="Calibri" w:hAnsi="Calibri" w:cs="Calibri"/>
          <w:color w:val="auto"/>
          <w:sz w:val="22"/>
          <w:lang w:val="en-US"/>
        </w:rPr>
      </w:pPr>
      <w:r>
        <w:rPr>
          <w:rFonts w:ascii="Calibri" w:hAnsi="Calibri" w:cs="Calibri"/>
          <w:color w:val="auto"/>
          <w:sz w:val="22"/>
          <w:lang w:val="en-US"/>
        </w:rPr>
        <w:t xml:space="preserve">Any </w:t>
      </w:r>
      <w:r w:rsidRPr="00DA5122">
        <w:rPr>
          <w:rFonts w:ascii="Calibri" w:hAnsi="Calibri" w:cs="Calibri"/>
          <w:color w:val="auto"/>
          <w:sz w:val="22"/>
          <w:u w:val="single"/>
          <w:lang w:val="en-US"/>
        </w:rPr>
        <w:t>redemption proceeds should be paid out by the manager within 7 business days</w:t>
      </w:r>
      <w:r>
        <w:rPr>
          <w:rFonts w:ascii="Calibri" w:hAnsi="Calibri" w:cs="Calibri"/>
          <w:color w:val="auto"/>
          <w:sz w:val="22"/>
          <w:lang w:val="en-US"/>
        </w:rPr>
        <w:t xml:space="preserve">. </w:t>
      </w:r>
    </w:p>
    <w:p w14:paraId="597B6BCD" w14:textId="77777777" w:rsidR="00501C0C" w:rsidRPr="00A63FC5" w:rsidRDefault="00501C0C" w:rsidP="009F73BE">
      <w:pPr>
        <w:pStyle w:val="BodyText"/>
        <w:numPr>
          <w:ilvl w:val="2"/>
          <w:numId w:val="112"/>
        </w:numPr>
        <w:jc w:val="both"/>
        <w:rPr>
          <w:rFonts w:ascii="Calibri" w:hAnsi="Calibri" w:cs="Calibri"/>
          <w:color w:val="auto"/>
          <w:sz w:val="22"/>
          <w:lang w:val="en-US"/>
        </w:rPr>
      </w:pPr>
      <w:r>
        <w:rPr>
          <w:rFonts w:ascii="Calibri" w:hAnsi="Calibri" w:cs="Calibri"/>
          <w:color w:val="auto"/>
          <w:sz w:val="22"/>
          <w:lang w:val="en-US"/>
        </w:rPr>
        <w:t xml:space="preserve">Manager should </w:t>
      </w:r>
      <w:r w:rsidRPr="00DA5122">
        <w:rPr>
          <w:rFonts w:ascii="Calibri" w:hAnsi="Calibri" w:cs="Calibri"/>
          <w:color w:val="auto"/>
          <w:sz w:val="22"/>
          <w:u w:val="single"/>
          <w:lang w:val="en-US"/>
        </w:rPr>
        <w:t>obtain an extraordinary resolution of participants for any trust deed modifications</w:t>
      </w:r>
      <w:r>
        <w:rPr>
          <w:rFonts w:ascii="Calibri" w:hAnsi="Calibri" w:cs="Calibri"/>
          <w:color w:val="auto"/>
          <w:sz w:val="22"/>
          <w:lang w:val="en-US"/>
        </w:rPr>
        <w:t xml:space="preserve"> unless the trustee waives the requirement (e.g., correcting typos and change does materially prejudice the participants’ benefits). </w:t>
      </w:r>
    </w:p>
    <w:p w14:paraId="6EE38610" w14:textId="77777777" w:rsidR="00501C0C" w:rsidRPr="007A7B04" w:rsidRDefault="00501C0C" w:rsidP="009F73BE">
      <w:pPr>
        <w:pStyle w:val="BodyText"/>
        <w:numPr>
          <w:ilvl w:val="1"/>
          <w:numId w:val="112"/>
        </w:numPr>
        <w:jc w:val="both"/>
        <w:rPr>
          <w:rFonts w:ascii="Calibri" w:hAnsi="Calibri" w:cs="Calibri"/>
          <w:b/>
          <w:bCs/>
          <w:color w:val="auto"/>
          <w:sz w:val="22"/>
          <w:lang w:val="en-US"/>
        </w:rPr>
      </w:pPr>
      <w:r>
        <w:rPr>
          <w:rFonts w:ascii="Calibri" w:hAnsi="Calibri" w:cs="Calibri"/>
          <w:b/>
          <w:bCs/>
          <w:color w:val="auto"/>
          <w:sz w:val="22"/>
          <w:lang w:val="en-US"/>
        </w:rPr>
        <w:t>Trustee Role</w:t>
      </w:r>
      <w:r>
        <w:rPr>
          <w:rFonts w:ascii="Calibri" w:hAnsi="Calibri" w:cs="Calibri"/>
          <w:color w:val="auto"/>
          <w:sz w:val="22"/>
          <w:lang w:val="en-US"/>
        </w:rPr>
        <w:t xml:space="preserve">: </w:t>
      </w:r>
    </w:p>
    <w:p w14:paraId="299B17EA" w14:textId="77777777" w:rsidR="00501C0C" w:rsidRPr="006767FB" w:rsidRDefault="00501C0C" w:rsidP="009F73BE">
      <w:pPr>
        <w:pStyle w:val="BodyText"/>
        <w:numPr>
          <w:ilvl w:val="2"/>
          <w:numId w:val="112"/>
        </w:numPr>
        <w:jc w:val="both"/>
        <w:rPr>
          <w:rFonts w:ascii="Calibri" w:hAnsi="Calibri" w:cs="Calibri"/>
          <w:b/>
          <w:bCs/>
          <w:color w:val="auto"/>
          <w:sz w:val="22"/>
          <w:lang w:val="en-US"/>
        </w:rPr>
      </w:pPr>
      <w:r>
        <w:rPr>
          <w:rFonts w:ascii="Calibri" w:hAnsi="Calibri" w:cs="Calibri"/>
          <w:color w:val="auto"/>
          <w:sz w:val="22"/>
          <w:lang w:val="en-US"/>
        </w:rPr>
        <w:t xml:space="preserve">In the event where fair value is used to assess NAV, the </w:t>
      </w:r>
      <w:r w:rsidRPr="006767FB">
        <w:rPr>
          <w:rFonts w:ascii="Calibri" w:hAnsi="Calibri" w:cs="Calibri"/>
          <w:color w:val="auto"/>
          <w:sz w:val="22"/>
          <w:u w:val="single"/>
          <w:lang w:val="en-US"/>
        </w:rPr>
        <w:t>trustee must approve the valuer used by the manager</w:t>
      </w:r>
      <w:r>
        <w:rPr>
          <w:rFonts w:ascii="Calibri" w:hAnsi="Calibri" w:cs="Calibri"/>
          <w:color w:val="auto"/>
          <w:sz w:val="22"/>
          <w:lang w:val="en-US"/>
        </w:rPr>
        <w:t xml:space="preserve">. Trustee </w:t>
      </w:r>
      <w:r w:rsidRPr="006767FB">
        <w:rPr>
          <w:rFonts w:ascii="Calibri" w:hAnsi="Calibri" w:cs="Calibri"/>
          <w:color w:val="auto"/>
          <w:sz w:val="22"/>
          <w:u w:val="single"/>
          <w:lang w:val="en-US"/>
        </w:rPr>
        <w:t>must also approve any alternative methods used by managers</w:t>
      </w:r>
      <w:r>
        <w:rPr>
          <w:rFonts w:ascii="Calibri" w:hAnsi="Calibri" w:cs="Calibri"/>
          <w:color w:val="auto"/>
          <w:sz w:val="22"/>
          <w:lang w:val="en-US"/>
        </w:rPr>
        <w:t>.</w:t>
      </w:r>
    </w:p>
    <w:p w14:paraId="3DF1287A" w14:textId="77777777" w:rsidR="00501C0C" w:rsidRPr="006767FB" w:rsidRDefault="00501C0C" w:rsidP="009F73BE">
      <w:pPr>
        <w:pStyle w:val="BodyText"/>
        <w:numPr>
          <w:ilvl w:val="2"/>
          <w:numId w:val="112"/>
        </w:numPr>
        <w:jc w:val="both"/>
        <w:rPr>
          <w:rFonts w:ascii="Calibri" w:hAnsi="Calibri" w:cs="Calibri"/>
          <w:b/>
          <w:bCs/>
          <w:color w:val="auto"/>
          <w:sz w:val="22"/>
          <w:lang w:val="en-US"/>
        </w:rPr>
      </w:pPr>
      <w:r>
        <w:rPr>
          <w:rFonts w:ascii="Calibri" w:hAnsi="Calibri" w:cs="Calibri"/>
          <w:color w:val="auto"/>
          <w:sz w:val="22"/>
          <w:lang w:val="en-US"/>
        </w:rPr>
        <w:t>In the event of any valuation error with compensation, the trustee is required to notify MAS upon completion of the compensation.</w:t>
      </w:r>
    </w:p>
    <w:p w14:paraId="67AA9A33" w14:textId="77777777" w:rsidR="00501C0C" w:rsidRPr="008E0137" w:rsidRDefault="00501C0C" w:rsidP="009F73BE">
      <w:pPr>
        <w:pStyle w:val="BodyText"/>
        <w:numPr>
          <w:ilvl w:val="2"/>
          <w:numId w:val="112"/>
        </w:numPr>
        <w:jc w:val="both"/>
        <w:rPr>
          <w:rFonts w:ascii="Calibri" w:hAnsi="Calibri" w:cs="Calibri"/>
          <w:b/>
          <w:bCs/>
          <w:color w:val="auto"/>
          <w:sz w:val="22"/>
          <w:lang w:val="en-US"/>
        </w:rPr>
      </w:pPr>
      <w:r>
        <w:rPr>
          <w:rFonts w:ascii="Calibri" w:hAnsi="Calibri" w:cs="Calibri"/>
          <w:color w:val="auto"/>
          <w:sz w:val="22"/>
          <w:lang w:val="en-US"/>
        </w:rPr>
        <w:t xml:space="preserve">Must </w:t>
      </w:r>
      <w:r w:rsidRPr="006767FB">
        <w:rPr>
          <w:rFonts w:ascii="Calibri" w:hAnsi="Calibri" w:cs="Calibri"/>
          <w:color w:val="auto"/>
          <w:sz w:val="22"/>
          <w:u w:val="single"/>
          <w:lang w:val="en-US"/>
        </w:rPr>
        <w:t>maintain a register of the CIS participants</w:t>
      </w:r>
      <w:r>
        <w:rPr>
          <w:rFonts w:ascii="Calibri" w:hAnsi="Calibri" w:cs="Calibri"/>
          <w:color w:val="auto"/>
          <w:sz w:val="22"/>
          <w:lang w:val="en-US"/>
        </w:rPr>
        <w:t>, which records their name, address, holding %, date of participant enrolment, date of participant cessation (if any).</w:t>
      </w:r>
    </w:p>
    <w:p w14:paraId="16EA741E" w14:textId="77777777" w:rsidR="00501C0C" w:rsidRPr="00D3723B" w:rsidRDefault="00501C0C" w:rsidP="009F73BE">
      <w:pPr>
        <w:pStyle w:val="BodyText"/>
        <w:numPr>
          <w:ilvl w:val="2"/>
          <w:numId w:val="112"/>
        </w:numPr>
        <w:jc w:val="both"/>
        <w:rPr>
          <w:rFonts w:ascii="Calibri" w:hAnsi="Calibri" w:cs="Calibri"/>
          <w:b/>
          <w:bCs/>
          <w:color w:val="auto"/>
          <w:sz w:val="22"/>
          <w:lang w:val="en-US"/>
        </w:rPr>
      </w:pPr>
      <w:r>
        <w:rPr>
          <w:rFonts w:ascii="Calibri" w:hAnsi="Calibri" w:cs="Calibri"/>
          <w:color w:val="auto"/>
          <w:sz w:val="22"/>
          <w:lang w:val="en-US"/>
        </w:rPr>
        <w:t>Trustee should ensure that they send (</w:t>
      </w:r>
      <w:proofErr w:type="spellStart"/>
      <w:r>
        <w:rPr>
          <w:rFonts w:ascii="Calibri" w:hAnsi="Calibri" w:cs="Calibri"/>
          <w:color w:val="auto"/>
          <w:sz w:val="22"/>
          <w:lang w:val="en-US"/>
        </w:rPr>
        <w:t>i</w:t>
      </w:r>
      <w:proofErr w:type="spellEnd"/>
      <w:r>
        <w:rPr>
          <w:rFonts w:ascii="Calibri" w:hAnsi="Calibri" w:cs="Calibri"/>
          <w:color w:val="auto"/>
          <w:sz w:val="22"/>
          <w:lang w:val="en-US"/>
        </w:rPr>
        <w:t xml:space="preserve">) semi-annual accounts/reports within 2 months of period end and (ii) annual audited accounts/annual reports and auditor reports within 3 months of FYE. </w:t>
      </w:r>
    </w:p>
    <w:p w14:paraId="3B75515B" w14:textId="77777777" w:rsidR="00501C0C" w:rsidRPr="007A7B04" w:rsidRDefault="00501C0C" w:rsidP="009F73BE">
      <w:pPr>
        <w:pStyle w:val="BodyText"/>
        <w:numPr>
          <w:ilvl w:val="2"/>
          <w:numId w:val="112"/>
        </w:numPr>
        <w:jc w:val="both"/>
        <w:rPr>
          <w:rFonts w:ascii="Calibri" w:hAnsi="Calibri" w:cs="Calibri"/>
          <w:b/>
          <w:bCs/>
          <w:color w:val="auto"/>
          <w:sz w:val="22"/>
          <w:lang w:val="en-US"/>
        </w:rPr>
      </w:pPr>
      <w:r w:rsidRPr="007A7B04">
        <w:rPr>
          <w:rFonts w:ascii="Calibri" w:hAnsi="Calibri" w:cs="Calibri"/>
          <w:color w:val="auto"/>
          <w:sz w:val="22"/>
          <w:u w:val="single"/>
          <w:lang w:val="en-US"/>
        </w:rPr>
        <w:t xml:space="preserve">Notify MAS of any </w:t>
      </w:r>
      <w:r w:rsidRPr="00231401">
        <w:rPr>
          <w:rFonts w:ascii="Calibri" w:hAnsi="Calibri" w:cs="Calibri"/>
          <w:color w:val="auto"/>
          <w:sz w:val="22"/>
          <w:u w:val="single"/>
          <w:lang w:val="en-US"/>
        </w:rPr>
        <w:t>breaches</w:t>
      </w:r>
      <w:r>
        <w:rPr>
          <w:rFonts w:ascii="Calibri" w:hAnsi="Calibri" w:cs="Calibri"/>
          <w:color w:val="auto"/>
          <w:sz w:val="22"/>
          <w:lang w:val="en-US"/>
        </w:rPr>
        <w:t xml:space="preserve"> on (</w:t>
      </w:r>
      <w:proofErr w:type="spellStart"/>
      <w:r>
        <w:rPr>
          <w:rFonts w:ascii="Calibri" w:hAnsi="Calibri" w:cs="Calibri"/>
          <w:color w:val="auto"/>
          <w:sz w:val="22"/>
          <w:lang w:val="en-US"/>
        </w:rPr>
        <w:t>i</w:t>
      </w:r>
      <w:proofErr w:type="spellEnd"/>
      <w:r>
        <w:rPr>
          <w:rFonts w:ascii="Calibri" w:hAnsi="Calibri" w:cs="Calibri"/>
          <w:color w:val="auto"/>
          <w:sz w:val="22"/>
          <w:lang w:val="en-US"/>
        </w:rPr>
        <w:t xml:space="preserve">) investment guidelines/limits (e.g., borrowings or concentration limits) set out in Code on CIS and (ii) financial requirements </w:t>
      </w:r>
      <w:r w:rsidRPr="007A7B04">
        <w:rPr>
          <w:rFonts w:ascii="Calibri" w:hAnsi="Calibri" w:cs="Calibri"/>
          <w:color w:val="auto"/>
          <w:sz w:val="22"/>
          <w:u w:val="single"/>
          <w:lang w:val="en-US"/>
        </w:rPr>
        <w:t>within 3 business days</w:t>
      </w:r>
      <w:r>
        <w:rPr>
          <w:rFonts w:ascii="Calibri" w:hAnsi="Calibri" w:cs="Calibri"/>
          <w:color w:val="auto"/>
          <w:sz w:val="22"/>
          <w:lang w:val="en-US"/>
        </w:rPr>
        <w:t xml:space="preserve">. </w:t>
      </w:r>
    </w:p>
    <w:p w14:paraId="1EBEDB37" w14:textId="77777777" w:rsidR="00501C0C" w:rsidRPr="007E570F" w:rsidRDefault="00501C0C" w:rsidP="009F73BE">
      <w:pPr>
        <w:pStyle w:val="BodyText"/>
        <w:numPr>
          <w:ilvl w:val="2"/>
          <w:numId w:val="112"/>
        </w:numPr>
        <w:jc w:val="both"/>
        <w:rPr>
          <w:rFonts w:ascii="Calibri" w:hAnsi="Calibri" w:cs="Calibri"/>
          <w:b/>
          <w:bCs/>
          <w:color w:val="auto"/>
          <w:sz w:val="22"/>
          <w:lang w:val="en-US"/>
        </w:rPr>
      </w:pPr>
      <w:r>
        <w:rPr>
          <w:rFonts w:ascii="Calibri" w:hAnsi="Calibri" w:cs="Calibri"/>
          <w:color w:val="auto"/>
          <w:sz w:val="22"/>
          <w:u w:val="single"/>
          <w:lang w:val="en-US"/>
        </w:rPr>
        <w:t>Takes custody or control of all CIS properties</w:t>
      </w:r>
      <w:r>
        <w:rPr>
          <w:rFonts w:ascii="Calibri" w:hAnsi="Calibri" w:cs="Calibri"/>
          <w:color w:val="auto"/>
          <w:sz w:val="22"/>
          <w:lang w:val="en-US"/>
        </w:rPr>
        <w:t xml:space="preserve"> and hold it in trust on behalf of CIS participants.</w:t>
      </w:r>
      <w:r>
        <w:rPr>
          <w:rFonts w:ascii="Calibri" w:hAnsi="Calibri" w:cs="Calibri"/>
          <w:color w:val="auto"/>
          <w:sz w:val="22"/>
          <w:u w:val="single"/>
          <w:lang w:val="en-US"/>
        </w:rPr>
        <w:t xml:space="preserve"> </w:t>
      </w:r>
    </w:p>
    <w:p w14:paraId="7E660206" w14:textId="77777777" w:rsidR="00501C0C" w:rsidRDefault="00501C0C" w:rsidP="00767992">
      <w:pPr>
        <w:pStyle w:val="BodyText"/>
        <w:ind w:left="360"/>
        <w:jc w:val="both"/>
        <w:rPr>
          <w:rFonts w:ascii="Calibri" w:hAnsi="Calibri" w:cs="Calibri"/>
          <w:color w:val="auto"/>
          <w:sz w:val="22"/>
          <w:lang w:val="en-US"/>
        </w:rPr>
      </w:pPr>
    </w:p>
    <w:p w14:paraId="55648AE3" w14:textId="46F52426" w:rsidR="005F74C5" w:rsidRDefault="005F74C5"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Difference</w:t>
      </w:r>
      <w:r w:rsidR="00877E14">
        <w:rPr>
          <w:rFonts w:ascii="Calibri" w:hAnsi="Calibri" w:cs="Calibri"/>
          <w:color w:val="auto"/>
          <w:lang w:val="en-US"/>
        </w:rPr>
        <w:t>s</w:t>
      </w:r>
      <w:r>
        <w:rPr>
          <w:rFonts w:ascii="Calibri" w:hAnsi="Calibri" w:cs="Calibri"/>
          <w:color w:val="auto"/>
          <w:lang w:val="en-US"/>
        </w:rPr>
        <w:t xml:space="preserve"> between </w:t>
      </w:r>
      <w:r w:rsidR="007E570F">
        <w:rPr>
          <w:rFonts w:ascii="Calibri" w:hAnsi="Calibri" w:cs="Calibri"/>
          <w:color w:val="auto"/>
          <w:lang w:val="en-US"/>
        </w:rPr>
        <w:t>A</w:t>
      </w:r>
      <w:r>
        <w:rPr>
          <w:rFonts w:ascii="Calibri" w:hAnsi="Calibri" w:cs="Calibri"/>
          <w:color w:val="auto"/>
          <w:lang w:val="en-US"/>
        </w:rPr>
        <w:t xml:space="preserve">uthorized </w:t>
      </w:r>
      <w:r w:rsidR="00BB4863">
        <w:rPr>
          <w:rFonts w:ascii="Calibri" w:hAnsi="Calibri" w:cs="Calibri"/>
          <w:color w:val="auto"/>
          <w:lang w:val="en-US"/>
        </w:rPr>
        <w:t>&amp;</w:t>
      </w:r>
      <w:r>
        <w:rPr>
          <w:rFonts w:ascii="Calibri" w:hAnsi="Calibri" w:cs="Calibri"/>
          <w:color w:val="auto"/>
          <w:lang w:val="en-US"/>
        </w:rPr>
        <w:t xml:space="preserve"> </w:t>
      </w:r>
      <w:r w:rsidR="007E570F">
        <w:rPr>
          <w:rFonts w:ascii="Calibri" w:hAnsi="Calibri" w:cs="Calibri"/>
          <w:color w:val="auto"/>
          <w:lang w:val="en-US"/>
        </w:rPr>
        <w:t>R</w:t>
      </w:r>
      <w:r>
        <w:rPr>
          <w:rFonts w:ascii="Calibri" w:hAnsi="Calibri" w:cs="Calibri"/>
          <w:color w:val="auto"/>
          <w:lang w:val="en-US"/>
        </w:rPr>
        <w:t xml:space="preserve">ecognized </w:t>
      </w:r>
      <w:r w:rsidR="0011353B">
        <w:rPr>
          <w:rFonts w:ascii="Calibri" w:hAnsi="Calibri" w:cs="Calibri"/>
          <w:color w:val="auto"/>
          <w:lang w:val="en-US"/>
        </w:rPr>
        <w:t>schemes</w:t>
      </w:r>
    </w:p>
    <w:p w14:paraId="623A8723" w14:textId="1DA55D6A" w:rsidR="00EC4016" w:rsidRPr="00B51190" w:rsidRDefault="00EC4016" w:rsidP="009F73BE">
      <w:pPr>
        <w:pStyle w:val="BodyText"/>
        <w:numPr>
          <w:ilvl w:val="0"/>
          <w:numId w:val="105"/>
        </w:numPr>
        <w:jc w:val="both"/>
        <w:rPr>
          <w:rFonts w:ascii="Calibri" w:hAnsi="Calibri" w:cs="Calibri"/>
          <w:b/>
          <w:bCs/>
          <w:color w:val="auto"/>
          <w:sz w:val="22"/>
          <w:lang w:val="en-US"/>
        </w:rPr>
      </w:pPr>
      <w:r w:rsidRPr="00B51190">
        <w:rPr>
          <w:rFonts w:ascii="Calibri" w:hAnsi="Calibri" w:cs="Calibri"/>
          <w:b/>
          <w:bCs/>
          <w:color w:val="auto"/>
          <w:sz w:val="22"/>
          <w:lang w:val="en-US"/>
        </w:rPr>
        <w:t>Authorized CIS</w:t>
      </w:r>
      <w:r w:rsidR="004B33A6">
        <w:rPr>
          <w:rFonts w:ascii="Calibri" w:hAnsi="Calibri" w:cs="Calibri"/>
          <w:b/>
          <w:bCs/>
          <w:color w:val="auto"/>
          <w:sz w:val="22"/>
          <w:lang w:val="en-US"/>
        </w:rPr>
        <w:t>:</w:t>
      </w:r>
    </w:p>
    <w:p w14:paraId="11B771C0" w14:textId="77777777" w:rsidR="003220DF" w:rsidRPr="003220DF" w:rsidRDefault="003220DF" w:rsidP="009F73BE">
      <w:pPr>
        <w:pStyle w:val="BodyText"/>
        <w:numPr>
          <w:ilvl w:val="1"/>
          <w:numId w:val="105"/>
        </w:numPr>
        <w:jc w:val="both"/>
        <w:rPr>
          <w:rFonts w:ascii="Calibri" w:hAnsi="Calibri" w:cs="Calibri"/>
          <w:b/>
          <w:bCs/>
          <w:color w:val="auto"/>
          <w:sz w:val="22"/>
          <w:lang w:val="en-US"/>
        </w:rPr>
      </w:pPr>
      <w:r w:rsidRPr="003220DF">
        <w:rPr>
          <w:rFonts w:ascii="Calibri" w:hAnsi="Calibri" w:cs="Calibri"/>
          <w:b/>
          <w:bCs/>
          <w:color w:val="auto"/>
          <w:sz w:val="22"/>
          <w:lang w:val="en-US"/>
        </w:rPr>
        <w:t>Structure</w:t>
      </w:r>
      <w:r>
        <w:rPr>
          <w:rFonts w:ascii="Calibri" w:hAnsi="Calibri" w:cs="Calibri"/>
          <w:color w:val="auto"/>
          <w:sz w:val="22"/>
          <w:lang w:val="en-US"/>
        </w:rPr>
        <w:t xml:space="preserve">: </w:t>
      </w:r>
    </w:p>
    <w:p w14:paraId="39123228" w14:textId="3036E90F" w:rsidR="003220DF" w:rsidRPr="003220DF" w:rsidRDefault="003220DF" w:rsidP="009F73BE">
      <w:pPr>
        <w:pStyle w:val="BodyText"/>
        <w:numPr>
          <w:ilvl w:val="2"/>
          <w:numId w:val="105"/>
        </w:numPr>
        <w:jc w:val="both"/>
        <w:rPr>
          <w:rFonts w:ascii="Calibri" w:hAnsi="Calibri" w:cs="Calibri"/>
          <w:b/>
          <w:bCs/>
          <w:color w:val="auto"/>
          <w:sz w:val="22"/>
          <w:lang w:val="en-US"/>
        </w:rPr>
      </w:pPr>
      <w:r w:rsidRPr="003220DF">
        <w:rPr>
          <w:rFonts w:ascii="Calibri" w:hAnsi="Calibri" w:cs="Calibri"/>
          <w:color w:val="auto"/>
          <w:sz w:val="22"/>
          <w:u w:val="single"/>
          <w:lang w:val="en-US"/>
        </w:rPr>
        <w:t>Constituted in Singapore</w:t>
      </w:r>
      <w:r>
        <w:rPr>
          <w:rFonts w:ascii="Calibri" w:hAnsi="Calibri" w:cs="Calibri"/>
          <w:color w:val="auto"/>
          <w:sz w:val="22"/>
          <w:lang w:val="en-US"/>
        </w:rPr>
        <w:t xml:space="preserve"> with </w:t>
      </w:r>
      <w:r w:rsidR="00A53571">
        <w:rPr>
          <w:rFonts w:ascii="Calibri" w:hAnsi="Calibri" w:cs="Calibri"/>
          <w:color w:val="auto"/>
          <w:sz w:val="22"/>
          <w:lang w:val="en-US"/>
        </w:rPr>
        <w:t xml:space="preserve">the manager managing </w:t>
      </w:r>
      <w:r>
        <w:rPr>
          <w:rFonts w:ascii="Calibri" w:hAnsi="Calibri" w:cs="Calibri"/>
          <w:color w:val="auto"/>
          <w:sz w:val="22"/>
          <w:lang w:val="en-US"/>
        </w:rPr>
        <w:t xml:space="preserve">at least </w:t>
      </w:r>
      <w:r w:rsidRPr="00A53571">
        <w:rPr>
          <w:rFonts w:ascii="Calibri" w:hAnsi="Calibri" w:cs="Calibri"/>
          <w:color w:val="auto"/>
          <w:sz w:val="22"/>
          <w:u w:val="single"/>
          <w:lang w:val="en-US"/>
        </w:rPr>
        <w:t>$5</w:t>
      </w:r>
      <w:r w:rsidRPr="003220DF">
        <w:rPr>
          <w:rFonts w:ascii="Calibri" w:hAnsi="Calibri" w:cs="Calibri"/>
          <w:color w:val="auto"/>
          <w:sz w:val="22"/>
          <w:u w:val="single"/>
          <w:lang w:val="en-US"/>
        </w:rPr>
        <w:t>00M discretionary funds</w:t>
      </w:r>
      <w:r w:rsidR="00A53571">
        <w:rPr>
          <w:rFonts w:ascii="Calibri" w:hAnsi="Calibri" w:cs="Calibri"/>
          <w:color w:val="auto"/>
          <w:sz w:val="22"/>
          <w:u w:val="single"/>
          <w:lang w:val="en-US"/>
        </w:rPr>
        <w:t xml:space="preserve"> in Singapore</w:t>
      </w:r>
      <w:r>
        <w:rPr>
          <w:rFonts w:ascii="Calibri" w:hAnsi="Calibri" w:cs="Calibri"/>
          <w:color w:val="auto"/>
          <w:sz w:val="22"/>
          <w:lang w:val="en-US"/>
        </w:rPr>
        <w:t xml:space="preserve">. </w:t>
      </w:r>
    </w:p>
    <w:p w14:paraId="3067D76D" w14:textId="05115B09" w:rsidR="00811B64" w:rsidRPr="003220DF" w:rsidRDefault="003220DF" w:rsidP="009F73BE">
      <w:pPr>
        <w:pStyle w:val="BodyText"/>
        <w:numPr>
          <w:ilvl w:val="2"/>
          <w:numId w:val="105"/>
        </w:numPr>
        <w:jc w:val="both"/>
        <w:rPr>
          <w:rFonts w:ascii="Calibri" w:hAnsi="Calibri" w:cs="Calibri"/>
          <w:b/>
          <w:bCs/>
          <w:color w:val="auto"/>
          <w:sz w:val="22"/>
          <w:lang w:val="en-US"/>
        </w:rPr>
      </w:pPr>
      <w:r>
        <w:rPr>
          <w:rFonts w:ascii="Calibri" w:hAnsi="Calibri" w:cs="Calibri"/>
          <w:color w:val="auto"/>
          <w:sz w:val="22"/>
          <w:lang w:val="en-US"/>
        </w:rPr>
        <w:lastRenderedPageBreak/>
        <w:t xml:space="preserve">Must </w:t>
      </w:r>
      <w:r w:rsidRPr="00DD0B49">
        <w:rPr>
          <w:rFonts w:ascii="Calibri" w:hAnsi="Calibri" w:cs="Calibri"/>
          <w:color w:val="auto"/>
          <w:sz w:val="22"/>
          <w:u w:val="single"/>
          <w:lang w:val="en-US"/>
        </w:rPr>
        <w:t>comply with core investment guidelines and borrowing limits</w:t>
      </w:r>
      <w:r w:rsidRPr="00DD0B49">
        <w:rPr>
          <w:rFonts w:ascii="Calibri" w:hAnsi="Calibri" w:cs="Calibri"/>
          <w:color w:val="auto"/>
          <w:sz w:val="22"/>
          <w:lang w:val="en-US"/>
        </w:rPr>
        <w:t xml:space="preserve"> as</w:t>
      </w:r>
      <w:r>
        <w:rPr>
          <w:rFonts w:ascii="Calibri" w:hAnsi="Calibri" w:cs="Calibri"/>
          <w:color w:val="auto"/>
          <w:sz w:val="22"/>
          <w:lang w:val="en-US"/>
        </w:rPr>
        <w:t xml:space="preserve"> set out in Code on CIS. Quantum depends on </w:t>
      </w:r>
      <w:r w:rsidR="00D42765">
        <w:rPr>
          <w:rFonts w:ascii="Calibri" w:hAnsi="Calibri" w:cs="Calibri"/>
          <w:color w:val="auto"/>
          <w:sz w:val="22"/>
          <w:lang w:val="en-US"/>
        </w:rPr>
        <w:t>underlying</w:t>
      </w:r>
      <w:r>
        <w:rPr>
          <w:rFonts w:ascii="Calibri" w:hAnsi="Calibri" w:cs="Calibri"/>
          <w:color w:val="auto"/>
          <w:sz w:val="22"/>
          <w:lang w:val="en-US"/>
        </w:rPr>
        <w:t xml:space="preserve"> CIS </w:t>
      </w:r>
      <w:r w:rsidR="00D42765">
        <w:rPr>
          <w:rFonts w:ascii="Calibri" w:hAnsi="Calibri" w:cs="Calibri"/>
          <w:color w:val="auto"/>
          <w:sz w:val="22"/>
          <w:lang w:val="en-US"/>
        </w:rPr>
        <w:t xml:space="preserve">funds (e.g., specialized vs. non-specialized). </w:t>
      </w:r>
    </w:p>
    <w:p w14:paraId="76634C08" w14:textId="298F113A" w:rsidR="007A7B04" w:rsidRPr="00A63FC5" w:rsidRDefault="007A7B04" w:rsidP="009F73BE">
      <w:pPr>
        <w:pStyle w:val="BodyText"/>
        <w:numPr>
          <w:ilvl w:val="2"/>
          <w:numId w:val="105"/>
        </w:numPr>
        <w:jc w:val="both"/>
        <w:rPr>
          <w:rFonts w:ascii="Calibri" w:hAnsi="Calibri" w:cs="Calibri"/>
          <w:b/>
          <w:bCs/>
          <w:color w:val="auto"/>
          <w:sz w:val="22"/>
          <w:lang w:val="en-US"/>
        </w:rPr>
      </w:pPr>
      <w:r w:rsidRPr="007A7B04">
        <w:rPr>
          <w:rFonts w:ascii="Calibri" w:hAnsi="Calibri" w:cs="Calibri"/>
          <w:color w:val="auto"/>
          <w:sz w:val="22"/>
          <w:lang w:val="en-US"/>
        </w:rPr>
        <w:t xml:space="preserve">Ensure all </w:t>
      </w:r>
      <w:r>
        <w:rPr>
          <w:rFonts w:ascii="Calibri" w:hAnsi="Calibri" w:cs="Calibri"/>
          <w:color w:val="auto"/>
          <w:sz w:val="22"/>
          <w:lang w:val="en-US"/>
        </w:rPr>
        <w:t>CIS properties</w:t>
      </w:r>
      <w:r w:rsidRPr="007A7B04">
        <w:rPr>
          <w:rFonts w:ascii="Calibri" w:hAnsi="Calibri" w:cs="Calibri"/>
          <w:color w:val="auto"/>
          <w:sz w:val="22"/>
          <w:lang w:val="en-US"/>
        </w:rPr>
        <w:t xml:space="preserve"> are </w:t>
      </w:r>
      <w:r w:rsidRPr="007A7B04">
        <w:rPr>
          <w:rFonts w:ascii="Calibri" w:hAnsi="Calibri" w:cs="Calibri"/>
          <w:color w:val="auto"/>
          <w:sz w:val="22"/>
          <w:u w:val="single"/>
          <w:lang w:val="en-US"/>
        </w:rPr>
        <w:t>properly accounted</w:t>
      </w:r>
      <w:r w:rsidRPr="007A7B04">
        <w:rPr>
          <w:rFonts w:ascii="Calibri" w:hAnsi="Calibri" w:cs="Calibri"/>
          <w:color w:val="auto"/>
          <w:sz w:val="22"/>
          <w:lang w:val="en-US"/>
        </w:rPr>
        <w:t xml:space="preserve"> for and </w:t>
      </w:r>
      <w:r w:rsidRPr="007A7B04">
        <w:rPr>
          <w:rFonts w:ascii="Calibri" w:hAnsi="Calibri" w:cs="Calibri"/>
          <w:color w:val="auto"/>
          <w:sz w:val="22"/>
          <w:u w:val="single"/>
          <w:lang w:val="en-US"/>
        </w:rPr>
        <w:t>separated from trustees’ assets</w:t>
      </w:r>
      <w:r w:rsidRPr="007A7B04">
        <w:rPr>
          <w:rFonts w:ascii="Calibri" w:hAnsi="Calibri" w:cs="Calibri"/>
          <w:color w:val="auto"/>
          <w:sz w:val="22"/>
          <w:lang w:val="en-US"/>
        </w:rPr>
        <w:t>.</w:t>
      </w:r>
    </w:p>
    <w:p w14:paraId="4BC61083" w14:textId="6BFD6E0B" w:rsidR="00A63FC5" w:rsidRPr="00B51190" w:rsidRDefault="00A63FC5" w:rsidP="009F73BE">
      <w:pPr>
        <w:pStyle w:val="BodyText"/>
        <w:numPr>
          <w:ilvl w:val="0"/>
          <w:numId w:val="105"/>
        </w:numPr>
        <w:jc w:val="both"/>
        <w:rPr>
          <w:rFonts w:ascii="Calibri" w:hAnsi="Calibri" w:cs="Calibri"/>
          <w:b/>
          <w:bCs/>
          <w:color w:val="auto"/>
          <w:sz w:val="22"/>
          <w:lang w:val="en-US"/>
        </w:rPr>
      </w:pPr>
      <w:r w:rsidRPr="00B51190">
        <w:rPr>
          <w:rFonts w:ascii="Calibri" w:hAnsi="Calibri" w:cs="Calibri"/>
          <w:b/>
          <w:bCs/>
          <w:color w:val="auto"/>
          <w:sz w:val="22"/>
          <w:lang w:val="en-US"/>
        </w:rPr>
        <w:t>Recognized CIS</w:t>
      </w:r>
      <w:r w:rsidR="004B33A6">
        <w:rPr>
          <w:rFonts w:ascii="Calibri" w:hAnsi="Calibri" w:cs="Calibri"/>
          <w:b/>
          <w:bCs/>
          <w:color w:val="auto"/>
          <w:sz w:val="22"/>
          <w:lang w:val="en-US"/>
        </w:rPr>
        <w:t>:</w:t>
      </w:r>
    </w:p>
    <w:p w14:paraId="08745ED7" w14:textId="77777777" w:rsidR="00A63FC5" w:rsidRPr="003220DF" w:rsidRDefault="00A63FC5" w:rsidP="009F73BE">
      <w:pPr>
        <w:pStyle w:val="BodyText"/>
        <w:numPr>
          <w:ilvl w:val="1"/>
          <w:numId w:val="105"/>
        </w:numPr>
        <w:jc w:val="both"/>
        <w:rPr>
          <w:rFonts w:ascii="Calibri" w:hAnsi="Calibri" w:cs="Calibri"/>
          <w:b/>
          <w:bCs/>
          <w:color w:val="auto"/>
          <w:sz w:val="22"/>
          <w:lang w:val="en-US"/>
        </w:rPr>
      </w:pPr>
      <w:r w:rsidRPr="003220DF">
        <w:rPr>
          <w:rFonts w:ascii="Calibri" w:hAnsi="Calibri" w:cs="Calibri"/>
          <w:b/>
          <w:bCs/>
          <w:color w:val="auto"/>
          <w:sz w:val="22"/>
          <w:lang w:val="en-US"/>
        </w:rPr>
        <w:t>Structure</w:t>
      </w:r>
      <w:r>
        <w:rPr>
          <w:rFonts w:ascii="Calibri" w:hAnsi="Calibri" w:cs="Calibri"/>
          <w:color w:val="auto"/>
          <w:sz w:val="22"/>
          <w:lang w:val="en-US"/>
        </w:rPr>
        <w:t xml:space="preserve">: </w:t>
      </w:r>
    </w:p>
    <w:p w14:paraId="73670B22" w14:textId="13D94406" w:rsidR="00A63FC5" w:rsidRPr="00A63FC5" w:rsidRDefault="00A63FC5" w:rsidP="009F73BE">
      <w:pPr>
        <w:pStyle w:val="BodyText"/>
        <w:numPr>
          <w:ilvl w:val="2"/>
          <w:numId w:val="105"/>
        </w:numPr>
        <w:jc w:val="both"/>
        <w:rPr>
          <w:rFonts w:ascii="Calibri" w:hAnsi="Calibri" w:cs="Calibri"/>
          <w:b/>
          <w:bCs/>
          <w:color w:val="auto"/>
          <w:sz w:val="22"/>
          <w:lang w:val="en-US"/>
        </w:rPr>
      </w:pPr>
      <w:r w:rsidRPr="003220DF">
        <w:rPr>
          <w:rFonts w:ascii="Calibri" w:hAnsi="Calibri" w:cs="Calibri"/>
          <w:color w:val="auto"/>
          <w:sz w:val="22"/>
          <w:u w:val="single"/>
          <w:lang w:val="en-US"/>
        </w:rPr>
        <w:t xml:space="preserve">Constituted </w:t>
      </w:r>
      <w:r>
        <w:rPr>
          <w:rFonts w:ascii="Calibri" w:hAnsi="Calibri" w:cs="Calibri"/>
          <w:color w:val="auto"/>
          <w:sz w:val="22"/>
          <w:u w:val="single"/>
          <w:lang w:val="en-US"/>
        </w:rPr>
        <w:t xml:space="preserve">outside </w:t>
      </w:r>
      <w:r w:rsidRPr="003220DF">
        <w:rPr>
          <w:rFonts w:ascii="Calibri" w:hAnsi="Calibri" w:cs="Calibri"/>
          <w:color w:val="auto"/>
          <w:sz w:val="22"/>
          <w:u w:val="single"/>
          <w:lang w:val="en-US"/>
        </w:rPr>
        <w:t>Singapore</w:t>
      </w:r>
      <w:r>
        <w:rPr>
          <w:rFonts w:ascii="Calibri" w:hAnsi="Calibri" w:cs="Calibri"/>
          <w:color w:val="auto"/>
          <w:sz w:val="22"/>
          <w:lang w:val="en-US"/>
        </w:rPr>
        <w:t xml:space="preserve"> with </w:t>
      </w:r>
      <w:r w:rsidR="00A53571">
        <w:rPr>
          <w:rFonts w:ascii="Calibri" w:hAnsi="Calibri" w:cs="Calibri"/>
          <w:color w:val="auto"/>
          <w:sz w:val="22"/>
          <w:lang w:val="en-US"/>
        </w:rPr>
        <w:t xml:space="preserve">the manager managing </w:t>
      </w:r>
      <w:r>
        <w:rPr>
          <w:rFonts w:ascii="Calibri" w:hAnsi="Calibri" w:cs="Calibri"/>
          <w:color w:val="auto"/>
          <w:sz w:val="22"/>
          <w:lang w:val="en-US"/>
        </w:rPr>
        <w:t xml:space="preserve">at least with </w:t>
      </w:r>
      <w:r w:rsidRPr="00A63FC5">
        <w:rPr>
          <w:rFonts w:ascii="Calibri" w:hAnsi="Calibri" w:cs="Calibri"/>
          <w:color w:val="auto"/>
          <w:sz w:val="22"/>
          <w:u w:val="single"/>
          <w:lang w:val="en-US"/>
        </w:rPr>
        <w:t>at least $</w:t>
      </w:r>
      <w:r w:rsidR="00A53571">
        <w:rPr>
          <w:rFonts w:ascii="Calibri" w:hAnsi="Calibri" w:cs="Calibri"/>
          <w:color w:val="auto"/>
          <w:sz w:val="22"/>
          <w:u w:val="single"/>
          <w:lang w:val="en-US"/>
        </w:rPr>
        <w:t>500M</w:t>
      </w:r>
      <w:r w:rsidRPr="00A63FC5">
        <w:rPr>
          <w:rFonts w:ascii="Calibri" w:hAnsi="Calibri" w:cs="Calibri"/>
          <w:color w:val="auto"/>
          <w:sz w:val="22"/>
          <w:u w:val="single"/>
          <w:lang w:val="en-US"/>
        </w:rPr>
        <w:t xml:space="preserve"> discretionary funds </w:t>
      </w:r>
      <w:r w:rsidR="00A53571">
        <w:rPr>
          <w:rFonts w:ascii="Calibri" w:hAnsi="Calibri" w:cs="Calibri"/>
          <w:color w:val="auto"/>
          <w:sz w:val="22"/>
          <w:u w:val="single"/>
          <w:lang w:val="en-US"/>
        </w:rPr>
        <w:t>in Singapore</w:t>
      </w:r>
      <w:r>
        <w:rPr>
          <w:rFonts w:ascii="Calibri" w:hAnsi="Calibri" w:cs="Calibri"/>
          <w:color w:val="auto"/>
          <w:sz w:val="22"/>
          <w:lang w:val="en-US"/>
        </w:rPr>
        <w:t xml:space="preserve">. </w:t>
      </w:r>
    </w:p>
    <w:p w14:paraId="24452AEE" w14:textId="11C7F619" w:rsidR="00A63FC5" w:rsidRPr="00A63FC5" w:rsidRDefault="00A63FC5" w:rsidP="009F73BE">
      <w:pPr>
        <w:pStyle w:val="BodyText"/>
        <w:numPr>
          <w:ilvl w:val="2"/>
          <w:numId w:val="105"/>
        </w:numPr>
        <w:jc w:val="both"/>
        <w:rPr>
          <w:rFonts w:ascii="Calibri" w:hAnsi="Calibri" w:cs="Calibri"/>
          <w:b/>
          <w:bCs/>
          <w:color w:val="auto"/>
          <w:sz w:val="22"/>
          <w:lang w:val="en-US"/>
        </w:rPr>
      </w:pPr>
      <w:r>
        <w:rPr>
          <w:rFonts w:ascii="Calibri" w:hAnsi="Calibri" w:cs="Calibri"/>
          <w:color w:val="auto"/>
          <w:sz w:val="22"/>
          <w:lang w:val="en-US"/>
        </w:rPr>
        <w:t xml:space="preserve">MAS may recognize a CIS if it </w:t>
      </w:r>
      <w:r w:rsidRPr="00A63FC5">
        <w:rPr>
          <w:rFonts w:ascii="Calibri" w:hAnsi="Calibri" w:cs="Calibri"/>
          <w:color w:val="auto"/>
          <w:sz w:val="22"/>
          <w:u w:val="single"/>
          <w:lang w:val="en-US"/>
        </w:rPr>
        <w:t>offers at least equivalent protection to that provided by comparable authorized schemes in Singapore</w:t>
      </w:r>
      <w:r>
        <w:rPr>
          <w:rFonts w:ascii="Calibri" w:hAnsi="Calibri" w:cs="Calibri"/>
          <w:color w:val="auto"/>
          <w:sz w:val="22"/>
          <w:lang w:val="en-US"/>
        </w:rPr>
        <w:t xml:space="preserve">. </w:t>
      </w:r>
    </w:p>
    <w:p w14:paraId="03C23750" w14:textId="13993B90" w:rsidR="00A63FC5" w:rsidRPr="003220DF" w:rsidRDefault="00A63FC5" w:rsidP="009F73BE">
      <w:pPr>
        <w:pStyle w:val="BodyText"/>
        <w:numPr>
          <w:ilvl w:val="2"/>
          <w:numId w:val="105"/>
        </w:numPr>
        <w:jc w:val="both"/>
        <w:rPr>
          <w:rFonts w:ascii="Calibri" w:hAnsi="Calibri" w:cs="Calibri"/>
          <w:b/>
          <w:bCs/>
          <w:color w:val="auto"/>
          <w:sz w:val="22"/>
          <w:lang w:val="en-US"/>
        </w:rPr>
      </w:pPr>
      <w:r>
        <w:rPr>
          <w:rFonts w:ascii="Calibri" w:hAnsi="Calibri" w:cs="Calibri"/>
          <w:color w:val="auto"/>
          <w:sz w:val="22"/>
          <w:lang w:val="en-US"/>
        </w:rPr>
        <w:t xml:space="preserve">The recognized CIS </w:t>
      </w:r>
      <w:r w:rsidRPr="00A63FC5">
        <w:rPr>
          <w:rFonts w:ascii="Calibri" w:hAnsi="Calibri" w:cs="Calibri"/>
          <w:color w:val="auto"/>
          <w:sz w:val="22"/>
          <w:u w:val="single"/>
          <w:lang w:val="en-US"/>
        </w:rPr>
        <w:t>must also appoint a representative who is an (i) individual resident in Singapore or (ii) a company registered under the Companies Act</w:t>
      </w:r>
      <w:r>
        <w:rPr>
          <w:rFonts w:ascii="Calibri" w:hAnsi="Calibri" w:cs="Calibri"/>
          <w:color w:val="auto"/>
          <w:sz w:val="22"/>
          <w:lang w:val="en-US"/>
        </w:rPr>
        <w:t xml:space="preserve">. </w:t>
      </w:r>
    </w:p>
    <w:p w14:paraId="748CEFA5" w14:textId="087D594C" w:rsidR="00A63FC5" w:rsidRPr="003220DF" w:rsidRDefault="00A63FC5" w:rsidP="009F73BE">
      <w:pPr>
        <w:pStyle w:val="BodyText"/>
        <w:numPr>
          <w:ilvl w:val="1"/>
          <w:numId w:val="105"/>
        </w:numPr>
        <w:jc w:val="both"/>
        <w:rPr>
          <w:rFonts w:ascii="Calibri" w:hAnsi="Calibri" w:cs="Calibri"/>
          <w:b/>
          <w:bCs/>
          <w:color w:val="auto"/>
          <w:sz w:val="22"/>
          <w:lang w:val="en-US"/>
        </w:rPr>
      </w:pPr>
      <w:r>
        <w:rPr>
          <w:rFonts w:ascii="Calibri" w:hAnsi="Calibri" w:cs="Calibri"/>
          <w:b/>
          <w:bCs/>
          <w:color w:val="auto"/>
          <w:sz w:val="22"/>
          <w:lang w:val="en-US"/>
        </w:rPr>
        <w:t>Representative Role</w:t>
      </w:r>
      <w:r w:rsidR="00AF64AE">
        <w:rPr>
          <w:rFonts w:ascii="Calibri" w:hAnsi="Calibri" w:cs="Calibri"/>
          <w:b/>
          <w:bCs/>
          <w:color w:val="auto"/>
          <w:sz w:val="22"/>
          <w:lang w:val="en-US"/>
        </w:rPr>
        <w:t xml:space="preserve"> (on top of Authorized CIS)</w:t>
      </w:r>
      <w:r>
        <w:rPr>
          <w:rFonts w:ascii="Calibri" w:hAnsi="Calibri" w:cs="Calibri"/>
          <w:color w:val="auto"/>
          <w:sz w:val="22"/>
          <w:lang w:val="en-US"/>
        </w:rPr>
        <w:t xml:space="preserve">: </w:t>
      </w:r>
    </w:p>
    <w:p w14:paraId="5DD27A8F" w14:textId="7929B230" w:rsidR="00A63FC5" w:rsidRPr="00883B3D" w:rsidRDefault="00A63FC5" w:rsidP="009F73BE">
      <w:pPr>
        <w:pStyle w:val="BodyText"/>
        <w:numPr>
          <w:ilvl w:val="2"/>
          <w:numId w:val="105"/>
        </w:numPr>
        <w:jc w:val="both"/>
        <w:rPr>
          <w:rFonts w:ascii="Calibri" w:hAnsi="Calibri" w:cs="Calibri"/>
          <w:b/>
          <w:bCs/>
          <w:color w:val="auto"/>
          <w:sz w:val="22"/>
          <w:lang w:val="en-US"/>
        </w:rPr>
      </w:pPr>
      <w:r>
        <w:rPr>
          <w:rFonts w:ascii="Calibri" w:hAnsi="Calibri" w:cs="Calibri"/>
          <w:color w:val="auto"/>
          <w:sz w:val="22"/>
          <w:u w:val="single"/>
          <w:lang w:val="en-US"/>
        </w:rPr>
        <w:t>Facilitate the issue and redemption</w:t>
      </w:r>
      <w:r w:rsidRPr="00883B3D">
        <w:rPr>
          <w:rFonts w:ascii="Calibri" w:hAnsi="Calibri" w:cs="Calibri"/>
          <w:color w:val="auto"/>
          <w:sz w:val="22"/>
          <w:lang w:val="en-US"/>
        </w:rPr>
        <w:t xml:space="preserve"> of </w:t>
      </w:r>
      <w:r w:rsidR="00883B3D" w:rsidRPr="00883B3D">
        <w:rPr>
          <w:rFonts w:ascii="Calibri" w:hAnsi="Calibri" w:cs="Calibri"/>
          <w:color w:val="auto"/>
          <w:sz w:val="22"/>
          <w:lang w:val="en-US"/>
        </w:rPr>
        <w:t xml:space="preserve">CIS </w:t>
      </w:r>
      <w:r w:rsidRPr="00883B3D">
        <w:rPr>
          <w:rFonts w:ascii="Calibri" w:hAnsi="Calibri" w:cs="Calibri"/>
          <w:color w:val="auto"/>
          <w:sz w:val="22"/>
          <w:lang w:val="en-US"/>
        </w:rPr>
        <w:t>units</w:t>
      </w:r>
      <w:r>
        <w:rPr>
          <w:rFonts w:ascii="Calibri" w:hAnsi="Calibri" w:cs="Calibri"/>
          <w:color w:val="auto"/>
          <w:sz w:val="22"/>
          <w:lang w:val="en-US"/>
        </w:rPr>
        <w:t xml:space="preserve"> </w:t>
      </w:r>
    </w:p>
    <w:p w14:paraId="2783845D" w14:textId="1628CA27" w:rsidR="00883B3D" w:rsidRPr="00883B3D" w:rsidRDefault="00883B3D" w:rsidP="009F73BE">
      <w:pPr>
        <w:pStyle w:val="BodyText"/>
        <w:numPr>
          <w:ilvl w:val="2"/>
          <w:numId w:val="105"/>
        </w:numPr>
        <w:jc w:val="both"/>
        <w:rPr>
          <w:rFonts w:ascii="Calibri" w:hAnsi="Calibri" w:cs="Calibri"/>
          <w:b/>
          <w:bCs/>
          <w:color w:val="auto"/>
          <w:sz w:val="22"/>
          <w:lang w:val="en-US"/>
        </w:rPr>
      </w:pPr>
      <w:r>
        <w:rPr>
          <w:rFonts w:ascii="Calibri" w:hAnsi="Calibri" w:cs="Calibri"/>
          <w:color w:val="auto"/>
          <w:sz w:val="22"/>
          <w:u w:val="single"/>
          <w:lang w:val="en-US"/>
        </w:rPr>
        <w:t>Facilitate the sending of reports</w:t>
      </w:r>
      <w:r w:rsidRPr="00883B3D">
        <w:rPr>
          <w:rFonts w:ascii="Calibri" w:hAnsi="Calibri" w:cs="Calibri"/>
          <w:color w:val="auto"/>
          <w:sz w:val="22"/>
          <w:lang w:val="en-US"/>
        </w:rPr>
        <w:t xml:space="preserve"> to </w:t>
      </w:r>
      <w:r>
        <w:rPr>
          <w:rFonts w:ascii="Calibri" w:hAnsi="Calibri" w:cs="Calibri"/>
          <w:color w:val="auto"/>
          <w:sz w:val="22"/>
          <w:lang w:val="en-US"/>
        </w:rPr>
        <w:t xml:space="preserve">CIS </w:t>
      </w:r>
      <w:r w:rsidRPr="00883B3D">
        <w:rPr>
          <w:rFonts w:ascii="Calibri" w:hAnsi="Calibri" w:cs="Calibri"/>
          <w:color w:val="auto"/>
          <w:sz w:val="22"/>
          <w:lang w:val="en-US"/>
        </w:rPr>
        <w:t>participants</w:t>
      </w:r>
    </w:p>
    <w:p w14:paraId="6B4D9D5E" w14:textId="2FA92DE2" w:rsidR="00883B3D" w:rsidRPr="00883B3D" w:rsidRDefault="00883B3D" w:rsidP="009F73BE">
      <w:pPr>
        <w:pStyle w:val="BodyText"/>
        <w:numPr>
          <w:ilvl w:val="2"/>
          <w:numId w:val="105"/>
        </w:numPr>
        <w:jc w:val="both"/>
        <w:rPr>
          <w:rFonts w:ascii="Calibri" w:hAnsi="Calibri" w:cs="Calibri"/>
          <w:b/>
          <w:bCs/>
          <w:color w:val="auto"/>
          <w:sz w:val="22"/>
          <w:lang w:val="en-US"/>
        </w:rPr>
      </w:pPr>
      <w:r>
        <w:rPr>
          <w:rFonts w:ascii="Calibri" w:hAnsi="Calibri" w:cs="Calibri"/>
          <w:color w:val="auto"/>
          <w:sz w:val="22"/>
          <w:u w:val="single"/>
          <w:lang w:val="en-US"/>
        </w:rPr>
        <w:t>Maintain a register of participants for inspection</w:t>
      </w:r>
    </w:p>
    <w:p w14:paraId="4F49C042" w14:textId="5A30E606" w:rsidR="00883B3D" w:rsidRPr="00A63FC5" w:rsidRDefault="00883B3D" w:rsidP="009F73BE">
      <w:pPr>
        <w:pStyle w:val="BodyText"/>
        <w:numPr>
          <w:ilvl w:val="2"/>
          <w:numId w:val="105"/>
        </w:numPr>
        <w:jc w:val="both"/>
        <w:rPr>
          <w:rFonts w:ascii="Calibri" w:hAnsi="Calibri" w:cs="Calibri"/>
          <w:b/>
          <w:bCs/>
          <w:color w:val="auto"/>
          <w:sz w:val="22"/>
          <w:lang w:val="en-US"/>
        </w:rPr>
      </w:pPr>
      <w:r w:rsidRPr="00883B3D">
        <w:rPr>
          <w:rFonts w:ascii="Calibri" w:hAnsi="Calibri" w:cs="Calibri"/>
          <w:color w:val="auto"/>
          <w:sz w:val="22"/>
          <w:u w:val="single"/>
          <w:lang w:val="en-US"/>
        </w:rPr>
        <w:t>Notify MAS</w:t>
      </w:r>
      <w:r>
        <w:rPr>
          <w:rFonts w:ascii="Calibri" w:hAnsi="Calibri" w:cs="Calibri"/>
          <w:color w:val="auto"/>
          <w:sz w:val="22"/>
          <w:lang w:val="en-US"/>
        </w:rPr>
        <w:t xml:space="preserve"> in writing </w:t>
      </w:r>
      <w:r w:rsidRPr="00883B3D">
        <w:rPr>
          <w:rFonts w:ascii="Calibri" w:hAnsi="Calibri" w:cs="Calibri"/>
          <w:color w:val="auto"/>
          <w:sz w:val="22"/>
          <w:u w:val="single"/>
          <w:lang w:val="en-US"/>
        </w:rPr>
        <w:t xml:space="preserve">within 14 days of any change </w:t>
      </w:r>
      <w:r>
        <w:rPr>
          <w:rFonts w:ascii="Calibri" w:hAnsi="Calibri" w:cs="Calibri"/>
          <w:color w:val="auto"/>
          <w:sz w:val="22"/>
          <w:u w:val="single"/>
          <w:lang w:val="en-US"/>
        </w:rPr>
        <w:t xml:space="preserve">(i) </w:t>
      </w:r>
      <w:r w:rsidRPr="00883B3D">
        <w:rPr>
          <w:rFonts w:ascii="Calibri" w:hAnsi="Calibri" w:cs="Calibri"/>
          <w:color w:val="auto"/>
          <w:sz w:val="22"/>
          <w:u w:val="single"/>
          <w:lang w:val="en-US"/>
        </w:rPr>
        <w:t>in the representative’s particulars</w:t>
      </w:r>
      <w:r>
        <w:rPr>
          <w:rFonts w:ascii="Calibri" w:hAnsi="Calibri" w:cs="Calibri"/>
          <w:color w:val="auto"/>
          <w:sz w:val="22"/>
          <w:lang w:val="en-US"/>
        </w:rPr>
        <w:t xml:space="preserve"> or (ii) </w:t>
      </w:r>
      <w:r w:rsidRPr="00883B3D">
        <w:rPr>
          <w:rFonts w:ascii="Calibri" w:hAnsi="Calibri" w:cs="Calibri"/>
          <w:color w:val="auto"/>
          <w:sz w:val="22"/>
          <w:u w:val="single"/>
          <w:lang w:val="en-US"/>
        </w:rPr>
        <w:t>new conditions</w:t>
      </w:r>
      <w:r w:rsidR="003421CA">
        <w:rPr>
          <w:rFonts w:ascii="Calibri" w:hAnsi="Calibri" w:cs="Calibri"/>
          <w:color w:val="auto"/>
          <w:sz w:val="22"/>
          <w:u w:val="single"/>
          <w:lang w:val="en-US"/>
        </w:rPr>
        <w:t>/</w:t>
      </w:r>
      <w:r w:rsidRPr="00883B3D">
        <w:rPr>
          <w:rFonts w:ascii="Calibri" w:hAnsi="Calibri" w:cs="Calibri"/>
          <w:color w:val="auto"/>
          <w:sz w:val="22"/>
          <w:u w:val="single"/>
          <w:lang w:val="en-US"/>
        </w:rPr>
        <w:t>restrictions imposed</w:t>
      </w:r>
      <w:r>
        <w:rPr>
          <w:rFonts w:ascii="Calibri" w:hAnsi="Calibri" w:cs="Calibri"/>
          <w:color w:val="auto"/>
          <w:sz w:val="22"/>
          <w:lang w:val="en-US"/>
        </w:rPr>
        <w:t xml:space="preserve"> by home financial supervisory authority on CIS authorization (in its home country).</w:t>
      </w:r>
    </w:p>
    <w:p w14:paraId="3BEC1378" w14:textId="77777777" w:rsidR="00173F05" w:rsidRPr="00D3723B" w:rsidRDefault="00173F05" w:rsidP="00501C0C">
      <w:pPr>
        <w:pStyle w:val="BodyText"/>
        <w:jc w:val="both"/>
        <w:rPr>
          <w:rFonts w:ascii="Calibri" w:hAnsi="Calibri" w:cs="Calibri"/>
          <w:b/>
          <w:bCs/>
          <w:color w:val="auto"/>
          <w:sz w:val="22"/>
          <w:lang w:val="en-US"/>
        </w:rPr>
      </w:pPr>
    </w:p>
    <w:p w14:paraId="0D3115E3" w14:textId="0FDADDBD" w:rsidR="005F74C5" w:rsidRDefault="005F74C5"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Prospectus, Profile Statement</w:t>
      </w:r>
      <w:r w:rsidR="00BB4863">
        <w:rPr>
          <w:rFonts w:ascii="Calibri" w:hAnsi="Calibri" w:cs="Calibri"/>
          <w:color w:val="auto"/>
          <w:lang w:val="en-US"/>
        </w:rPr>
        <w:t xml:space="preserve"> &amp;</w:t>
      </w:r>
      <w:r>
        <w:rPr>
          <w:rFonts w:ascii="Calibri" w:hAnsi="Calibri" w:cs="Calibri"/>
          <w:color w:val="auto"/>
          <w:lang w:val="en-US"/>
        </w:rPr>
        <w:t xml:space="preserve"> Product Highlights Sheet</w:t>
      </w:r>
    </w:p>
    <w:p w14:paraId="18FBA0E9" w14:textId="7F0F385B" w:rsidR="008C3E0D" w:rsidRDefault="00FD69E9" w:rsidP="009F73BE">
      <w:pPr>
        <w:pStyle w:val="BodyText"/>
        <w:numPr>
          <w:ilvl w:val="0"/>
          <w:numId w:val="106"/>
        </w:numPr>
        <w:jc w:val="both"/>
        <w:rPr>
          <w:rFonts w:ascii="Calibri" w:hAnsi="Calibri" w:cs="Calibri"/>
          <w:b/>
          <w:bCs/>
          <w:color w:val="auto"/>
          <w:sz w:val="22"/>
          <w:lang w:val="en-US"/>
        </w:rPr>
      </w:pPr>
      <w:r w:rsidRPr="00FD69E9">
        <w:rPr>
          <w:rFonts w:ascii="Calibri" w:hAnsi="Calibri" w:cs="Calibri"/>
          <w:b/>
          <w:bCs/>
          <w:color w:val="auto"/>
          <w:sz w:val="22"/>
          <w:lang w:val="en-US"/>
        </w:rPr>
        <w:t>Prospectus</w:t>
      </w:r>
      <w:r w:rsidR="003421CA">
        <w:rPr>
          <w:rFonts w:ascii="Calibri" w:hAnsi="Calibri" w:cs="Calibri"/>
          <w:b/>
          <w:bCs/>
          <w:color w:val="auto"/>
          <w:sz w:val="22"/>
          <w:lang w:val="en-US"/>
        </w:rPr>
        <w:t>/</w:t>
      </w:r>
      <w:r w:rsidR="00623D58">
        <w:rPr>
          <w:rFonts w:ascii="Calibri" w:hAnsi="Calibri" w:cs="Calibri"/>
          <w:b/>
          <w:bCs/>
          <w:color w:val="auto"/>
          <w:sz w:val="22"/>
          <w:lang w:val="en-US"/>
        </w:rPr>
        <w:t>Profile statement (abridged version of prospectus)</w:t>
      </w:r>
      <w:r>
        <w:rPr>
          <w:rFonts w:ascii="Calibri" w:hAnsi="Calibri" w:cs="Calibri"/>
          <w:color w:val="auto"/>
          <w:sz w:val="22"/>
          <w:lang w:val="en-US"/>
        </w:rPr>
        <w:t>:</w:t>
      </w:r>
      <w:r w:rsidR="008C3E0D">
        <w:rPr>
          <w:rFonts w:ascii="Calibri" w:hAnsi="Calibri" w:cs="Calibri"/>
          <w:b/>
          <w:bCs/>
          <w:color w:val="auto"/>
          <w:sz w:val="22"/>
          <w:lang w:val="en-US"/>
        </w:rPr>
        <w:t xml:space="preserve"> </w:t>
      </w:r>
    </w:p>
    <w:p w14:paraId="6012B38F" w14:textId="4F3FA05D" w:rsidR="00FD69E9" w:rsidRPr="00574534" w:rsidRDefault="008219F2" w:rsidP="009F73BE">
      <w:pPr>
        <w:pStyle w:val="BodyText"/>
        <w:numPr>
          <w:ilvl w:val="1"/>
          <w:numId w:val="106"/>
        </w:numPr>
        <w:jc w:val="both"/>
        <w:rPr>
          <w:rFonts w:ascii="Calibri" w:hAnsi="Calibri" w:cs="Calibri"/>
          <w:b/>
          <w:bCs/>
          <w:color w:val="auto"/>
          <w:sz w:val="22"/>
          <w:lang w:val="en-US"/>
        </w:rPr>
      </w:pPr>
      <w:r w:rsidRPr="008219F2">
        <w:rPr>
          <w:rFonts w:ascii="Calibri" w:hAnsi="Calibri" w:cs="Calibri"/>
          <w:b/>
          <w:bCs/>
          <w:color w:val="auto"/>
          <w:sz w:val="22"/>
          <w:lang w:val="en-US"/>
        </w:rPr>
        <w:t>General</w:t>
      </w:r>
      <w:r w:rsidR="00623D58">
        <w:rPr>
          <w:rFonts w:ascii="Calibri" w:hAnsi="Calibri" w:cs="Calibri"/>
          <w:b/>
          <w:bCs/>
          <w:color w:val="auto"/>
          <w:sz w:val="22"/>
          <w:lang w:val="en-US"/>
        </w:rPr>
        <w:t xml:space="preserve"> Prospectus</w:t>
      </w:r>
      <w:r>
        <w:rPr>
          <w:rFonts w:ascii="Calibri" w:hAnsi="Calibri" w:cs="Calibri"/>
          <w:color w:val="auto"/>
          <w:sz w:val="22"/>
          <w:lang w:val="en-US"/>
        </w:rPr>
        <w:t xml:space="preserve">: </w:t>
      </w:r>
      <w:r w:rsidR="008C3E0D">
        <w:rPr>
          <w:rFonts w:ascii="Calibri" w:hAnsi="Calibri" w:cs="Calibri"/>
          <w:color w:val="auto"/>
          <w:sz w:val="22"/>
          <w:lang w:val="en-US"/>
        </w:rPr>
        <w:t>Should include (i) basic information (e.g., name and place of constitution), (ii) manager (e.g., name, address, track record), (iii) representative (for recognized CIS; name and address), (iv) trustee</w:t>
      </w:r>
      <w:r w:rsidR="003421CA">
        <w:rPr>
          <w:rFonts w:ascii="Calibri" w:hAnsi="Calibri" w:cs="Calibri"/>
          <w:color w:val="auto"/>
          <w:sz w:val="22"/>
          <w:lang w:val="en-US"/>
        </w:rPr>
        <w:t>/</w:t>
      </w:r>
      <w:r w:rsidR="008C3E0D">
        <w:rPr>
          <w:rFonts w:ascii="Calibri" w:hAnsi="Calibri" w:cs="Calibri"/>
          <w:color w:val="auto"/>
          <w:sz w:val="22"/>
          <w:lang w:val="en-US"/>
        </w:rPr>
        <w:t>custodian, (v) CIS structure, (vi) investment objectives, (vii) fees and charges, (viii) general and specific risks, (ix) CIS historical performance</w:t>
      </w:r>
      <w:r w:rsidR="008C3E0D">
        <w:rPr>
          <w:rStyle w:val="FootnoteReference"/>
          <w:rFonts w:ascii="Calibri" w:hAnsi="Calibri" w:cs="Calibri"/>
          <w:color w:val="auto"/>
          <w:sz w:val="22"/>
        </w:rPr>
        <w:footnoteReference w:id="7"/>
      </w:r>
      <w:r w:rsidR="008C3E0D">
        <w:rPr>
          <w:rFonts w:ascii="Calibri" w:hAnsi="Calibri" w:cs="Calibri"/>
          <w:color w:val="auto"/>
          <w:sz w:val="22"/>
          <w:lang w:val="en-US"/>
        </w:rPr>
        <w:t xml:space="preserve"> (1Y, 3Y, 5Y, 10Y, LTD – if applicable), (x) expense ratio, (xi) turnover ratio (i.e., number of buy-sell transactions), (xii) soft dollar commissions</w:t>
      </w:r>
      <w:r w:rsidR="003421CA">
        <w:rPr>
          <w:rFonts w:ascii="Calibri" w:hAnsi="Calibri" w:cs="Calibri"/>
          <w:color w:val="auto"/>
          <w:sz w:val="22"/>
          <w:lang w:val="en-US"/>
        </w:rPr>
        <w:t>/</w:t>
      </w:r>
      <w:r w:rsidR="008C3E0D">
        <w:rPr>
          <w:rFonts w:ascii="Calibri" w:hAnsi="Calibri" w:cs="Calibri"/>
          <w:color w:val="auto"/>
          <w:sz w:val="22"/>
          <w:lang w:val="en-US"/>
        </w:rPr>
        <w:t>arrangements</w:t>
      </w:r>
      <w:r>
        <w:rPr>
          <w:rFonts w:ascii="Calibri" w:hAnsi="Calibri" w:cs="Calibri"/>
          <w:color w:val="auto"/>
          <w:sz w:val="22"/>
          <w:lang w:val="en-US"/>
        </w:rPr>
        <w:t>.</w:t>
      </w:r>
    </w:p>
    <w:p w14:paraId="026E4702" w14:textId="760C039A" w:rsidR="00574534" w:rsidRPr="008C3E0D" w:rsidRDefault="005633D3" w:rsidP="009F73BE">
      <w:pPr>
        <w:pStyle w:val="BodyText"/>
        <w:numPr>
          <w:ilvl w:val="1"/>
          <w:numId w:val="106"/>
        </w:numPr>
        <w:jc w:val="both"/>
        <w:rPr>
          <w:rFonts w:ascii="Calibri" w:hAnsi="Calibri" w:cs="Calibri"/>
          <w:b/>
          <w:bCs/>
          <w:color w:val="auto"/>
          <w:sz w:val="22"/>
          <w:lang w:val="en-US"/>
        </w:rPr>
      </w:pPr>
      <w:r>
        <w:rPr>
          <w:rFonts w:ascii="Calibri" w:hAnsi="Calibri" w:cs="Calibri"/>
          <w:color w:val="auto"/>
          <w:sz w:val="22"/>
          <w:lang w:val="en-US"/>
        </w:rPr>
        <w:t xml:space="preserve">If the scheme intends to carry out securities lending, the manager should disclose </w:t>
      </w:r>
      <w:r w:rsidR="000F7DDD">
        <w:rPr>
          <w:rFonts w:ascii="Calibri" w:hAnsi="Calibri" w:cs="Calibri"/>
          <w:color w:val="auto"/>
          <w:sz w:val="22"/>
          <w:lang w:val="en-US"/>
        </w:rPr>
        <w:t>(</w:t>
      </w:r>
      <w:proofErr w:type="spellStart"/>
      <w:r w:rsidR="000F7DDD">
        <w:rPr>
          <w:rFonts w:ascii="Calibri" w:hAnsi="Calibri" w:cs="Calibri"/>
          <w:color w:val="auto"/>
          <w:sz w:val="22"/>
          <w:lang w:val="en-US"/>
        </w:rPr>
        <w:t>i</w:t>
      </w:r>
      <w:proofErr w:type="spellEnd"/>
      <w:r w:rsidR="000F7DDD">
        <w:rPr>
          <w:rFonts w:ascii="Calibri" w:hAnsi="Calibri" w:cs="Calibri"/>
          <w:color w:val="auto"/>
          <w:sz w:val="22"/>
          <w:lang w:val="en-US"/>
        </w:rPr>
        <w:t xml:space="preserve">) </w:t>
      </w:r>
      <w:r w:rsidR="000B2912">
        <w:rPr>
          <w:rFonts w:ascii="Calibri" w:hAnsi="Calibri" w:cs="Calibri"/>
          <w:color w:val="auto"/>
          <w:sz w:val="22"/>
          <w:lang w:val="en-US"/>
        </w:rPr>
        <w:t xml:space="preserve">the purpose of those transactions (including conditions and limits), (ii) </w:t>
      </w:r>
      <w:r w:rsidR="000F7DDD">
        <w:rPr>
          <w:rFonts w:ascii="Calibri" w:hAnsi="Calibri" w:cs="Calibri"/>
          <w:color w:val="auto"/>
          <w:sz w:val="22"/>
          <w:lang w:val="en-US"/>
        </w:rPr>
        <w:t>inherent risks and (iii) mitigation of conflict of interests.</w:t>
      </w:r>
    </w:p>
    <w:p w14:paraId="4EC7A557" w14:textId="43927AC5" w:rsidR="008C3E0D" w:rsidRPr="00201B60" w:rsidRDefault="008C3E0D" w:rsidP="009F73BE">
      <w:pPr>
        <w:pStyle w:val="BodyText"/>
        <w:numPr>
          <w:ilvl w:val="1"/>
          <w:numId w:val="106"/>
        </w:numPr>
        <w:jc w:val="both"/>
        <w:rPr>
          <w:rFonts w:ascii="Calibri" w:hAnsi="Calibri" w:cs="Calibri"/>
          <w:b/>
          <w:bCs/>
          <w:color w:val="auto"/>
          <w:sz w:val="22"/>
          <w:lang w:val="en-US"/>
        </w:rPr>
      </w:pPr>
      <w:r>
        <w:rPr>
          <w:rFonts w:ascii="Calibri" w:hAnsi="Calibri" w:cs="Calibri"/>
          <w:color w:val="auto"/>
          <w:sz w:val="22"/>
          <w:lang w:val="en-US"/>
        </w:rPr>
        <w:t xml:space="preserve">Should </w:t>
      </w:r>
      <w:r w:rsidRPr="008C3E0D">
        <w:rPr>
          <w:rFonts w:ascii="Calibri" w:hAnsi="Calibri" w:cs="Calibri"/>
          <w:color w:val="auto"/>
          <w:sz w:val="22"/>
          <w:u w:val="single"/>
          <w:lang w:val="en-US"/>
        </w:rPr>
        <w:t>not</w:t>
      </w:r>
      <w:r>
        <w:rPr>
          <w:rFonts w:ascii="Calibri" w:hAnsi="Calibri" w:cs="Calibri"/>
          <w:color w:val="auto"/>
          <w:sz w:val="22"/>
          <w:lang w:val="en-US"/>
        </w:rPr>
        <w:t xml:space="preserve"> include any exaggerated</w:t>
      </w:r>
      <w:r w:rsidR="003421CA">
        <w:rPr>
          <w:rFonts w:ascii="Calibri" w:hAnsi="Calibri" w:cs="Calibri"/>
          <w:color w:val="auto"/>
          <w:sz w:val="22"/>
          <w:lang w:val="en-US"/>
        </w:rPr>
        <w:t>/</w:t>
      </w:r>
      <w:r>
        <w:rPr>
          <w:rFonts w:ascii="Calibri" w:hAnsi="Calibri" w:cs="Calibri"/>
          <w:color w:val="auto"/>
          <w:sz w:val="22"/>
          <w:lang w:val="en-US"/>
        </w:rPr>
        <w:t>biased manager performance or future</w:t>
      </w:r>
      <w:r w:rsidR="003421CA">
        <w:rPr>
          <w:rFonts w:ascii="Calibri" w:hAnsi="Calibri" w:cs="Calibri"/>
          <w:color w:val="auto"/>
          <w:sz w:val="22"/>
          <w:lang w:val="en-US"/>
        </w:rPr>
        <w:t>/</w:t>
      </w:r>
      <w:r>
        <w:rPr>
          <w:rFonts w:ascii="Calibri" w:hAnsi="Calibri" w:cs="Calibri"/>
          <w:color w:val="auto"/>
          <w:sz w:val="22"/>
          <w:lang w:val="en-US"/>
        </w:rPr>
        <w:t>predicted CIS performance.</w:t>
      </w:r>
    </w:p>
    <w:p w14:paraId="608BF968" w14:textId="22481FBF" w:rsidR="00201B60" w:rsidRPr="00201B60" w:rsidRDefault="00201B60" w:rsidP="009F73BE">
      <w:pPr>
        <w:pStyle w:val="BodyText"/>
        <w:numPr>
          <w:ilvl w:val="1"/>
          <w:numId w:val="106"/>
        </w:numPr>
        <w:jc w:val="both"/>
        <w:rPr>
          <w:rFonts w:ascii="Calibri" w:hAnsi="Calibri" w:cs="Calibri"/>
          <w:b/>
          <w:bCs/>
          <w:color w:val="auto"/>
          <w:sz w:val="22"/>
          <w:lang w:val="en-US"/>
        </w:rPr>
      </w:pPr>
      <w:r>
        <w:rPr>
          <w:rFonts w:ascii="Calibri" w:hAnsi="Calibri" w:cs="Calibri"/>
          <w:color w:val="auto"/>
          <w:sz w:val="22"/>
          <w:lang w:val="en-US"/>
        </w:rPr>
        <w:t xml:space="preserve">Must be </w:t>
      </w:r>
      <w:r w:rsidRPr="00201B60">
        <w:rPr>
          <w:rFonts w:ascii="Calibri" w:hAnsi="Calibri" w:cs="Calibri"/>
          <w:color w:val="auto"/>
          <w:sz w:val="22"/>
          <w:u w:val="single"/>
          <w:lang w:val="en-US"/>
        </w:rPr>
        <w:t>signed by every director</w:t>
      </w:r>
      <w:r>
        <w:rPr>
          <w:rFonts w:ascii="Calibri" w:hAnsi="Calibri" w:cs="Calibri"/>
          <w:color w:val="auto"/>
          <w:sz w:val="22"/>
          <w:lang w:val="en-US"/>
        </w:rPr>
        <w:t xml:space="preserve"> and every person who is named as a proposed director.</w:t>
      </w:r>
    </w:p>
    <w:p w14:paraId="1AA4AE34" w14:textId="36A808E7" w:rsidR="00201B60" w:rsidRPr="00201B60" w:rsidRDefault="00201B60" w:rsidP="009F73BE">
      <w:pPr>
        <w:pStyle w:val="BodyText"/>
        <w:numPr>
          <w:ilvl w:val="1"/>
          <w:numId w:val="106"/>
        </w:numPr>
        <w:jc w:val="both"/>
        <w:rPr>
          <w:rFonts w:ascii="Calibri" w:hAnsi="Calibri" w:cs="Calibri"/>
          <w:b/>
          <w:bCs/>
          <w:color w:val="auto"/>
          <w:sz w:val="22"/>
          <w:lang w:val="en-US"/>
        </w:rPr>
      </w:pPr>
      <w:r>
        <w:rPr>
          <w:rFonts w:ascii="Calibri" w:hAnsi="Calibri" w:cs="Calibri"/>
          <w:color w:val="auto"/>
          <w:sz w:val="22"/>
          <w:lang w:val="en-US"/>
        </w:rPr>
        <w:t xml:space="preserve">If the prospectus uses an expert’s opinion, the </w:t>
      </w:r>
      <w:r w:rsidRPr="00201B60">
        <w:rPr>
          <w:rFonts w:ascii="Calibri" w:hAnsi="Calibri" w:cs="Calibri"/>
          <w:color w:val="auto"/>
          <w:sz w:val="22"/>
          <w:u w:val="single"/>
          <w:lang w:val="en-US"/>
        </w:rPr>
        <w:t>expert’s written consent must be lodged with MAS</w:t>
      </w:r>
      <w:r>
        <w:rPr>
          <w:rFonts w:ascii="Calibri" w:hAnsi="Calibri" w:cs="Calibri"/>
          <w:color w:val="auto"/>
          <w:sz w:val="22"/>
          <w:lang w:val="en-US"/>
        </w:rPr>
        <w:t>.</w:t>
      </w:r>
    </w:p>
    <w:p w14:paraId="01D5D309" w14:textId="44E272D2" w:rsidR="00201B60" w:rsidRPr="006E29E9" w:rsidRDefault="00201B60" w:rsidP="009F73BE">
      <w:pPr>
        <w:pStyle w:val="BodyText"/>
        <w:numPr>
          <w:ilvl w:val="1"/>
          <w:numId w:val="106"/>
        </w:numPr>
        <w:jc w:val="both"/>
        <w:rPr>
          <w:rFonts w:ascii="Calibri" w:hAnsi="Calibri" w:cs="Calibri"/>
          <w:b/>
          <w:bCs/>
          <w:color w:val="auto"/>
          <w:sz w:val="22"/>
          <w:lang w:val="en-US"/>
        </w:rPr>
      </w:pPr>
      <w:r w:rsidRPr="00201B60">
        <w:rPr>
          <w:rFonts w:ascii="Calibri" w:hAnsi="Calibri" w:cs="Calibri"/>
          <w:color w:val="auto"/>
          <w:sz w:val="22"/>
          <w:u w:val="single"/>
          <w:lang w:val="en-US"/>
        </w:rPr>
        <w:t>MAS will register the prospectus any day between 7</w:t>
      </w:r>
      <w:r w:rsidRPr="00201B60">
        <w:rPr>
          <w:rFonts w:ascii="Calibri" w:hAnsi="Calibri" w:cs="Calibri"/>
          <w:color w:val="auto"/>
          <w:sz w:val="22"/>
          <w:u w:val="single"/>
          <w:vertAlign w:val="superscript"/>
          <w:lang w:val="en-US"/>
        </w:rPr>
        <w:t>th</w:t>
      </w:r>
      <w:r w:rsidRPr="00201B60">
        <w:rPr>
          <w:rFonts w:ascii="Calibri" w:hAnsi="Calibri" w:cs="Calibri"/>
          <w:color w:val="auto"/>
          <w:sz w:val="22"/>
          <w:u w:val="single"/>
          <w:lang w:val="en-US"/>
        </w:rPr>
        <w:t xml:space="preserve"> and 21</w:t>
      </w:r>
      <w:r w:rsidRPr="00201B60">
        <w:rPr>
          <w:rFonts w:ascii="Calibri" w:hAnsi="Calibri" w:cs="Calibri"/>
          <w:color w:val="auto"/>
          <w:sz w:val="22"/>
          <w:u w:val="single"/>
          <w:vertAlign w:val="superscript"/>
          <w:lang w:val="en-US"/>
        </w:rPr>
        <w:t>st</w:t>
      </w:r>
      <w:r w:rsidRPr="00201B60">
        <w:rPr>
          <w:rFonts w:ascii="Calibri" w:hAnsi="Calibri" w:cs="Calibri"/>
          <w:color w:val="auto"/>
          <w:sz w:val="22"/>
          <w:u w:val="single"/>
          <w:lang w:val="en-US"/>
        </w:rPr>
        <w:t xml:space="preserve"> day from the date of lodgment</w:t>
      </w:r>
      <w:r>
        <w:rPr>
          <w:rFonts w:ascii="Calibri" w:hAnsi="Calibri" w:cs="Calibri"/>
          <w:color w:val="auto"/>
          <w:sz w:val="22"/>
          <w:lang w:val="en-US"/>
        </w:rPr>
        <w:t xml:space="preserve">. </w:t>
      </w:r>
    </w:p>
    <w:p w14:paraId="436DB574" w14:textId="7B4F7CB5" w:rsidR="006E29E9" w:rsidRPr="006E29E9" w:rsidRDefault="006E29E9" w:rsidP="009F73BE">
      <w:pPr>
        <w:pStyle w:val="BodyText"/>
        <w:numPr>
          <w:ilvl w:val="1"/>
          <w:numId w:val="106"/>
        </w:numPr>
        <w:jc w:val="both"/>
        <w:rPr>
          <w:rFonts w:ascii="Calibri" w:hAnsi="Calibri" w:cs="Calibri"/>
          <w:b/>
          <w:bCs/>
          <w:color w:val="auto"/>
          <w:sz w:val="22"/>
          <w:lang w:val="en-US"/>
        </w:rPr>
      </w:pPr>
      <w:r>
        <w:rPr>
          <w:rFonts w:ascii="Calibri" w:hAnsi="Calibri" w:cs="Calibri"/>
          <w:color w:val="auto"/>
          <w:sz w:val="22"/>
          <w:lang w:val="en-US"/>
        </w:rPr>
        <w:lastRenderedPageBreak/>
        <w:t xml:space="preserve">The offeror </w:t>
      </w:r>
      <w:r w:rsidRPr="006E29E9">
        <w:rPr>
          <w:rFonts w:ascii="Calibri" w:hAnsi="Calibri" w:cs="Calibri"/>
          <w:color w:val="auto"/>
          <w:sz w:val="22"/>
          <w:u w:val="single"/>
          <w:lang w:val="en-US"/>
        </w:rPr>
        <w:t>may lodge a supplementary or replacement version</w:t>
      </w:r>
      <w:r>
        <w:rPr>
          <w:rFonts w:ascii="Calibri" w:hAnsi="Calibri" w:cs="Calibri"/>
          <w:color w:val="auto"/>
          <w:sz w:val="22"/>
          <w:lang w:val="en-US"/>
        </w:rPr>
        <w:t xml:space="preserve"> after a prospectus or profile statement is registered but before the earlier of (i) close of the offer or (ii) the expiration of 12 months from MAS registration date. Regardless the nature, the offeror would be required to disclose at the beginning the nature this new version (i.e., supplement or replacement) and the part that it seeks to supplement or replace in the original prospectus</w:t>
      </w:r>
      <w:r w:rsidR="003421CA">
        <w:rPr>
          <w:rFonts w:ascii="Calibri" w:hAnsi="Calibri" w:cs="Calibri"/>
          <w:color w:val="auto"/>
          <w:sz w:val="22"/>
          <w:lang w:val="en-US"/>
        </w:rPr>
        <w:t>/</w:t>
      </w:r>
      <w:r>
        <w:rPr>
          <w:rFonts w:ascii="Calibri" w:hAnsi="Calibri" w:cs="Calibri"/>
          <w:color w:val="auto"/>
          <w:sz w:val="22"/>
          <w:lang w:val="en-US"/>
        </w:rPr>
        <w:t>profile statement.</w:t>
      </w:r>
    </w:p>
    <w:p w14:paraId="5580A603" w14:textId="400CD966" w:rsidR="006E29E9" w:rsidRPr="006E29E9" w:rsidRDefault="006E29E9" w:rsidP="009F73BE">
      <w:pPr>
        <w:pStyle w:val="BodyText"/>
        <w:numPr>
          <w:ilvl w:val="1"/>
          <w:numId w:val="106"/>
        </w:numPr>
        <w:jc w:val="both"/>
        <w:rPr>
          <w:rFonts w:ascii="Calibri" w:hAnsi="Calibri" w:cs="Calibri"/>
          <w:b/>
          <w:bCs/>
          <w:color w:val="auto"/>
          <w:sz w:val="22"/>
          <w:lang w:val="en-US"/>
        </w:rPr>
      </w:pPr>
      <w:r>
        <w:rPr>
          <w:rFonts w:ascii="Calibri" w:hAnsi="Calibri" w:cs="Calibri"/>
          <w:color w:val="auto"/>
          <w:sz w:val="22"/>
          <w:lang w:val="en-US"/>
        </w:rPr>
        <w:t>The prospectus</w:t>
      </w:r>
      <w:r w:rsidR="003421CA">
        <w:rPr>
          <w:rFonts w:ascii="Calibri" w:hAnsi="Calibri" w:cs="Calibri"/>
          <w:color w:val="auto"/>
          <w:sz w:val="22"/>
          <w:lang w:val="en-US"/>
        </w:rPr>
        <w:t>/</w:t>
      </w:r>
      <w:r>
        <w:rPr>
          <w:rFonts w:ascii="Calibri" w:hAnsi="Calibri" w:cs="Calibri"/>
          <w:color w:val="auto"/>
          <w:sz w:val="22"/>
          <w:lang w:val="en-US"/>
        </w:rPr>
        <w:t xml:space="preserve">profile statement is </w:t>
      </w:r>
      <w:r w:rsidRPr="006E29E9">
        <w:rPr>
          <w:rFonts w:ascii="Calibri" w:hAnsi="Calibri" w:cs="Calibri"/>
          <w:color w:val="auto"/>
          <w:sz w:val="22"/>
          <w:u w:val="single"/>
          <w:lang w:val="en-US"/>
        </w:rPr>
        <w:t>valid for only 12 months</w:t>
      </w:r>
      <w:r>
        <w:rPr>
          <w:rFonts w:ascii="Calibri" w:hAnsi="Calibri" w:cs="Calibri"/>
          <w:color w:val="auto"/>
          <w:sz w:val="22"/>
          <w:lang w:val="en-US"/>
        </w:rPr>
        <w:t xml:space="preserve"> from MAS registration date. If the CIS is offered on an ongoing basis, the latest prospectus</w:t>
      </w:r>
      <w:r w:rsidR="003421CA">
        <w:rPr>
          <w:rFonts w:ascii="Calibri" w:hAnsi="Calibri" w:cs="Calibri"/>
          <w:color w:val="auto"/>
          <w:sz w:val="22"/>
          <w:lang w:val="en-US"/>
        </w:rPr>
        <w:t>/</w:t>
      </w:r>
      <w:r>
        <w:rPr>
          <w:rFonts w:ascii="Calibri" w:hAnsi="Calibri" w:cs="Calibri"/>
          <w:color w:val="auto"/>
          <w:sz w:val="22"/>
          <w:lang w:val="en-US"/>
        </w:rPr>
        <w:t xml:space="preserve">profile statement would have to be renewed. </w:t>
      </w:r>
    </w:p>
    <w:p w14:paraId="012C2D87" w14:textId="0DBB1FB7" w:rsidR="00460F0E" w:rsidRPr="00460F0E" w:rsidRDefault="00623D58" w:rsidP="00460F0E">
      <w:pPr>
        <w:pStyle w:val="BodyText"/>
        <w:numPr>
          <w:ilvl w:val="1"/>
          <w:numId w:val="106"/>
        </w:numPr>
        <w:jc w:val="both"/>
        <w:rPr>
          <w:rFonts w:ascii="Calibri" w:hAnsi="Calibri" w:cs="Calibri"/>
          <w:b/>
          <w:bCs/>
          <w:color w:val="auto"/>
          <w:sz w:val="22"/>
          <w:lang w:val="en-US"/>
        </w:rPr>
      </w:pPr>
      <w:r>
        <w:rPr>
          <w:rFonts w:ascii="Calibri" w:hAnsi="Calibri" w:cs="Calibri"/>
          <w:color w:val="auto"/>
          <w:sz w:val="22"/>
          <w:lang w:val="en-US"/>
        </w:rPr>
        <w:t xml:space="preserve">Even after the prospectus has been registered with MAS, MAS can still </w:t>
      </w:r>
      <w:r w:rsidR="00460F0E">
        <w:rPr>
          <w:rFonts w:ascii="Calibri" w:hAnsi="Calibri" w:cs="Calibri"/>
          <w:color w:val="auto"/>
          <w:sz w:val="22"/>
          <w:lang w:val="en-US"/>
        </w:rPr>
        <w:t>–</w:t>
      </w:r>
    </w:p>
    <w:p w14:paraId="628C4049" w14:textId="77777777" w:rsidR="00623D58" w:rsidRPr="00623D58" w:rsidRDefault="00623D58" w:rsidP="009F73BE">
      <w:pPr>
        <w:pStyle w:val="BodyText"/>
        <w:numPr>
          <w:ilvl w:val="2"/>
          <w:numId w:val="106"/>
        </w:numPr>
        <w:jc w:val="both"/>
        <w:rPr>
          <w:rFonts w:ascii="Calibri" w:hAnsi="Calibri" w:cs="Calibri"/>
          <w:b/>
          <w:bCs/>
          <w:color w:val="auto"/>
          <w:sz w:val="22"/>
          <w:lang w:val="en-US"/>
        </w:rPr>
      </w:pPr>
      <w:r w:rsidRPr="00623D58">
        <w:rPr>
          <w:rFonts w:ascii="Calibri" w:hAnsi="Calibri" w:cs="Calibri"/>
          <w:color w:val="auto"/>
          <w:sz w:val="22"/>
          <w:u w:val="single"/>
          <w:lang w:val="en-US"/>
        </w:rPr>
        <w:t>Issue a stop order to get the offeror to stop issuing or selling units</w:t>
      </w:r>
      <w:r>
        <w:rPr>
          <w:rFonts w:ascii="Calibri" w:hAnsi="Calibri" w:cs="Calibri"/>
          <w:color w:val="auto"/>
          <w:sz w:val="22"/>
          <w:lang w:val="en-US"/>
        </w:rPr>
        <w:t>. Upon receiving the stop order, any contributions made by participants should be refunded and any units should be redeemed in accordance with the CIS.</w:t>
      </w:r>
    </w:p>
    <w:p w14:paraId="669F363F" w14:textId="4140D222" w:rsidR="00623D58" w:rsidRPr="006E29E9" w:rsidRDefault="00623D58" w:rsidP="009F73BE">
      <w:pPr>
        <w:pStyle w:val="BodyText"/>
        <w:numPr>
          <w:ilvl w:val="2"/>
          <w:numId w:val="106"/>
        </w:numPr>
        <w:jc w:val="both"/>
        <w:rPr>
          <w:rFonts w:ascii="Calibri" w:hAnsi="Calibri" w:cs="Calibri"/>
          <w:b/>
          <w:bCs/>
          <w:color w:val="auto"/>
          <w:sz w:val="22"/>
          <w:lang w:val="en-US"/>
        </w:rPr>
      </w:pPr>
      <w:r>
        <w:rPr>
          <w:rFonts w:ascii="Calibri" w:hAnsi="Calibri" w:cs="Calibri"/>
          <w:color w:val="auto"/>
          <w:sz w:val="22"/>
          <w:u w:val="single"/>
          <w:lang w:val="en-US"/>
        </w:rPr>
        <w:t>Issue an interim stop order</w:t>
      </w:r>
      <w:r>
        <w:rPr>
          <w:rFonts w:ascii="Calibri" w:hAnsi="Calibri" w:cs="Calibri"/>
          <w:color w:val="auto"/>
          <w:sz w:val="22"/>
          <w:lang w:val="en-US"/>
        </w:rPr>
        <w:t xml:space="preserve"> if the manager has previously appealed to be heard. The </w:t>
      </w:r>
      <w:r w:rsidRPr="00623D58">
        <w:rPr>
          <w:rFonts w:ascii="Calibri" w:hAnsi="Calibri" w:cs="Calibri"/>
          <w:color w:val="auto"/>
          <w:sz w:val="22"/>
          <w:u w:val="single"/>
          <w:lang w:val="en-US"/>
        </w:rPr>
        <w:t xml:space="preserve">interim stop order dictates units cannot be issued or sold </w:t>
      </w:r>
      <w:r>
        <w:rPr>
          <w:rFonts w:ascii="Calibri" w:hAnsi="Calibri" w:cs="Calibri"/>
          <w:color w:val="auto"/>
          <w:sz w:val="22"/>
          <w:u w:val="single"/>
          <w:lang w:val="en-US"/>
        </w:rPr>
        <w:t>during</w:t>
      </w:r>
      <w:r w:rsidRPr="00623D58">
        <w:rPr>
          <w:rFonts w:ascii="Calibri" w:hAnsi="Calibri" w:cs="Calibri"/>
          <w:color w:val="auto"/>
          <w:sz w:val="22"/>
          <w:u w:val="single"/>
          <w:lang w:val="en-US"/>
        </w:rPr>
        <w:t xml:space="preserve"> the 14-day period</w:t>
      </w:r>
      <w:r>
        <w:rPr>
          <w:rFonts w:ascii="Calibri" w:hAnsi="Calibri" w:cs="Calibri"/>
          <w:color w:val="auto"/>
          <w:sz w:val="22"/>
          <w:lang w:val="en-US"/>
        </w:rPr>
        <w:t xml:space="preserve">.  </w:t>
      </w:r>
    </w:p>
    <w:p w14:paraId="7D266BB8" w14:textId="630EC45C" w:rsidR="00640E5F" w:rsidRPr="00640E5F" w:rsidRDefault="00640E5F" w:rsidP="009F73BE">
      <w:pPr>
        <w:pStyle w:val="BodyText"/>
        <w:numPr>
          <w:ilvl w:val="1"/>
          <w:numId w:val="106"/>
        </w:numPr>
        <w:jc w:val="both"/>
        <w:rPr>
          <w:rFonts w:ascii="Calibri" w:hAnsi="Calibri" w:cs="Calibri"/>
          <w:b/>
          <w:bCs/>
          <w:color w:val="auto"/>
          <w:sz w:val="22"/>
          <w:lang w:val="en-US"/>
        </w:rPr>
      </w:pPr>
      <w:r>
        <w:rPr>
          <w:rFonts w:ascii="Calibri" w:hAnsi="Calibri" w:cs="Calibri"/>
          <w:b/>
          <w:bCs/>
          <w:color w:val="auto"/>
          <w:sz w:val="22"/>
          <w:lang w:val="en-US"/>
        </w:rPr>
        <w:t>MMF</w:t>
      </w:r>
      <w:r w:rsidRPr="00640E5F">
        <w:rPr>
          <w:rFonts w:ascii="Calibri" w:hAnsi="Calibri" w:cs="Calibri"/>
          <w:color w:val="auto"/>
          <w:sz w:val="22"/>
          <w:lang w:val="en-US"/>
        </w:rPr>
        <w:t>:</w:t>
      </w:r>
      <w:r>
        <w:rPr>
          <w:rFonts w:ascii="Calibri" w:hAnsi="Calibri" w:cs="Calibri"/>
          <w:color w:val="auto"/>
          <w:sz w:val="22"/>
          <w:lang w:val="en-US"/>
        </w:rPr>
        <w:t xml:space="preserve"> </w:t>
      </w:r>
    </w:p>
    <w:p w14:paraId="6D7CF680" w14:textId="53F1C52F" w:rsidR="00640E5F" w:rsidRPr="00640E5F" w:rsidRDefault="00640E5F" w:rsidP="009F73BE">
      <w:pPr>
        <w:pStyle w:val="BodyText"/>
        <w:numPr>
          <w:ilvl w:val="2"/>
          <w:numId w:val="106"/>
        </w:numPr>
        <w:jc w:val="both"/>
        <w:rPr>
          <w:rFonts w:ascii="Calibri" w:hAnsi="Calibri" w:cs="Calibri"/>
          <w:b/>
          <w:bCs/>
          <w:color w:val="auto"/>
          <w:sz w:val="22"/>
          <w:lang w:val="en-US"/>
        </w:rPr>
      </w:pPr>
      <w:r>
        <w:rPr>
          <w:rFonts w:ascii="Calibri" w:hAnsi="Calibri" w:cs="Calibri"/>
          <w:color w:val="auto"/>
          <w:sz w:val="22"/>
          <w:lang w:val="en-US"/>
        </w:rPr>
        <w:t>The first page of the prospectus must clearly state that –</w:t>
      </w:r>
    </w:p>
    <w:p w14:paraId="23AC62D9" w14:textId="76FC160B" w:rsidR="00640E5F" w:rsidRDefault="00640E5F" w:rsidP="009F73BE">
      <w:pPr>
        <w:pStyle w:val="BodyText"/>
        <w:numPr>
          <w:ilvl w:val="3"/>
          <w:numId w:val="106"/>
        </w:numPr>
        <w:jc w:val="both"/>
        <w:rPr>
          <w:rFonts w:ascii="Calibri" w:hAnsi="Calibri" w:cs="Calibri"/>
          <w:color w:val="auto"/>
          <w:sz w:val="22"/>
          <w:lang w:val="en-US"/>
        </w:rPr>
      </w:pPr>
      <w:r w:rsidRPr="00640E5F">
        <w:rPr>
          <w:rFonts w:ascii="Calibri" w:hAnsi="Calibri" w:cs="Calibri"/>
          <w:color w:val="auto"/>
          <w:sz w:val="22"/>
          <w:lang w:val="en-US"/>
        </w:rPr>
        <w:t xml:space="preserve">The </w:t>
      </w:r>
      <w:r w:rsidRPr="00640E5F">
        <w:rPr>
          <w:rFonts w:ascii="Calibri" w:hAnsi="Calibri" w:cs="Calibri"/>
          <w:color w:val="auto"/>
          <w:sz w:val="22"/>
          <w:u w:val="single"/>
          <w:lang w:val="en-US"/>
        </w:rPr>
        <w:t>purchase of unit in MMF is not the same as placing funds on deposit</w:t>
      </w:r>
      <w:r w:rsidRPr="00640E5F">
        <w:rPr>
          <w:rFonts w:ascii="Calibri" w:hAnsi="Calibri" w:cs="Calibri"/>
          <w:color w:val="auto"/>
          <w:sz w:val="22"/>
          <w:lang w:val="en-US"/>
        </w:rPr>
        <w:t xml:space="preserve"> with a bank.</w:t>
      </w:r>
      <w:r w:rsidR="006B3423">
        <w:rPr>
          <w:rFonts w:ascii="Calibri" w:hAnsi="Calibri" w:cs="Calibri"/>
          <w:color w:val="auto"/>
          <w:sz w:val="22"/>
          <w:lang w:val="en-US"/>
        </w:rPr>
        <w:t xml:space="preserve"> Note</w:t>
      </w:r>
      <w:r w:rsidR="000E196B">
        <w:rPr>
          <w:rFonts w:ascii="Calibri" w:hAnsi="Calibri" w:cs="Calibri"/>
          <w:color w:val="auto"/>
          <w:sz w:val="22"/>
          <w:lang w:val="en-US"/>
        </w:rPr>
        <w:t xml:space="preserve"> that</w:t>
      </w:r>
      <w:r w:rsidR="006B3423">
        <w:rPr>
          <w:rFonts w:ascii="Calibri" w:hAnsi="Calibri" w:cs="Calibri"/>
          <w:color w:val="auto"/>
          <w:sz w:val="22"/>
          <w:lang w:val="en-US"/>
        </w:rPr>
        <w:t xml:space="preserve"> deposit with banks </w:t>
      </w:r>
      <w:proofErr w:type="gramStart"/>
      <w:r w:rsidR="006B3423">
        <w:rPr>
          <w:rFonts w:ascii="Calibri" w:hAnsi="Calibri" w:cs="Calibri"/>
          <w:color w:val="auto"/>
          <w:sz w:val="22"/>
          <w:lang w:val="en-US"/>
        </w:rPr>
        <w:t>are</w:t>
      </w:r>
      <w:proofErr w:type="gramEnd"/>
      <w:r w:rsidR="006B3423">
        <w:rPr>
          <w:rFonts w:ascii="Calibri" w:hAnsi="Calibri" w:cs="Calibri"/>
          <w:color w:val="auto"/>
          <w:sz w:val="22"/>
          <w:lang w:val="en-US"/>
        </w:rPr>
        <w:t xml:space="preserve"> government insured</w:t>
      </w:r>
      <w:r w:rsidR="00D27D0E">
        <w:rPr>
          <w:rFonts w:ascii="Calibri" w:hAnsi="Calibri" w:cs="Calibri"/>
          <w:color w:val="auto"/>
          <w:sz w:val="22"/>
          <w:lang w:val="en-US"/>
        </w:rPr>
        <w:t xml:space="preserve"> up to $</w:t>
      </w:r>
      <w:r w:rsidR="000E196B">
        <w:rPr>
          <w:rFonts w:ascii="Calibri" w:hAnsi="Calibri" w:cs="Calibri"/>
          <w:color w:val="auto"/>
          <w:sz w:val="22"/>
          <w:lang w:val="en-US"/>
        </w:rPr>
        <w:t>100K</w:t>
      </w:r>
      <w:r w:rsidR="00D27D0E">
        <w:rPr>
          <w:rFonts w:ascii="Calibri" w:hAnsi="Calibri" w:cs="Calibri"/>
          <w:color w:val="auto"/>
          <w:sz w:val="22"/>
          <w:lang w:val="en-US"/>
        </w:rPr>
        <w:t>.</w:t>
      </w:r>
    </w:p>
    <w:p w14:paraId="69FF58CF" w14:textId="66AF0773" w:rsidR="00640E5F" w:rsidRDefault="00640E5F" w:rsidP="009F73BE">
      <w:pPr>
        <w:pStyle w:val="BodyText"/>
        <w:numPr>
          <w:ilvl w:val="3"/>
          <w:numId w:val="106"/>
        </w:numPr>
        <w:jc w:val="both"/>
        <w:rPr>
          <w:rFonts w:ascii="Calibri" w:hAnsi="Calibri" w:cs="Calibri"/>
          <w:color w:val="auto"/>
          <w:sz w:val="22"/>
          <w:lang w:val="en-US"/>
        </w:rPr>
      </w:pPr>
      <w:r>
        <w:rPr>
          <w:rFonts w:ascii="Calibri" w:hAnsi="Calibri" w:cs="Calibri"/>
          <w:color w:val="auto"/>
          <w:sz w:val="22"/>
          <w:lang w:val="en-US"/>
        </w:rPr>
        <w:t xml:space="preserve">There is </w:t>
      </w:r>
      <w:r w:rsidRPr="00640E5F">
        <w:rPr>
          <w:rFonts w:ascii="Calibri" w:hAnsi="Calibri" w:cs="Calibri"/>
          <w:color w:val="auto"/>
          <w:sz w:val="22"/>
          <w:u w:val="single"/>
          <w:lang w:val="en-US"/>
        </w:rPr>
        <w:t>no assurance that the manager would be able to maintain or preserve</w:t>
      </w:r>
      <w:r>
        <w:rPr>
          <w:rFonts w:ascii="Calibri" w:hAnsi="Calibri" w:cs="Calibri"/>
          <w:color w:val="auto"/>
          <w:sz w:val="22"/>
          <w:lang w:val="en-US"/>
        </w:rPr>
        <w:t xml:space="preserve"> </w:t>
      </w:r>
      <w:r w:rsidRPr="00640E5F">
        <w:rPr>
          <w:rFonts w:ascii="Calibri" w:hAnsi="Calibri" w:cs="Calibri"/>
          <w:color w:val="auto"/>
          <w:sz w:val="22"/>
          <w:u w:val="single"/>
          <w:lang w:val="en-US"/>
        </w:rPr>
        <w:t>the principal value</w:t>
      </w:r>
      <w:r>
        <w:rPr>
          <w:rFonts w:ascii="Calibri" w:hAnsi="Calibri" w:cs="Calibri"/>
          <w:color w:val="auto"/>
          <w:sz w:val="22"/>
          <w:lang w:val="en-US"/>
        </w:rPr>
        <w:t>.</w:t>
      </w:r>
    </w:p>
    <w:p w14:paraId="7DA4F51C" w14:textId="68C937A3" w:rsidR="00640E5F" w:rsidRDefault="00640E5F" w:rsidP="009F73BE">
      <w:pPr>
        <w:pStyle w:val="BodyText"/>
        <w:numPr>
          <w:ilvl w:val="3"/>
          <w:numId w:val="106"/>
        </w:numPr>
        <w:jc w:val="both"/>
        <w:rPr>
          <w:rFonts w:ascii="Calibri" w:hAnsi="Calibri" w:cs="Calibri"/>
          <w:color w:val="auto"/>
          <w:sz w:val="22"/>
          <w:lang w:val="en-US"/>
        </w:rPr>
      </w:pPr>
      <w:r>
        <w:rPr>
          <w:rFonts w:ascii="Calibri" w:hAnsi="Calibri" w:cs="Calibri"/>
          <w:color w:val="auto"/>
          <w:sz w:val="22"/>
          <w:lang w:val="en-US"/>
        </w:rPr>
        <w:t xml:space="preserve">The MMF is </w:t>
      </w:r>
      <w:r w:rsidRPr="00640E5F">
        <w:rPr>
          <w:rFonts w:ascii="Calibri" w:hAnsi="Calibri" w:cs="Calibri"/>
          <w:color w:val="auto"/>
          <w:sz w:val="22"/>
          <w:u w:val="single"/>
          <w:lang w:val="en-US"/>
        </w:rPr>
        <w:t>not a guaranteed fund</w:t>
      </w:r>
      <w:r>
        <w:rPr>
          <w:rFonts w:ascii="Calibri" w:hAnsi="Calibri" w:cs="Calibri"/>
          <w:color w:val="auto"/>
          <w:sz w:val="22"/>
          <w:lang w:val="en-US"/>
        </w:rPr>
        <w:t>.</w:t>
      </w:r>
    </w:p>
    <w:p w14:paraId="6163CF16" w14:textId="3AD1675F" w:rsidR="00640E5F" w:rsidRPr="00640E5F" w:rsidRDefault="00640E5F" w:rsidP="009F73BE">
      <w:pPr>
        <w:pStyle w:val="BodyText"/>
        <w:numPr>
          <w:ilvl w:val="2"/>
          <w:numId w:val="106"/>
        </w:numPr>
        <w:jc w:val="both"/>
        <w:rPr>
          <w:rFonts w:ascii="Calibri" w:hAnsi="Calibri" w:cs="Calibri"/>
          <w:color w:val="auto"/>
          <w:sz w:val="22"/>
          <w:lang w:val="en-US"/>
        </w:rPr>
      </w:pPr>
      <w:r>
        <w:rPr>
          <w:rFonts w:ascii="Calibri" w:hAnsi="Calibri" w:cs="Calibri"/>
          <w:color w:val="auto"/>
          <w:sz w:val="22"/>
          <w:lang w:val="en-US"/>
        </w:rPr>
        <w:t xml:space="preserve">Also in subsequent pages, it must </w:t>
      </w:r>
      <w:r w:rsidRPr="00640E5F">
        <w:rPr>
          <w:rFonts w:ascii="Calibri" w:hAnsi="Calibri" w:cs="Calibri"/>
          <w:color w:val="auto"/>
          <w:sz w:val="22"/>
          <w:u w:val="single"/>
          <w:lang w:val="en-US"/>
        </w:rPr>
        <w:t>disclose the max % of derivatives exposure used for hedging or efficient portfolio management</w:t>
      </w:r>
      <w:r>
        <w:rPr>
          <w:rFonts w:ascii="Calibri" w:hAnsi="Calibri" w:cs="Calibri"/>
          <w:color w:val="auto"/>
          <w:sz w:val="22"/>
          <w:lang w:val="en-US"/>
        </w:rPr>
        <w:t>.</w:t>
      </w:r>
    </w:p>
    <w:p w14:paraId="2CDF1825" w14:textId="77777777" w:rsidR="002837F7" w:rsidRPr="00640E5F" w:rsidRDefault="002837F7" w:rsidP="002837F7">
      <w:pPr>
        <w:pStyle w:val="BodyText"/>
        <w:numPr>
          <w:ilvl w:val="1"/>
          <w:numId w:val="106"/>
        </w:numPr>
        <w:jc w:val="both"/>
        <w:rPr>
          <w:rFonts w:ascii="Calibri" w:hAnsi="Calibri" w:cs="Calibri"/>
          <w:b/>
          <w:bCs/>
          <w:color w:val="auto"/>
          <w:sz w:val="22"/>
          <w:lang w:val="en-US"/>
        </w:rPr>
      </w:pPr>
      <w:r>
        <w:rPr>
          <w:rFonts w:ascii="Calibri" w:hAnsi="Calibri" w:cs="Calibri"/>
          <w:b/>
          <w:bCs/>
          <w:color w:val="auto"/>
          <w:sz w:val="22"/>
          <w:lang w:val="en-US"/>
        </w:rPr>
        <w:t xml:space="preserve">HFs and </w:t>
      </w:r>
      <w:proofErr w:type="spellStart"/>
      <w:r>
        <w:rPr>
          <w:rFonts w:ascii="Calibri" w:hAnsi="Calibri" w:cs="Calibri"/>
          <w:b/>
          <w:bCs/>
          <w:color w:val="auto"/>
          <w:sz w:val="22"/>
          <w:lang w:val="en-US"/>
        </w:rPr>
        <w:t>FoHFs</w:t>
      </w:r>
      <w:proofErr w:type="spellEnd"/>
      <w:r>
        <w:rPr>
          <w:rFonts w:ascii="Calibri" w:hAnsi="Calibri" w:cs="Calibri"/>
          <w:color w:val="auto"/>
          <w:sz w:val="22"/>
          <w:lang w:val="en-US"/>
        </w:rPr>
        <w:t xml:space="preserve">: </w:t>
      </w:r>
    </w:p>
    <w:p w14:paraId="05AE1830" w14:textId="77777777" w:rsidR="002837F7" w:rsidRPr="00640E5F" w:rsidRDefault="002837F7" w:rsidP="002837F7">
      <w:pPr>
        <w:pStyle w:val="BodyText"/>
        <w:numPr>
          <w:ilvl w:val="2"/>
          <w:numId w:val="106"/>
        </w:numPr>
        <w:jc w:val="both"/>
        <w:rPr>
          <w:rFonts w:ascii="Calibri" w:hAnsi="Calibri" w:cs="Calibri"/>
          <w:b/>
          <w:bCs/>
          <w:color w:val="auto"/>
          <w:sz w:val="22"/>
          <w:lang w:val="en-US"/>
        </w:rPr>
      </w:pPr>
      <w:r>
        <w:rPr>
          <w:rFonts w:ascii="Calibri" w:hAnsi="Calibri" w:cs="Calibri"/>
          <w:color w:val="auto"/>
          <w:sz w:val="22"/>
          <w:lang w:val="en-US"/>
        </w:rPr>
        <w:t xml:space="preserve">The cover page must clearly state that </w:t>
      </w:r>
    </w:p>
    <w:p w14:paraId="02E2ADA0" w14:textId="77777777" w:rsidR="002837F7" w:rsidRPr="00640E5F" w:rsidRDefault="002837F7" w:rsidP="002837F7">
      <w:pPr>
        <w:pStyle w:val="BodyText"/>
        <w:numPr>
          <w:ilvl w:val="3"/>
          <w:numId w:val="106"/>
        </w:numPr>
        <w:jc w:val="both"/>
        <w:rPr>
          <w:rFonts w:ascii="Calibri" w:hAnsi="Calibri" w:cs="Calibri"/>
          <w:b/>
          <w:bCs/>
          <w:color w:val="auto"/>
          <w:sz w:val="22"/>
          <w:lang w:val="en-US"/>
        </w:rPr>
      </w:pPr>
      <w:r>
        <w:rPr>
          <w:rFonts w:ascii="Calibri" w:hAnsi="Calibri" w:cs="Calibri"/>
          <w:color w:val="auto"/>
          <w:sz w:val="22"/>
          <w:lang w:val="en-US"/>
        </w:rPr>
        <w:t xml:space="preserve">The Code does not prescribe investment guidelines for HFs </w:t>
      </w:r>
    </w:p>
    <w:p w14:paraId="4D2B91D7" w14:textId="77777777" w:rsidR="002837F7" w:rsidRPr="00640E5F" w:rsidRDefault="002837F7" w:rsidP="002837F7">
      <w:pPr>
        <w:pStyle w:val="BodyText"/>
        <w:numPr>
          <w:ilvl w:val="3"/>
          <w:numId w:val="106"/>
        </w:numPr>
        <w:jc w:val="both"/>
        <w:rPr>
          <w:rFonts w:ascii="Calibri" w:hAnsi="Calibri" w:cs="Calibri"/>
          <w:b/>
          <w:bCs/>
          <w:color w:val="auto"/>
          <w:sz w:val="22"/>
          <w:lang w:val="en-US"/>
        </w:rPr>
      </w:pPr>
      <w:r>
        <w:rPr>
          <w:rFonts w:ascii="Calibri" w:hAnsi="Calibri" w:cs="Calibri"/>
          <w:color w:val="auto"/>
          <w:sz w:val="22"/>
          <w:lang w:val="en-US"/>
        </w:rPr>
        <w:t>An investment in the hedge fund carries different risk from other CIS</w:t>
      </w:r>
    </w:p>
    <w:p w14:paraId="1B86C039" w14:textId="77777777" w:rsidR="002837F7" w:rsidRPr="00640E5F" w:rsidRDefault="002837F7" w:rsidP="002837F7">
      <w:pPr>
        <w:pStyle w:val="BodyText"/>
        <w:numPr>
          <w:ilvl w:val="3"/>
          <w:numId w:val="106"/>
        </w:numPr>
        <w:jc w:val="both"/>
        <w:rPr>
          <w:rFonts w:ascii="Calibri" w:hAnsi="Calibri" w:cs="Calibri"/>
          <w:b/>
          <w:bCs/>
          <w:color w:val="auto"/>
          <w:sz w:val="22"/>
          <w:lang w:val="en-US"/>
        </w:rPr>
      </w:pPr>
      <w:r>
        <w:rPr>
          <w:rFonts w:ascii="Calibri" w:hAnsi="Calibri" w:cs="Calibri"/>
          <w:color w:val="auto"/>
          <w:sz w:val="22"/>
          <w:lang w:val="en-US"/>
        </w:rPr>
        <w:t>The frequency of redemption</w:t>
      </w:r>
    </w:p>
    <w:p w14:paraId="75F0AB0D" w14:textId="56A878DA" w:rsidR="002837F7" w:rsidRPr="002837F7" w:rsidRDefault="002837F7" w:rsidP="002837F7">
      <w:pPr>
        <w:pStyle w:val="BodyText"/>
        <w:numPr>
          <w:ilvl w:val="2"/>
          <w:numId w:val="106"/>
        </w:numPr>
        <w:jc w:val="both"/>
        <w:rPr>
          <w:rFonts w:ascii="Calibri" w:hAnsi="Calibri" w:cs="Calibri"/>
          <w:b/>
          <w:bCs/>
          <w:color w:val="auto"/>
          <w:sz w:val="22"/>
          <w:lang w:val="en-US"/>
        </w:rPr>
      </w:pPr>
      <w:r>
        <w:rPr>
          <w:rFonts w:ascii="Calibri" w:hAnsi="Calibri" w:cs="Calibri"/>
          <w:color w:val="auto"/>
          <w:sz w:val="22"/>
          <w:lang w:val="en-US"/>
        </w:rPr>
        <w:t>Subsequent pages should disclose details of HF’s risk management and monitoring procedures and internal controls, and whether they are adequate.</w:t>
      </w:r>
    </w:p>
    <w:p w14:paraId="08C37064" w14:textId="3D6F67DF" w:rsidR="00640E5F" w:rsidRPr="00640E5F" w:rsidRDefault="00640E5F" w:rsidP="009F73BE">
      <w:pPr>
        <w:pStyle w:val="BodyText"/>
        <w:numPr>
          <w:ilvl w:val="1"/>
          <w:numId w:val="106"/>
        </w:numPr>
        <w:jc w:val="both"/>
        <w:rPr>
          <w:rFonts w:ascii="Calibri" w:hAnsi="Calibri" w:cs="Calibri"/>
          <w:b/>
          <w:bCs/>
          <w:color w:val="auto"/>
          <w:sz w:val="22"/>
          <w:lang w:val="en-US"/>
        </w:rPr>
      </w:pPr>
      <w:r>
        <w:rPr>
          <w:rFonts w:ascii="Calibri" w:hAnsi="Calibri" w:cs="Calibri"/>
          <w:b/>
          <w:bCs/>
          <w:color w:val="auto"/>
          <w:sz w:val="22"/>
          <w:lang w:val="en-US"/>
        </w:rPr>
        <w:t>Capital Guaranteed Funds</w:t>
      </w:r>
      <w:r w:rsidR="00FD69E9">
        <w:rPr>
          <w:rFonts w:ascii="Calibri" w:hAnsi="Calibri" w:cs="Calibri"/>
          <w:color w:val="auto"/>
          <w:sz w:val="22"/>
          <w:lang w:val="en-US"/>
        </w:rPr>
        <w:t>:</w:t>
      </w:r>
      <w:r>
        <w:rPr>
          <w:rFonts w:ascii="Calibri" w:hAnsi="Calibri" w:cs="Calibri"/>
          <w:color w:val="auto"/>
          <w:sz w:val="22"/>
          <w:lang w:val="en-US"/>
        </w:rPr>
        <w:t xml:space="preserve"> (</w:t>
      </w:r>
      <w:proofErr w:type="spellStart"/>
      <w:r>
        <w:rPr>
          <w:rFonts w:ascii="Calibri" w:hAnsi="Calibri" w:cs="Calibri"/>
          <w:color w:val="auto"/>
          <w:sz w:val="22"/>
          <w:lang w:val="en-US"/>
        </w:rPr>
        <w:t>i</w:t>
      </w:r>
      <w:proofErr w:type="spellEnd"/>
      <w:r>
        <w:rPr>
          <w:rFonts w:ascii="Calibri" w:hAnsi="Calibri" w:cs="Calibri"/>
          <w:color w:val="auto"/>
          <w:sz w:val="22"/>
          <w:lang w:val="en-US"/>
        </w:rPr>
        <w:t>) Name and place of business, (ii) material terms of the guarantee, (iii) statement that the guarantee does not provide assurance on the future solvency of the guarantor etc.</w:t>
      </w:r>
    </w:p>
    <w:p w14:paraId="327F61D1" w14:textId="39E00AA1" w:rsidR="00640E5F" w:rsidRPr="00640E5F" w:rsidRDefault="00482CBE" w:rsidP="009F73BE">
      <w:pPr>
        <w:pStyle w:val="BodyText"/>
        <w:numPr>
          <w:ilvl w:val="1"/>
          <w:numId w:val="106"/>
        </w:numPr>
        <w:jc w:val="both"/>
        <w:rPr>
          <w:rFonts w:ascii="Calibri" w:hAnsi="Calibri" w:cs="Calibri"/>
          <w:b/>
          <w:bCs/>
          <w:color w:val="auto"/>
          <w:sz w:val="22"/>
          <w:lang w:val="en-US"/>
        </w:rPr>
      </w:pPr>
      <w:r>
        <w:rPr>
          <w:rFonts w:ascii="Calibri" w:hAnsi="Calibri" w:cs="Calibri"/>
          <w:b/>
          <w:bCs/>
          <w:color w:val="auto"/>
          <w:sz w:val="22"/>
          <w:lang w:val="en-US"/>
        </w:rPr>
        <w:t xml:space="preserve">Futures and Options Funds: </w:t>
      </w:r>
    </w:p>
    <w:p w14:paraId="487F54DB" w14:textId="26DC6AF4" w:rsidR="00FD69E9" w:rsidRPr="00482CBE" w:rsidRDefault="00482CBE" w:rsidP="009F73BE">
      <w:pPr>
        <w:pStyle w:val="BodyText"/>
        <w:numPr>
          <w:ilvl w:val="2"/>
          <w:numId w:val="106"/>
        </w:numPr>
        <w:jc w:val="both"/>
        <w:rPr>
          <w:rFonts w:ascii="Calibri" w:hAnsi="Calibri" w:cs="Calibri"/>
          <w:b/>
          <w:bCs/>
          <w:color w:val="auto"/>
          <w:sz w:val="22"/>
          <w:lang w:val="en-US"/>
        </w:rPr>
      </w:pPr>
      <w:r>
        <w:rPr>
          <w:rFonts w:ascii="Calibri" w:hAnsi="Calibri" w:cs="Calibri"/>
          <w:color w:val="auto"/>
          <w:sz w:val="22"/>
          <w:lang w:val="en-US"/>
        </w:rPr>
        <w:t>Cover page has the same requirements as HFs.</w:t>
      </w:r>
    </w:p>
    <w:p w14:paraId="62AF28F2" w14:textId="0B2949DD" w:rsidR="00482CBE" w:rsidRPr="00482CBE" w:rsidRDefault="00482CBE" w:rsidP="009F73BE">
      <w:pPr>
        <w:pStyle w:val="BodyText"/>
        <w:numPr>
          <w:ilvl w:val="2"/>
          <w:numId w:val="106"/>
        </w:numPr>
        <w:jc w:val="both"/>
        <w:rPr>
          <w:rFonts w:ascii="Calibri" w:hAnsi="Calibri" w:cs="Calibri"/>
          <w:b/>
          <w:bCs/>
          <w:color w:val="auto"/>
          <w:sz w:val="22"/>
          <w:lang w:val="en-US"/>
        </w:rPr>
      </w:pPr>
      <w:r>
        <w:rPr>
          <w:rFonts w:ascii="Calibri" w:hAnsi="Calibri" w:cs="Calibri"/>
          <w:color w:val="auto"/>
          <w:sz w:val="22"/>
          <w:lang w:val="en-US"/>
        </w:rPr>
        <w:t>Subsequent pages should disclose the type of financial future contracts and strategies used to achieve proper diversification.</w:t>
      </w:r>
    </w:p>
    <w:p w14:paraId="2413424F" w14:textId="4BE79E95" w:rsidR="00482CBE" w:rsidRPr="005D2FA1" w:rsidRDefault="00482CBE" w:rsidP="009F73BE">
      <w:pPr>
        <w:pStyle w:val="BodyText"/>
        <w:numPr>
          <w:ilvl w:val="1"/>
          <w:numId w:val="106"/>
        </w:numPr>
        <w:jc w:val="both"/>
        <w:rPr>
          <w:rFonts w:ascii="Calibri" w:hAnsi="Calibri" w:cs="Calibri"/>
          <w:b/>
          <w:bCs/>
          <w:color w:val="auto"/>
          <w:sz w:val="22"/>
          <w:lang w:val="en-US"/>
        </w:rPr>
      </w:pPr>
      <w:r w:rsidRPr="00482CBE">
        <w:rPr>
          <w:rFonts w:ascii="Calibri" w:hAnsi="Calibri" w:cs="Calibri"/>
          <w:b/>
          <w:bCs/>
          <w:color w:val="auto"/>
          <w:sz w:val="22"/>
          <w:lang w:val="en-US"/>
        </w:rPr>
        <w:t>Currency Funds</w:t>
      </w:r>
      <w:r>
        <w:rPr>
          <w:rFonts w:ascii="Calibri" w:hAnsi="Calibri" w:cs="Calibri"/>
          <w:color w:val="auto"/>
          <w:sz w:val="22"/>
          <w:lang w:val="en-US"/>
        </w:rPr>
        <w:t>:</w:t>
      </w:r>
      <w:r>
        <w:rPr>
          <w:rFonts w:ascii="Calibri" w:hAnsi="Calibri" w:cs="Calibri"/>
          <w:b/>
          <w:bCs/>
          <w:color w:val="auto"/>
          <w:sz w:val="22"/>
          <w:lang w:val="en-US"/>
        </w:rPr>
        <w:t xml:space="preserve"> </w:t>
      </w:r>
      <w:r>
        <w:rPr>
          <w:rFonts w:ascii="Calibri" w:hAnsi="Calibri" w:cs="Calibri"/>
          <w:color w:val="auto"/>
          <w:sz w:val="22"/>
          <w:lang w:val="en-US"/>
        </w:rPr>
        <w:t>Should disclose the (i) fund’s intention to use currency derivatives, (ii) the impact of currency derivatives on the risk profile</w:t>
      </w:r>
      <w:r w:rsidR="003421CA">
        <w:rPr>
          <w:rFonts w:ascii="Calibri" w:hAnsi="Calibri" w:cs="Calibri"/>
          <w:color w:val="auto"/>
          <w:sz w:val="22"/>
          <w:lang w:val="en-US"/>
        </w:rPr>
        <w:t>/</w:t>
      </w:r>
      <w:r>
        <w:rPr>
          <w:rFonts w:ascii="Calibri" w:hAnsi="Calibri" w:cs="Calibri"/>
          <w:color w:val="auto"/>
          <w:sz w:val="22"/>
          <w:lang w:val="en-US"/>
        </w:rPr>
        <w:t xml:space="preserve">volatility of the fund, (iii) the manager’s risk management process, (iv) the amount and denomination of the </w:t>
      </w:r>
      <w:r>
        <w:rPr>
          <w:rFonts w:ascii="Calibri" w:hAnsi="Calibri" w:cs="Calibri"/>
          <w:color w:val="auto"/>
          <w:sz w:val="22"/>
          <w:lang w:val="en-US"/>
        </w:rPr>
        <w:lastRenderedPageBreak/>
        <w:t>contract’s underlying currencies and (v) the method for determining the currency fund exposure.</w:t>
      </w:r>
    </w:p>
    <w:p w14:paraId="7F108A32" w14:textId="550B1618" w:rsidR="00482CBE" w:rsidRDefault="00482CBE" w:rsidP="009F73BE">
      <w:pPr>
        <w:pStyle w:val="BodyText"/>
        <w:numPr>
          <w:ilvl w:val="1"/>
          <w:numId w:val="106"/>
        </w:numPr>
        <w:jc w:val="both"/>
        <w:rPr>
          <w:rFonts w:ascii="Calibri" w:hAnsi="Calibri" w:cs="Calibri"/>
          <w:b/>
          <w:bCs/>
          <w:color w:val="auto"/>
          <w:sz w:val="22"/>
          <w:lang w:val="en-US"/>
        </w:rPr>
      </w:pPr>
      <w:r>
        <w:rPr>
          <w:rFonts w:ascii="Calibri" w:hAnsi="Calibri" w:cs="Calibri"/>
          <w:b/>
          <w:bCs/>
          <w:color w:val="auto"/>
          <w:sz w:val="22"/>
          <w:lang w:val="en-US"/>
        </w:rPr>
        <w:t>Undertakings for Collective investment in Transferable Securities (UCITS)</w:t>
      </w:r>
      <w:r>
        <w:rPr>
          <w:rFonts w:ascii="Calibri" w:hAnsi="Calibri" w:cs="Calibri"/>
          <w:color w:val="auto"/>
          <w:sz w:val="22"/>
          <w:lang w:val="en-US"/>
        </w:rPr>
        <w:t xml:space="preserve">: Should disclose the (i) appropriate risk disclosures of the investment policies and portfolio management techniques, (ii) intention to invest in financial derivatives instruments and whether it would be used for hedging and efficient portfolio management etc. </w:t>
      </w:r>
    </w:p>
    <w:p w14:paraId="5069B2B6" w14:textId="77777777" w:rsidR="00082F77" w:rsidRPr="00082F77" w:rsidRDefault="0032173B" w:rsidP="009F73BE">
      <w:pPr>
        <w:pStyle w:val="BodyText"/>
        <w:numPr>
          <w:ilvl w:val="1"/>
          <w:numId w:val="106"/>
        </w:numPr>
        <w:jc w:val="both"/>
        <w:rPr>
          <w:rFonts w:ascii="Calibri" w:hAnsi="Calibri" w:cs="Calibri"/>
          <w:b/>
          <w:bCs/>
          <w:color w:val="auto"/>
          <w:sz w:val="22"/>
          <w:lang w:val="en-US"/>
        </w:rPr>
      </w:pPr>
      <w:r>
        <w:rPr>
          <w:rFonts w:ascii="Calibri" w:hAnsi="Calibri" w:cs="Calibri"/>
          <w:b/>
          <w:bCs/>
          <w:color w:val="auto"/>
          <w:sz w:val="22"/>
          <w:lang w:val="en-US"/>
        </w:rPr>
        <w:t>Property Funds</w:t>
      </w:r>
      <w:r>
        <w:rPr>
          <w:rFonts w:ascii="Calibri" w:hAnsi="Calibri" w:cs="Calibri"/>
          <w:color w:val="auto"/>
          <w:sz w:val="22"/>
          <w:lang w:val="en-US"/>
        </w:rPr>
        <w:t xml:space="preserve">: </w:t>
      </w:r>
    </w:p>
    <w:p w14:paraId="3B05D795" w14:textId="3360567E" w:rsidR="00C6252E" w:rsidRPr="00082F77" w:rsidRDefault="009A40DB" w:rsidP="009F73BE">
      <w:pPr>
        <w:pStyle w:val="BodyText"/>
        <w:numPr>
          <w:ilvl w:val="2"/>
          <w:numId w:val="106"/>
        </w:numPr>
        <w:jc w:val="both"/>
        <w:rPr>
          <w:rFonts w:ascii="Calibri" w:hAnsi="Calibri" w:cs="Calibri"/>
          <w:b/>
          <w:bCs/>
          <w:color w:val="auto"/>
          <w:sz w:val="22"/>
          <w:lang w:val="en-US"/>
        </w:rPr>
      </w:pPr>
      <w:r w:rsidRPr="0029299C">
        <w:rPr>
          <w:rFonts w:ascii="Calibri" w:hAnsi="Calibri" w:cs="Calibri"/>
          <w:b/>
          <w:bCs/>
          <w:color w:val="auto"/>
          <w:sz w:val="22"/>
          <w:lang w:val="en-US"/>
        </w:rPr>
        <w:t>Interested Parties</w:t>
      </w:r>
      <w:r>
        <w:rPr>
          <w:rFonts w:ascii="Calibri" w:hAnsi="Calibri" w:cs="Calibri"/>
          <w:color w:val="auto"/>
          <w:sz w:val="22"/>
          <w:lang w:val="en-US"/>
        </w:rPr>
        <w:t xml:space="preserve">: </w:t>
      </w:r>
      <w:r w:rsidR="0032173B">
        <w:rPr>
          <w:rFonts w:ascii="Calibri" w:hAnsi="Calibri" w:cs="Calibri"/>
          <w:color w:val="auto"/>
          <w:sz w:val="22"/>
          <w:lang w:val="en-US"/>
        </w:rPr>
        <w:t xml:space="preserve">A property fund may acquire or sell assets to interested parties </w:t>
      </w:r>
      <w:r w:rsidR="00FB138B">
        <w:rPr>
          <w:rFonts w:ascii="Calibri" w:hAnsi="Calibri" w:cs="Calibri"/>
          <w:color w:val="auto"/>
          <w:sz w:val="22"/>
          <w:lang w:val="en-US"/>
        </w:rPr>
        <w:t>(or invest in securities issued by interested parties). Adequate disclosures arising from such transactions should be made in the prospectus</w:t>
      </w:r>
      <w:r w:rsidR="00E524C8">
        <w:rPr>
          <w:rFonts w:ascii="Calibri" w:hAnsi="Calibri" w:cs="Calibri"/>
          <w:color w:val="auto"/>
          <w:sz w:val="22"/>
          <w:lang w:val="en-US"/>
        </w:rPr>
        <w:t>, which</w:t>
      </w:r>
      <w:r w:rsidR="00AD2A18">
        <w:rPr>
          <w:rFonts w:ascii="Calibri" w:hAnsi="Calibri" w:cs="Calibri"/>
          <w:color w:val="auto"/>
          <w:sz w:val="22"/>
          <w:lang w:val="en-US"/>
        </w:rPr>
        <w:t xml:space="preserve"> would</w:t>
      </w:r>
      <w:r w:rsidR="00E524C8">
        <w:rPr>
          <w:rFonts w:ascii="Calibri" w:hAnsi="Calibri" w:cs="Calibri"/>
          <w:color w:val="auto"/>
          <w:sz w:val="22"/>
          <w:lang w:val="en-US"/>
        </w:rPr>
        <w:t xml:space="preserve"> include the details (e.g., acquisition / sale prices, valuation</w:t>
      </w:r>
      <w:r w:rsidR="00AD2A18">
        <w:rPr>
          <w:rFonts w:ascii="Calibri" w:hAnsi="Calibri" w:cs="Calibri"/>
          <w:color w:val="auto"/>
          <w:sz w:val="22"/>
          <w:lang w:val="en-US"/>
        </w:rPr>
        <w:t xml:space="preserve"> processes), current or expect rental yield</w:t>
      </w:r>
      <w:r w:rsidR="00143A86">
        <w:rPr>
          <w:rFonts w:ascii="Calibri" w:hAnsi="Calibri" w:cs="Calibri"/>
          <w:color w:val="auto"/>
          <w:sz w:val="22"/>
          <w:lang w:val="en-US"/>
        </w:rPr>
        <w:t xml:space="preserve"> et</w:t>
      </w:r>
      <w:r w:rsidR="00082F77">
        <w:rPr>
          <w:rFonts w:ascii="Calibri" w:hAnsi="Calibri" w:cs="Calibri"/>
          <w:color w:val="auto"/>
          <w:sz w:val="22"/>
          <w:lang w:val="en-US"/>
        </w:rPr>
        <w:t xml:space="preserve">c. </w:t>
      </w:r>
    </w:p>
    <w:p w14:paraId="65D9D847" w14:textId="006C90B6" w:rsidR="00082F77" w:rsidRPr="00640125" w:rsidRDefault="009A40DB" w:rsidP="009F73BE">
      <w:pPr>
        <w:pStyle w:val="BodyText"/>
        <w:numPr>
          <w:ilvl w:val="2"/>
          <w:numId w:val="106"/>
        </w:numPr>
        <w:jc w:val="both"/>
        <w:rPr>
          <w:rFonts w:ascii="Calibri" w:hAnsi="Calibri" w:cs="Calibri"/>
          <w:b/>
          <w:bCs/>
          <w:color w:val="auto"/>
          <w:sz w:val="22"/>
          <w:lang w:val="en-US"/>
        </w:rPr>
      </w:pPr>
      <w:r w:rsidRPr="009A40DB">
        <w:rPr>
          <w:rFonts w:ascii="Calibri" w:hAnsi="Calibri" w:cs="Calibri"/>
          <w:b/>
          <w:bCs/>
          <w:color w:val="auto"/>
          <w:sz w:val="22"/>
          <w:lang w:val="en-US"/>
        </w:rPr>
        <w:t>Risks</w:t>
      </w:r>
      <w:r>
        <w:rPr>
          <w:rFonts w:ascii="Calibri" w:hAnsi="Calibri" w:cs="Calibri"/>
          <w:color w:val="auto"/>
          <w:sz w:val="22"/>
          <w:lang w:val="en-US"/>
        </w:rPr>
        <w:t xml:space="preserve">: </w:t>
      </w:r>
      <w:r w:rsidR="005F0FF4">
        <w:rPr>
          <w:rFonts w:ascii="Calibri" w:hAnsi="Calibri" w:cs="Calibri"/>
          <w:color w:val="auto"/>
          <w:sz w:val="22"/>
          <w:lang w:val="en-US"/>
        </w:rPr>
        <w:t>The manager</w:t>
      </w:r>
      <w:r w:rsidR="00082F77">
        <w:rPr>
          <w:rFonts w:ascii="Calibri" w:hAnsi="Calibri" w:cs="Calibri"/>
          <w:color w:val="auto"/>
          <w:sz w:val="22"/>
          <w:lang w:val="en-US"/>
        </w:rPr>
        <w:t xml:space="preserve"> should also disclose its risks </w:t>
      </w:r>
      <w:r w:rsidR="00983106">
        <w:rPr>
          <w:rFonts w:ascii="Calibri" w:hAnsi="Calibri" w:cs="Calibri"/>
          <w:color w:val="auto"/>
          <w:sz w:val="22"/>
          <w:lang w:val="en-US"/>
        </w:rPr>
        <w:t xml:space="preserve">arising from </w:t>
      </w:r>
      <w:r w:rsidR="00F557F3">
        <w:rPr>
          <w:rFonts w:ascii="Calibri" w:hAnsi="Calibri" w:cs="Calibri"/>
          <w:color w:val="auto"/>
          <w:sz w:val="22"/>
          <w:lang w:val="en-US"/>
        </w:rPr>
        <w:t>(</w:t>
      </w:r>
      <w:proofErr w:type="spellStart"/>
      <w:r w:rsidR="00F557F3">
        <w:rPr>
          <w:rFonts w:ascii="Calibri" w:hAnsi="Calibri" w:cs="Calibri"/>
          <w:color w:val="auto"/>
          <w:sz w:val="22"/>
          <w:lang w:val="en-US"/>
        </w:rPr>
        <w:t>i</w:t>
      </w:r>
      <w:proofErr w:type="spellEnd"/>
      <w:r w:rsidR="00F557F3">
        <w:rPr>
          <w:rFonts w:ascii="Calibri" w:hAnsi="Calibri" w:cs="Calibri"/>
          <w:color w:val="auto"/>
          <w:sz w:val="22"/>
          <w:lang w:val="en-US"/>
        </w:rPr>
        <w:t xml:space="preserve">) </w:t>
      </w:r>
      <w:r w:rsidR="00983106">
        <w:rPr>
          <w:rFonts w:ascii="Calibri" w:hAnsi="Calibri" w:cs="Calibri"/>
          <w:color w:val="auto"/>
          <w:sz w:val="22"/>
          <w:lang w:val="en-US"/>
        </w:rPr>
        <w:t xml:space="preserve">diversification (e.g., property funds may be less diversified), </w:t>
      </w:r>
      <w:r w:rsidR="00F557F3">
        <w:rPr>
          <w:rFonts w:ascii="Calibri" w:hAnsi="Calibri" w:cs="Calibri"/>
          <w:color w:val="auto"/>
          <w:sz w:val="22"/>
          <w:lang w:val="en-US"/>
        </w:rPr>
        <w:t xml:space="preserve">(ii) </w:t>
      </w:r>
      <w:r w:rsidR="00983106">
        <w:rPr>
          <w:rFonts w:ascii="Calibri" w:hAnsi="Calibri" w:cs="Calibri"/>
          <w:color w:val="auto"/>
          <w:sz w:val="22"/>
          <w:lang w:val="en-US"/>
        </w:rPr>
        <w:t xml:space="preserve">high gearing / high debt-to-equity (e.g., high interest rates </w:t>
      </w:r>
      <w:r w:rsidR="00F557F3">
        <w:rPr>
          <w:rFonts w:ascii="Calibri" w:hAnsi="Calibri" w:cs="Calibri"/>
          <w:color w:val="auto"/>
          <w:sz w:val="22"/>
          <w:lang w:val="en-US"/>
        </w:rPr>
        <w:t>may impact this), (iii) illiquidity</w:t>
      </w:r>
      <w:r w:rsidR="00640125">
        <w:rPr>
          <w:rFonts w:ascii="Calibri" w:hAnsi="Calibri" w:cs="Calibri"/>
          <w:color w:val="auto"/>
          <w:sz w:val="22"/>
          <w:lang w:val="en-US"/>
        </w:rPr>
        <w:t xml:space="preserve"> etc.</w:t>
      </w:r>
    </w:p>
    <w:p w14:paraId="2E541781" w14:textId="77777777" w:rsidR="0029299C" w:rsidRPr="0029299C" w:rsidRDefault="009A40DB" w:rsidP="009F73BE">
      <w:pPr>
        <w:pStyle w:val="BodyText"/>
        <w:numPr>
          <w:ilvl w:val="2"/>
          <w:numId w:val="106"/>
        </w:numPr>
        <w:jc w:val="both"/>
        <w:rPr>
          <w:rFonts w:ascii="Calibri" w:hAnsi="Calibri" w:cs="Calibri"/>
          <w:b/>
          <w:bCs/>
          <w:color w:val="auto"/>
          <w:sz w:val="22"/>
          <w:lang w:val="en-US"/>
        </w:rPr>
      </w:pPr>
      <w:r w:rsidRPr="009A40DB">
        <w:rPr>
          <w:rFonts w:ascii="Calibri" w:hAnsi="Calibri" w:cs="Calibri"/>
          <w:b/>
          <w:bCs/>
          <w:color w:val="auto"/>
          <w:sz w:val="22"/>
          <w:lang w:val="en-US"/>
        </w:rPr>
        <w:t>Fees</w:t>
      </w:r>
      <w:r>
        <w:rPr>
          <w:rFonts w:ascii="Calibri" w:hAnsi="Calibri" w:cs="Calibri"/>
          <w:color w:val="auto"/>
          <w:sz w:val="22"/>
          <w:lang w:val="en-US"/>
        </w:rPr>
        <w:t xml:space="preserve">: </w:t>
      </w:r>
    </w:p>
    <w:p w14:paraId="5AA94041" w14:textId="77777777" w:rsidR="0029299C" w:rsidRPr="0029299C" w:rsidRDefault="005F0FF4" w:rsidP="0029299C">
      <w:pPr>
        <w:pStyle w:val="BodyText"/>
        <w:numPr>
          <w:ilvl w:val="3"/>
          <w:numId w:val="106"/>
        </w:numPr>
        <w:jc w:val="both"/>
        <w:rPr>
          <w:rFonts w:ascii="Calibri" w:hAnsi="Calibri" w:cs="Calibri"/>
          <w:b/>
          <w:bCs/>
          <w:color w:val="auto"/>
          <w:sz w:val="22"/>
          <w:lang w:val="en-US"/>
        </w:rPr>
      </w:pPr>
      <w:r>
        <w:rPr>
          <w:rFonts w:ascii="Calibri" w:hAnsi="Calibri" w:cs="Calibri"/>
          <w:color w:val="auto"/>
          <w:sz w:val="22"/>
          <w:lang w:val="en-US"/>
        </w:rPr>
        <w:t>The manager</w:t>
      </w:r>
      <w:r w:rsidR="00640125">
        <w:rPr>
          <w:rFonts w:ascii="Calibri" w:hAnsi="Calibri" w:cs="Calibri"/>
          <w:color w:val="auto"/>
          <w:sz w:val="22"/>
          <w:lang w:val="en-US"/>
        </w:rPr>
        <w:t xml:space="preserve"> should </w:t>
      </w:r>
      <w:r>
        <w:rPr>
          <w:rFonts w:ascii="Calibri" w:hAnsi="Calibri" w:cs="Calibri"/>
          <w:color w:val="auto"/>
          <w:sz w:val="22"/>
          <w:lang w:val="en-US"/>
        </w:rPr>
        <w:t xml:space="preserve">also </w:t>
      </w:r>
      <w:r w:rsidR="00640125">
        <w:rPr>
          <w:rFonts w:ascii="Calibri" w:hAnsi="Calibri" w:cs="Calibri"/>
          <w:color w:val="auto"/>
          <w:sz w:val="22"/>
          <w:lang w:val="en-US"/>
        </w:rPr>
        <w:t>disclose</w:t>
      </w:r>
      <w:r>
        <w:rPr>
          <w:rFonts w:ascii="Calibri" w:hAnsi="Calibri" w:cs="Calibri"/>
          <w:color w:val="auto"/>
          <w:sz w:val="22"/>
          <w:lang w:val="en-US"/>
        </w:rPr>
        <w:t xml:space="preserve"> any fees received (or would be charged) upon the propert</w:t>
      </w:r>
      <w:r w:rsidR="00EF6584">
        <w:rPr>
          <w:rFonts w:ascii="Calibri" w:hAnsi="Calibri" w:cs="Calibri"/>
          <w:color w:val="auto"/>
          <w:sz w:val="22"/>
          <w:lang w:val="en-US"/>
        </w:rPr>
        <w:t>y fund’s disposal of real estate assets.</w:t>
      </w:r>
      <w:r w:rsidR="002A2386">
        <w:rPr>
          <w:rFonts w:ascii="Calibri" w:hAnsi="Calibri" w:cs="Calibri"/>
          <w:color w:val="auto"/>
          <w:sz w:val="22"/>
          <w:lang w:val="en-US"/>
        </w:rPr>
        <w:t xml:space="preserve"> </w:t>
      </w:r>
    </w:p>
    <w:p w14:paraId="224F0842" w14:textId="6B168996" w:rsidR="00640125" w:rsidRPr="009A40DB" w:rsidRDefault="002A2386" w:rsidP="0029299C">
      <w:pPr>
        <w:pStyle w:val="BodyText"/>
        <w:numPr>
          <w:ilvl w:val="3"/>
          <w:numId w:val="106"/>
        </w:numPr>
        <w:jc w:val="both"/>
        <w:rPr>
          <w:rFonts w:ascii="Calibri" w:hAnsi="Calibri" w:cs="Calibri"/>
          <w:b/>
          <w:bCs/>
          <w:color w:val="auto"/>
          <w:sz w:val="22"/>
          <w:lang w:val="en-US"/>
        </w:rPr>
      </w:pPr>
      <w:r w:rsidRPr="0033227D">
        <w:rPr>
          <w:rFonts w:ascii="Calibri" w:hAnsi="Calibri" w:cs="Calibri"/>
          <w:color w:val="auto"/>
          <w:sz w:val="22"/>
          <w:u w:val="single"/>
          <w:lang w:val="en-US"/>
        </w:rPr>
        <w:t>Manager performance fees</w:t>
      </w:r>
      <w:r w:rsidR="0033227D">
        <w:rPr>
          <w:rFonts w:ascii="Calibri" w:hAnsi="Calibri" w:cs="Calibri"/>
          <w:color w:val="auto"/>
          <w:sz w:val="22"/>
          <w:u w:val="single"/>
          <w:lang w:val="en-US"/>
        </w:rPr>
        <w:t xml:space="preserve"> paid out of </w:t>
      </w:r>
      <w:r w:rsidR="00923729">
        <w:rPr>
          <w:rFonts w:ascii="Calibri" w:hAnsi="Calibri" w:cs="Calibri"/>
          <w:color w:val="auto"/>
          <w:sz w:val="22"/>
          <w:u w:val="single"/>
          <w:lang w:val="en-US"/>
        </w:rPr>
        <w:t>the property fund’s deposited property</w:t>
      </w:r>
      <w:r w:rsidR="0033227D" w:rsidRPr="0033227D">
        <w:rPr>
          <w:rFonts w:ascii="Calibri" w:hAnsi="Calibri" w:cs="Calibri"/>
          <w:color w:val="auto"/>
          <w:sz w:val="22"/>
          <w:u w:val="single"/>
          <w:lang w:val="en-US"/>
        </w:rPr>
        <w:t xml:space="preserve"> and its</w:t>
      </w:r>
      <w:r w:rsidR="00923729">
        <w:rPr>
          <w:rFonts w:ascii="Calibri" w:hAnsi="Calibri" w:cs="Calibri"/>
          <w:color w:val="auto"/>
          <w:sz w:val="22"/>
          <w:u w:val="single"/>
          <w:lang w:val="en-US"/>
        </w:rPr>
        <w:t xml:space="preserve"> associated</w:t>
      </w:r>
      <w:r w:rsidR="0033227D" w:rsidRPr="0033227D">
        <w:rPr>
          <w:rFonts w:ascii="Calibri" w:hAnsi="Calibri" w:cs="Calibri"/>
          <w:color w:val="auto"/>
          <w:sz w:val="22"/>
          <w:u w:val="single"/>
          <w:lang w:val="en-US"/>
        </w:rPr>
        <w:t xml:space="preserve"> computation / methodology should also be disclosed</w:t>
      </w:r>
      <w:r w:rsidR="0033227D">
        <w:rPr>
          <w:rFonts w:ascii="Calibri" w:hAnsi="Calibri" w:cs="Calibri"/>
          <w:color w:val="auto"/>
          <w:sz w:val="22"/>
          <w:lang w:val="en-US"/>
        </w:rPr>
        <w:t>.</w:t>
      </w:r>
      <w:r w:rsidR="00640125">
        <w:rPr>
          <w:rFonts w:ascii="Calibri" w:hAnsi="Calibri" w:cs="Calibri"/>
          <w:color w:val="auto"/>
          <w:sz w:val="22"/>
          <w:lang w:val="en-US"/>
        </w:rPr>
        <w:t xml:space="preserve"> </w:t>
      </w:r>
    </w:p>
    <w:p w14:paraId="03CA63BD" w14:textId="77777777" w:rsidR="00BC4ABD" w:rsidRPr="00BC4ABD" w:rsidRDefault="00BC4ABD" w:rsidP="009F73BE">
      <w:pPr>
        <w:pStyle w:val="BodyText"/>
        <w:numPr>
          <w:ilvl w:val="2"/>
          <w:numId w:val="106"/>
        </w:numPr>
        <w:jc w:val="both"/>
        <w:rPr>
          <w:rFonts w:ascii="Calibri" w:hAnsi="Calibri" w:cs="Calibri"/>
          <w:b/>
          <w:bCs/>
          <w:color w:val="auto"/>
          <w:sz w:val="22"/>
          <w:lang w:val="en-US"/>
        </w:rPr>
      </w:pPr>
      <w:r w:rsidRPr="00BC4ABD">
        <w:rPr>
          <w:rFonts w:ascii="Calibri" w:hAnsi="Calibri" w:cs="Calibri"/>
          <w:b/>
          <w:bCs/>
          <w:color w:val="auto"/>
          <w:sz w:val="22"/>
          <w:lang w:val="en-US"/>
        </w:rPr>
        <w:t>Proceeds to be returned or reinvested</w:t>
      </w:r>
    </w:p>
    <w:p w14:paraId="5436F73B" w14:textId="5223D627" w:rsidR="009A40DB" w:rsidRPr="00BC4ABD" w:rsidRDefault="00BC4ABD" w:rsidP="009F73BE">
      <w:pPr>
        <w:pStyle w:val="BodyText"/>
        <w:numPr>
          <w:ilvl w:val="2"/>
          <w:numId w:val="106"/>
        </w:numPr>
        <w:jc w:val="both"/>
        <w:rPr>
          <w:rFonts w:ascii="Calibri" w:hAnsi="Calibri" w:cs="Calibri"/>
          <w:b/>
          <w:bCs/>
          <w:color w:val="auto"/>
          <w:sz w:val="22"/>
          <w:lang w:val="en-US"/>
        </w:rPr>
      </w:pPr>
      <w:r w:rsidRPr="00BC4ABD">
        <w:rPr>
          <w:rFonts w:ascii="Calibri" w:hAnsi="Calibri" w:cs="Calibri"/>
          <w:b/>
          <w:bCs/>
          <w:color w:val="auto"/>
          <w:sz w:val="22"/>
          <w:lang w:val="en-US"/>
        </w:rPr>
        <w:t>Frequency of valuation</w:t>
      </w:r>
    </w:p>
    <w:p w14:paraId="29DFE255" w14:textId="6C8164D3" w:rsidR="00482CBE" w:rsidRPr="00201B60" w:rsidRDefault="00482CBE" w:rsidP="009F73BE">
      <w:pPr>
        <w:pStyle w:val="BodyText"/>
        <w:numPr>
          <w:ilvl w:val="1"/>
          <w:numId w:val="106"/>
        </w:numPr>
        <w:jc w:val="both"/>
        <w:rPr>
          <w:rFonts w:ascii="Calibri" w:hAnsi="Calibri" w:cs="Calibri"/>
          <w:b/>
          <w:bCs/>
          <w:color w:val="auto"/>
          <w:sz w:val="22"/>
          <w:lang w:val="en-US"/>
        </w:rPr>
      </w:pPr>
      <w:r>
        <w:rPr>
          <w:rFonts w:ascii="Calibri" w:hAnsi="Calibri" w:cs="Calibri"/>
          <w:b/>
          <w:bCs/>
          <w:color w:val="auto"/>
          <w:sz w:val="22"/>
          <w:lang w:val="en-US"/>
        </w:rPr>
        <w:t>Precious Metal Funds</w:t>
      </w:r>
      <w:r w:rsidRPr="00482CBE">
        <w:rPr>
          <w:rFonts w:ascii="Calibri" w:hAnsi="Calibri" w:cs="Calibri"/>
          <w:color w:val="auto"/>
          <w:sz w:val="22"/>
          <w:lang w:val="en-US"/>
        </w:rPr>
        <w:t>:</w:t>
      </w:r>
      <w:r>
        <w:rPr>
          <w:rFonts w:ascii="Calibri" w:hAnsi="Calibri" w:cs="Calibri"/>
          <w:color w:val="auto"/>
          <w:sz w:val="22"/>
          <w:lang w:val="en-US"/>
        </w:rPr>
        <w:t xml:space="preserve"> Cover page should disclose an investment in the fund carries different risk from other CIS.</w:t>
      </w:r>
    </w:p>
    <w:p w14:paraId="2B831BFD" w14:textId="0C3CE216" w:rsidR="00201B60" w:rsidRPr="00482CBE" w:rsidRDefault="00201B60" w:rsidP="009F73BE">
      <w:pPr>
        <w:pStyle w:val="BodyText"/>
        <w:numPr>
          <w:ilvl w:val="0"/>
          <w:numId w:val="106"/>
        </w:numPr>
        <w:jc w:val="both"/>
        <w:rPr>
          <w:rFonts w:ascii="Calibri" w:hAnsi="Calibri" w:cs="Calibri"/>
          <w:b/>
          <w:bCs/>
          <w:color w:val="auto"/>
          <w:sz w:val="22"/>
          <w:lang w:val="en-US"/>
        </w:rPr>
      </w:pPr>
      <w:r>
        <w:rPr>
          <w:rFonts w:ascii="Calibri" w:hAnsi="Calibri" w:cs="Calibri"/>
          <w:b/>
          <w:bCs/>
          <w:color w:val="auto"/>
          <w:sz w:val="22"/>
          <w:lang w:val="en-US"/>
        </w:rPr>
        <w:t>Product Highlights Sheet</w:t>
      </w:r>
      <w:r w:rsidR="00B20D47">
        <w:rPr>
          <w:rFonts w:ascii="Calibri" w:hAnsi="Calibri" w:cs="Calibri"/>
          <w:b/>
          <w:bCs/>
          <w:color w:val="auto"/>
          <w:sz w:val="22"/>
          <w:lang w:val="en-US"/>
        </w:rPr>
        <w:t xml:space="preserve"> (PHS)</w:t>
      </w:r>
      <w:r w:rsidRPr="00201B60">
        <w:rPr>
          <w:rFonts w:ascii="Calibri" w:hAnsi="Calibri" w:cs="Calibri"/>
          <w:color w:val="auto"/>
          <w:sz w:val="22"/>
          <w:lang w:val="en-US"/>
        </w:rPr>
        <w:t>:</w:t>
      </w:r>
    </w:p>
    <w:p w14:paraId="7390160F" w14:textId="2B1CB7C6" w:rsidR="00B20D47" w:rsidRDefault="00B20D47" w:rsidP="009F73BE">
      <w:pPr>
        <w:pStyle w:val="BodyText"/>
        <w:numPr>
          <w:ilvl w:val="1"/>
          <w:numId w:val="106"/>
        </w:numPr>
        <w:jc w:val="both"/>
        <w:rPr>
          <w:rFonts w:ascii="Calibri" w:hAnsi="Calibri" w:cs="Calibri"/>
          <w:color w:val="auto"/>
          <w:sz w:val="22"/>
          <w:lang w:val="en-US"/>
        </w:rPr>
      </w:pPr>
      <w:r>
        <w:rPr>
          <w:rFonts w:ascii="Calibri" w:hAnsi="Calibri" w:cs="Calibri"/>
          <w:color w:val="auto"/>
          <w:sz w:val="22"/>
          <w:lang w:val="en-US"/>
        </w:rPr>
        <w:t>3 scenarios where PHS is required to be submitted with the prospectus</w:t>
      </w:r>
      <w:r w:rsidR="003421CA">
        <w:rPr>
          <w:rFonts w:ascii="Calibri" w:hAnsi="Calibri" w:cs="Calibri"/>
          <w:color w:val="auto"/>
          <w:sz w:val="22"/>
          <w:lang w:val="en-US"/>
        </w:rPr>
        <w:t>/</w:t>
      </w:r>
      <w:r>
        <w:rPr>
          <w:rFonts w:ascii="Calibri" w:hAnsi="Calibri" w:cs="Calibri"/>
          <w:color w:val="auto"/>
          <w:sz w:val="22"/>
          <w:lang w:val="en-US"/>
        </w:rPr>
        <w:t xml:space="preserve">profile statement – </w:t>
      </w:r>
    </w:p>
    <w:p w14:paraId="55078D38" w14:textId="77777777" w:rsidR="00B20D47" w:rsidRDefault="00B20D47" w:rsidP="009F73BE">
      <w:pPr>
        <w:pStyle w:val="BodyText"/>
        <w:numPr>
          <w:ilvl w:val="2"/>
          <w:numId w:val="106"/>
        </w:numPr>
        <w:jc w:val="both"/>
        <w:rPr>
          <w:rFonts w:ascii="Calibri" w:hAnsi="Calibri" w:cs="Calibri"/>
          <w:color w:val="auto"/>
          <w:sz w:val="22"/>
          <w:lang w:val="en-US"/>
        </w:rPr>
      </w:pPr>
      <w:r w:rsidRPr="007F3AEB">
        <w:rPr>
          <w:rFonts w:ascii="Calibri" w:hAnsi="Calibri" w:cs="Calibri"/>
          <w:color w:val="auto"/>
          <w:sz w:val="22"/>
          <w:u w:val="single"/>
          <w:lang w:val="en-US"/>
        </w:rPr>
        <w:t>Debenture units issued pursuant to ABS and securitized notes (including exchange-traded notes</w:t>
      </w:r>
      <w:r>
        <w:rPr>
          <w:rFonts w:ascii="Calibri" w:hAnsi="Calibri" w:cs="Calibri"/>
          <w:color w:val="auto"/>
          <w:sz w:val="22"/>
          <w:lang w:val="en-US"/>
        </w:rPr>
        <w:t xml:space="preserve">) </w:t>
      </w:r>
    </w:p>
    <w:p w14:paraId="0F995222" w14:textId="51BF7109" w:rsidR="00B20D47" w:rsidRPr="00B20D47" w:rsidRDefault="00B20D47" w:rsidP="009F73BE">
      <w:pPr>
        <w:pStyle w:val="BodyText"/>
        <w:numPr>
          <w:ilvl w:val="3"/>
          <w:numId w:val="106"/>
        </w:numPr>
        <w:jc w:val="both"/>
        <w:rPr>
          <w:rFonts w:ascii="Calibri" w:hAnsi="Calibri" w:cs="Calibri"/>
          <w:color w:val="auto"/>
          <w:sz w:val="22"/>
          <w:lang w:val="en-US"/>
        </w:rPr>
      </w:pPr>
      <w:r w:rsidRPr="007F3AEB">
        <w:rPr>
          <w:rFonts w:ascii="Calibri" w:hAnsi="Calibri" w:cs="Calibri"/>
          <w:color w:val="auto"/>
          <w:sz w:val="22"/>
          <w:u w:val="single"/>
          <w:lang w:val="en-US"/>
        </w:rPr>
        <w:t>Securitized notes are issued pursuant to synthetic securitization transaction where (i) either or both the principal sum and any interest are payable, (ii) one or more of the underlying securities or securities-based derivative contracts need to be physically delivered, (iii) the physical delivery is in accordance with a formula based on its performance, credit risk or the movement of interest rates or currency exchange rates</w:t>
      </w:r>
      <w:r>
        <w:rPr>
          <w:rFonts w:ascii="Calibri" w:hAnsi="Calibri" w:cs="Calibri"/>
          <w:color w:val="auto"/>
          <w:sz w:val="22"/>
          <w:lang w:val="en-US"/>
        </w:rPr>
        <w:t xml:space="preserve">. </w:t>
      </w:r>
    </w:p>
    <w:p w14:paraId="0117CB96" w14:textId="77777777" w:rsidR="00B20D47" w:rsidRPr="007F3AEB" w:rsidRDefault="00B20D47" w:rsidP="009F73BE">
      <w:pPr>
        <w:pStyle w:val="BodyText"/>
        <w:numPr>
          <w:ilvl w:val="2"/>
          <w:numId w:val="106"/>
        </w:numPr>
        <w:jc w:val="both"/>
        <w:rPr>
          <w:rFonts w:ascii="Calibri" w:hAnsi="Calibri" w:cs="Calibri"/>
          <w:color w:val="auto"/>
          <w:sz w:val="22"/>
          <w:u w:val="single"/>
          <w:lang w:val="en-US"/>
        </w:rPr>
      </w:pPr>
      <w:r w:rsidRPr="007F3AEB">
        <w:rPr>
          <w:rFonts w:ascii="Calibri" w:hAnsi="Calibri" w:cs="Calibri"/>
          <w:color w:val="auto"/>
          <w:sz w:val="22"/>
          <w:u w:val="single"/>
          <w:lang w:val="en-US"/>
        </w:rPr>
        <w:t>Unlisted CIS and exchange traded funds</w:t>
      </w:r>
    </w:p>
    <w:p w14:paraId="36E74981" w14:textId="10BD466A" w:rsidR="00B20D47" w:rsidRPr="00B20D47" w:rsidRDefault="00B20D47" w:rsidP="009F73BE">
      <w:pPr>
        <w:pStyle w:val="BodyText"/>
        <w:numPr>
          <w:ilvl w:val="2"/>
          <w:numId w:val="106"/>
        </w:numPr>
        <w:jc w:val="both"/>
        <w:rPr>
          <w:rFonts w:ascii="Calibri" w:hAnsi="Calibri" w:cs="Calibri"/>
          <w:color w:val="auto"/>
          <w:sz w:val="22"/>
          <w:lang w:val="en-US"/>
        </w:rPr>
      </w:pPr>
      <w:r>
        <w:rPr>
          <w:rFonts w:ascii="Calibri" w:hAnsi="Calibri" w:cs="Calibri"/>
          <w:color w:val="auto"/>
          <w:sz w:val="22"/>
          <w:lang w:val="en-US"/>
        </w:rPr>
        <w:t xml:space="preserve">CIS where </w:t>
      </w:r>
      <w:r w:rsidRPr="007F3AEB">
        <w:rPr>
          <w:rFonts w:ascii="Calibri" w:hAnsi="Calibri" w:cs="Calibri"/>
          <w:color w:val="auto"/>
          <w:sz w:val="22"/>
          <w:u w:val="single"/>
          <w:lang w:val="en-US"/>
        </w:rPr>
        <w:t>multiple sub-funds are covered by a single prospectus</w:t>
      </w:r>
      <w:r>
        <w:rPr>
          <w:rFonts w:ascii="Calibri" w:hAnsi="Calibri" w:cs="Calibri"/>
          <w:b/>
          <w:bCs/>
          <w:color w:val="auto"/>
          <w:sz w:val="22"/>
          <w:lang w:val="en-US"/>
        </w:rPr>
        <w:t xml:space="preserve"> </w:t>
      </w:r>
    </w:p>
    <w:p w14:paraId="1781DCAB" w14:textId="57BFCE40" w:rsidR="00B20D47" w:rsidRDefault="00B20D47" w:rsidP="009F73BE">
      <w:pPr>
        <w:pStyle w:val="BodyText"/>
        <w:numPr>
          <w:ilvl w:val="1"/>
          <w:numId w:val="106"/>
        </w:numPr>
        <w:jc w:val="both"/>
        <w:rPr>
          <w:rFonts w:ascii="Calibri" w:hAnsi="Calibri" w:cs="Calibri"/>
          <w:color w:val="auto"/>
          <w:sz w:val="22"/>
          <w:lang w:val="en-US"/>
        </w:rPr>
      </w:pPr>
      <w:r>
        <w:rPr>
          <w:rFonts w:ascii="Calibri" w:hAnsi="Calibri" w:cs="Calibri"/>
          <w:color w:val="auto"/>
          <w:sz w:val="22"/>
          <w:lang w:val="en-US"/>
        </w:rPr>
        <w:t xml:space="preserve">There is a designated PHS template for each of the 3 scenarios above. The information </w:t>
      </w:r>
      <w:r w:rsidR="007F3AEB">
        <w:rPr>
          <w:rFonts w:ascii="Calibri" w:hAnsi="Calibri" w:cs="Calibri"/>
          <w:color w:val="auto"/>
          <w:sz w:val="22"/>
          <w:lang w:val="en-US"/>
        </w:rPr>
        <w:t xml:space="preserve">in the PHS must provide </w:t>
      </w:r>
      <w:r w:rsidR="007F3AEB" w:rsidRPr="007F3AEB">
        <w:rPr>
          <w:rFonts w:ascii="Calibri" w:hAnsi="Calibri" w:cs="Calibri"/>
          <w:color w:val="auto"/>
          <w:sz w:val="22"/>
          <w:u w:val="single"/>
          <w:lang w:val="en-US"/>
        </w:rPr>
        <w:t>a fair and balanced view</w:t>
      </w:r>
      <w:r w:rsidR="007F3AEB">
        <w:rPr>
          <w:rFonts w:ascii="Calibri" w:hAnsi="Calibri" w:cs="Calibri"/>
          <w:color w:val="auto"/>
          <w:sz w:val="22"/>
          <w:lang w:val="en-US"/>
        </w:rPr>
        <w:t xml:space="preserve">, </w:t>
      </w:r>
      <w:r w:rsidR="007F3AEB" w:rsidRPr="007F3AEB">
        <w:rPr>
          <w:rFonts w:ascii="Calibri" w:hAnsi="Calibri" w:cs="Calibri"/>
          <w:color w:val="auto"/>
          <w:sz w:val="22"/>
          <w:u w:val="single"/>
          <w:lang w:val="en-US"/>
        </w:rPr>
        <w:t>adopt 10-point Arial</w:t>
      </w:r>
      <w:r w:rsidR="007F3AEB">
        <w:rPr>
          <w:rFonts w:ascii="Calibri" w:hAnsi="Calibri" w:cs="Calibri"/>
          <w:color w:val="auto"/>
          <w:sz w:val="22"/>
          <w:lang w:val="en-US"/>
        </w:rPr>
        <w:t xml:space="preserve"> and contain these components: (i) Introduction, (ii) Product Details, (iii) Product Suitability, (iv) Key Product Features, (v) Key Risks, (vi) Fees and Charges, (vii) Valuation and Exiting Investments, (viii) Contact Information, (ix) Glossary containing all the technical terms. Any </w:t>
      </w:r>
      <w:r w:rsidR="007F3AEB" w:rsidRPr="007F3AEB">
        <w:rPr>
          <w:rFonts w:ascii="Calibri" w:hAnsi="Calibri" w:cs="Calibri"/>
          <w:color w:val="auto"/>
          <w:sz w:val="22"/>
          <w:u w:val="single"/>
          <w:lang w:val="en-US"/>
        </w:rPr>
        <w:t>key information must be clearly disclosed in the PHS</w:t>
      </w:r>
      <w:r w:rsidR="007F3AEB">
        <w:rPr>
          <w:rFonts w:ascii="Calibri" w:hAnsi="Calibri" w:cs="Calibri"/>
          <w:color w:val="auto"/>
          <w:sz w:val="22"/>
          <w:lang w:val="en-US"/>
        </w:rPr>
        <w:t xml:space="preserve"> without needing the investors to look elsewhere (e.g., prospectus) for the information.</w:t>
      </w:r>
    </w:p>
    <w:p w14:paraId="0ADB4D52" w14:textId="77287111" w:rsidR="007F3AEB" w:rsidRPr="00B52D53" w:rsidRDefault="007F3AEB" w:rsidP="005B14B5">
      <w:pPr>
        <w:pStyle w:val="BodyText"/>
        <w:numPr>
          <w:ilvl w:val="1"/>
          <w:numId w:val="106"/>
        </w:numPr>
        <w:jc w:val="both"/>
        <w:rPr>
          <w:rFonts w:ascii="Calibri" w:hAnsi="Calibri" w:cs="Calibri"/>
          <w:color w:val="auto"/>
          <w:sz w:val="22"/>
          <w:lang w:val="en-US"/>
        </w:rPr>
      </w:pPr>
      <w:r>
        <w:rPr>
          <w:rFonts w:ascii="Calibri" w:hAnsi="Calibri" w:cs="Calibri"/>
          <w:color w:val="auto"/>
          <w:sz w:val="22"/>
          <w:lang w:val="en-US"/>
        </w:rPr>
        <w:lastRenderedPageBreak/>
        <w:t xml:space="preserve">The PHS would not be fair and balanced if it (i) contains a </w:t>
      </w:r>
      <w:r w:rsidRPr="006D5A66">
        <w:rPr>
          <w:rFonts w:ascii="Calibri" w:hAnsi="Calibri" w:cs="Calibri"/>
          <w:color w:val="auto"/>
          <w:sz w:val="22"/>
          <w:u w:val="single"/>
          <w:lang w:val="en-US"/>
        </w:rPr>
        <w:t>biased description of the risks associated</w:t>
      </w:r>
      <w:r>
        <w:rPr>
          <w:rFonts w:ascii="Calibri" w:hAnsi="Calibri" w:cs="Calibri"/>
          <w:color w:val="auto"/>
          <w:sz w:val="22"/>
          <w:lang w:val="en-US"/>
        </w:rPr>
        <w:t xml:space="preserve">, (ii) does </w:t>
      </w:r>
      <w:r w:rsidRPr="006D5A66">
        <w:rPr>
          <w:rFonts w:ascii="Calibri" w:hAnsi="Calibri" w:cs="Calibri"/>
          <w:color w:val="auto"/>
          <w:sz w:val="22"/>
          <w:u w:val="single"/>
          <w:lang w:val="en-US"/>
        </w:rPr>
        <w:t>not give a proportionate level of prominence to any warning</w:t>
      </w:r>
      <w:r>
        <w:rPr>
          <w:rFonts w:ascii="Calibri" w:hAnsi="Calibri" w:cs="Calibri"/>
          <w:color w:val="auto"/>
          <w:sz w:val="22"/>
          <w:lang w:val="en-US"/>
        </w:rPr>
        <w:t xml:space="preserve">, (iii) does </w:t>
      </w:r>
      <w:r w:rsidRPr="006D5A66">
        <w:rPr>
          <w:rFonts w:ascii="Calibri" w:hAnsi="Calibri" w:cs="Calibri"/>
          <w:color w:val="auto"/>
          <w:sz w:val="22"/>
          <w:u w:val="single"/>
          <w:lang w:val="en-US"/>
        </w:rPr>
        <w:t>not issue a statement that clearly highlights that the return of the full principal is not unconditionally guaranteed</w:t>
      </w:r>
      <w:r>
        <w:rPr>
          <w:rFonts w:ascii="Calibri" w:hAnsi="Calibri" w:cs="Calibri"/>
          <w:color w:val="auto"/>
          <w:sz w:val="22"/>
          <w:lang w:val="en-US"/>
        </w:rPr>
        <w:t xml:space="preserve"> for CIS units that is structured with the objective of returning the full principal sum, (iv) does </w:t>
      </w:r>
      <w:r w:rsidRPr="006D5A66">
        <w:rPr>
          <w:rFonts w:ascii="Calibri" w:hAnsi="Calibri" w:cs="Calibri"/>
          <w:color w:val="auto"/>
          <w:sz w:val="22"/>
          <w:u w:val="single"/>
          <w:lang w:val="en-US"/>
        </w:rPr>
        <w:t>not name the guarantor</w:t>
      </w:r>
      <w:r>
        <w:rPr>
          <w:rFonts w:ascii="Calibri" w:hAnsi="Calibri" w:cs="Calibri"/>
          <w:color w:val="auto"/>
          <w:sz w:val="22"/>
          <w:lang w:val="en-US"/>
        </w:rPr>
        <w:t xml:space="preserve">, </w:t>
      </w:r>
      <w:r w:rsidR="006D5A66">
        <w:rPr>
          <w:rFonts w:ascii="Calibri" w:hAnsi="Calibri" w:cs="Calibri"/>
          <w:color w:val="auto"/>
          <w:sz w:val="22"/>
          <w:lang w:val="en-US"/>
        </w:rPr>
        <w:t xml:space="preserve">or (v) gives investor the impression that he can </w:t>
      </w:r>
      <w:r w:rsidR="006D5A66" w:rsidRPr="006D5A66">
        <w:rPr>
          <w:rFonts w:ascii="Calibri" w:hAnsi="Calibri" w:cs="Calibri"/>
          <w:color w:val="auto"/>
          <w:sz w:val="22"/>
          <w:u w:val="single"/>
          <w:lang w:val="en-US"/>
        </w:rPr>
        <w:t>profit without risk</w:t>
      </w:r>
      <w:r w:rsidR="006D5A66">
        <w:rPr>
          <w:rFonts w:ascii="Calibri" w:hAnsi="Calibri" w:cs="Calibri"/>
          <w:color w:val="auto"/>
          <w:sz w:val="22"/>
          <w:lang w:val="en-US"/>
        </w:rPr>
        <w:t xml:space="preserve"> etc.</w:t>
      </w:r>
      <w:r>
        <w:rPr>
          <w:rFonts w:ascii="Calibri" w:hAnsi="Calibri" w:cs="Calibri"/>
          <w:color w:val="auto"/>
          <w:sz w:val="22"/>
          <w:lang w:val="en-US"/>
        </w:rPr>
        <w:t xml:space="preserve"> </w:t>
      </w:r>
    </w:p>
    <w:p w14:paraId="61FBB5F3" w14:textId="2F06537B" w:rsidR="00B20D47" w:rsidRPr="00B52D53" w:rsidRDefault="00B20D47" w:rsidP="007F3AEB">
      <w:pPr>
        <w:pStyle w:val="BodyText"/>
        <w:jc w:val="both"/>
        <w:rPr>
          <w:rFonts w:ascii="Calibri" w:hAnsi="Calibri" w:cs="Calibri"/>
          <w:color w:val="auto"/>
          <w:sz w:val="22"/>
          <w:lang w:val="en-US"/>
        </w:rPr>
      </w:pPr>
    </w:p>
    <w:p w14:paraId="4731C914" w14:textId="4B1454B2" w:rsidR="008B1487" w:rsidRDefault="005F74C5"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CIS Advertisement Restrictions</w:t>
      </w:r>
    </w:p>
    <w:p w14:paraId="6FE8368C" w14:textId="3BF3C7C0" w:rsidR="008B1487" w:rsidRDefault="008B1487" w:rsidP="009F73BE">
      <w:pPr>
        <w:pStyle w:val="BodyText"/>
        <w:numPr>
          <w:ilvl w:val="0"/>
          <w:numId w:val="108"/>
        </w:numPr>
        <w:jc w:val="both"/>
        <w:rPr>
          <w:rFonts w:ascii="Calibri" w:hAnsi="Calibri" w:cs="Calibri"/>
          <w:b/>
          <w:bCs/>
          <w:color w:val="auto"/>
          <w:sz w:val="22"/>
          <w:lang w:val="en-US"/>
        </w:rPr>
      </w:pPr>
      <w:r>
        <w:rPr>
          <w:rFonts w:ascii="Calibri" w:hAnsi="Calibri" w:cs="Calibri"/>
          <w:color w:val="auto"/>
          <w:sz w:val="22"/>
          <w:lang w:val="en-US"/>
        </w:rPr>
        <w:t>If CIS is required to submit a prospectus to make the offer of its units, the offeror cannot use an advertisement (</w:t>
      </w:r>
      <w:r w:rsidR="00930178">
        <w:rPr>
          <w:rFonts w:ascii="Calibri" w:hAnsi="Calibri" w:cs="Calibri"/>
          <w:color w:val="auto"/>
          <w:sz w:val="22"/>
          <w:lang w:val="en-US"/>
        </w:rPr>
        <w:t>as a substitute</w:t>
      </w:r>
      <w:r>
        <w:rPr>
          <w:rFonts w:ascii="Calibri" w:hAnsi="Calibri" w:cs="Calibri"/>
          <w:color w:val="auto"/>
          <w:sz w:val="22"/>
          <w:lang w:val="en-US"/>
        </w:rPr>
        <w:t xml:space="preserve"> of the prospectus) to induce people to subscribe to the offer.</w:t>
      </w:r>
      <w:r>
        <w:rPr>
          <w:rFonts w:ascii="Calibri" w:hAnsi="Calibri" w:cs="Calibri"/>
          <w:b/>
          <w:bCs/>
          <w:color w:val="auto"/>
          <w:sz w:val="22"/>
          <w:lang w:val="en-US"/>
        </w:rPr>
        <w:t xml:space="preserve"> </w:t>
      </w:r>
    </w:p>
    <w:p w14:paraId="4DB2BB0C" w14:textId="0C33906B" w:rsidR="00F45319" w:rsidRPr="00183863" w:rsidRDefault="003156C3" w:rsidP="009F73BE">
      <w:pPr>
        <w:pStyle w:val="BodyText"/>
        <w:numPr>
          <w:ilvl w:val="0"/>
          <w:numId w:val="108"/>
        </w:numPr>
        <w:jc w:val="both"/>
        <w:rPr>
          <w:rFonts w:ascii="Calibri" w:hAnsi="Calibri" w:cs="Calibri"/>
          <w:b/>
          <w:bCs/>
          <w:color w:val="auto"/>
          <w:sz w:val="22"/>
          <w:lang w:val="en-US"/>
        </w:rPr>
      </w:pPr>
      <w:r w:rsidRPr="00183863">
        <w:rPr>
          <w:rFonts w:ascii="Calibri" w:hAnsi="Calibri" w:cs="Calibri"/>
          <w:color w:val="auto"/>
          <w:sz w:val="22"/>
          <w:u w:val="single"/>
          <w:lang w:val="en-US"/>
        </w:rPr>
        <w:t>Historical simulations</w:t>
      </w:r>
      <w:r w:rsidR="00183863" w:rsidRPr="00183863">
        <w:rPr>
          <w:rFonts w:ascii="Calibri" w:hAnsi="Calibri" w:cs="Calibri"/>
          <w:color w:val="auto"/>
          <w:sz w:val="22"/>
          <w:u w:val="single"/>
          <w:lang w:val="en-US"/>
        </w:rPr>
        <w:t xml:space="preserve"> for performance disclosures</w:t>
      </w:r>
      <w:r w:rsidRPr="00183863">
        <w:rPr>
          <w:rFonts w:ascii="Calibri" w:hAnsi="Calibri" w:cs="Calibri"/>
          <w:color w:val="auto"/>
          <w:sz w:val="22"/>
          <w:u w:val="single"/>
          <w:lang w:val="en-US"/>
        </w:rPr>
        <w:t xml:space="preserve"> are forbidden in the prospectus</w:t>
      </w:r>
      <w:r>
        <w:rPr>
          <w:rFonts w:ascii="Calibri" w:hAnsi="Calibri" w:cs="Calibri"/>
          <w:color w:val="auto"/>
          <w:sz w:val="22"/>
          <w:lang w:val="en-US"/>
        </w:rPr>
        <w:t xml:space="preserve">. </w:t>
      </w:r>
    </w:p>
    <w:p w14:paraId="5143C137" w14:textId="6B08CBF2" w:rsidR="00183863" w:rsidRPr="00960FDD" w:rsidRDefault="00183863" w:rsidP="009F73BE">
      <w:pPr>
        <w:pStyle w:val="BodyText"/>
        <w:numPr>
          <w:ilvl w:val="0"/>
          <w:numId w:val="108"/>
        </w:numPr>
        <w:jc w:val="both"/>
        <w:rPr>
          <w:rFonts w:ascii="Calibri" w:hAnsi="Calibri" w:cs="Calibri"/>
          <w:color w:val="auto"/>
          <w:sz w:val="22"/>
          <w:lang w:val="en-US"/>
        </w:rPr>
      </w:pPr>
      <w:r w:rsidRPr="00960FDD">
        <w:rPr>
          <w:rFonts w:ascii="Calibri" w:hAnsi="Calibri" w:cs="Calibri"/>
          <w:color w:val="auto"/>
          <w:sz w:val="22"/>
          <w:lang w:val="en-US"/>
        </w:rPr>
        <w:t xml:space="preserve">Where a scheme intends to invest </w:t>
      </w:r>
      <w:r w:rsidR="00960FDD" w:rsidRPr="00960FDD">
        <w:rPr>
          <w:rFonts w:ascii="Calibri" w:hAnsi="Calibri" w:cs="Calibri"/>
          <w:color w:val="auto"/>
          <w:sz w:val="22"/>
          <w:lang w:val="en-US"/>
        </w:rPr>
        <w:t>in financial derivatives,</w:t>
      </w:r>
      <w:r w:rsidR="00960FDD">
        <w:rPr>
          <w:rFonts w:ascii="Calibri" w:hAnsi="Calibri" w:cs="Calibri"/>
          <w:color w:val="auto"/>
          <w:sz w:val="22"/>
          <w:lang w:val="en-US"/>
        </w:rPr>
        <w:t xml:space="preserve"> it should disclose </w:t>
      </w:r>
      <w:r w:rsidR="00614F29">
        <w:rPr>
          <w:rFonts w:ascii="Calibri" w:hAnsi="Calibri" w:cs="Calibri"/>
          <w:color w:val="auto"/>
          <w:sz w:val="22"/>
          <w:lang w:val="en-US"/>
        </w:rPr>
        <w:t>(</w:t>
      </w:r>
      <w:proofErr w:type="spellStart"/>
      <w:r w:rsidR="00614F29">
        <w:rPr>
          <w:rFonts w:ascii="Calibri" w:hAnsi="Calibri" w:cs="Calibri"/>
          <w:color w:val="auto"/>
          <w:sz w:val="22"/>
          <w:lang w:val="en-US"/>
        </w:rPr>
        <w:t>i</w:t>
      </w:r>
      <w:proofErr w:type="spellEnd"/>
      <w:r w:rsidR="00614F29">
        <w:rPr>
          <w:rFonts w:ascii="Calibri" w:hAnsi="Calibri" w:cs="Calibri"/>
          <w:color w:val="auto"/>
          <w:sz w:val="22"/>
          <w:lang w:val="en-US"/>
        </w:rPr>
        <w:t xml:space="preserve">) </w:t>
      </w:r>
      <w:r w:rsidR="00960FDD">
        <w:rPr>
          <w:rFonts w:ascii="Calibri" w:hAnsi="Calibri" w:cs="Calibri"/>
          <w:color w:val="auto"/>
          <w:sz w:val="22"/>
          <w:lang w:val="en-US"/>
        </w:rPr>
        <w:t xml:space="preserve">whether those financial derivatives are used for the purposes of </w:t>
      </w:r>
      <w:r w:rsidR="00960FDD" w:rsidRPr="005F22D0">
        <w:rPr>
          <w:rFonts w:ascii="Calibri" w:hAnsi="Calibri" w:cs="Calibri"/>
          <w:color w:val="auto"/>
          <w:sz w:val="22"/>
          <w:u w:val="single"/>
          <w:lang w:val="en-US"/>
        </w:rPr>
        <w:t xml:space="preserve">hedging, EPM or </w:t>
      </w:r>
      <w:r w:rsidR="00A1511B" w:rsidRPr="005F22D0">
        <w:rPr>
          <w:rFonts w:ascii="Calibri" w:hAnsi="Calibri" w:cs="Calibri"/>
          <w:color w:val="auto"/>
          <w:sz w:val="22"/>
          <w:u w:val="single"/>
          <w:lang w:val="en-US"/>
        </w:rPr>
        <w:t>optimizing returns</w:t>
      </w:r>
      <w:r w:rsidR="00573B0D">
        <w:rPr>
          <w:rFonts w:ascii="Calibri" w:hAnsi="Calibri" w:cs="Calibri"/>
          <w:color w:val="auto"/>
          <w:sz w:val="22"/>
          <w:lang w:val="en-US"/>
        </w:rPr>
        <w:t xml:space="preserve">, (ii) </w:t>
      </w:r>
      <w:r w:rsidR="005F22D0">
        <w:rPr>
          <w:rFonts w:ascii="Calibri" w:hAnsi="Calibri" w:cs="Calibri"/>
          <w:color w:val="auto"/>
          <w:sz w:val="22"/>
          <w:lang w:val="en-US"/>
        </w:rPr>
        <w:t xml:space="preserve">the </w:t>
      </w:r>
      <w:r w:rsidR="00573B0D" w:rsidRPr="005F22D0">
        <w:rPr>
          <w:rFonts w:ascii="Calibri" w:hAnsi="Calibri" w:cs="Calibri"/>
          <w:color w:val="auto"/>
          <w:sz w:val="22"/>
          <w:u w:val="single"/>
          <w:lang w:val="en-US"/>
        </w:rPr>
        <w:t>method to determine exposures</w:t>
      </w:r>
      <w:r w:rsidR="005F22D0">
        <w:rPr>
          <w:rFonts w:ascii="Calibri" w:hAnsi="Calibri" w:cs="Calibri"/>
          <w:color w:val="auto"/>
          <w:sz w:val="22"/>
          <w:lang w:val="en-US"/>
        </w:rPr>
        <w:t xml:space="preserve"> (e.g., </w:t>
      </w:r>
      <w:r w:rsidR="00BF4789">
        <w:rPr>
          <w:rFonts w:ascii="Calibri" w:hAnsi="Calibri" w:cs="Calibri"/>
          <w:color w:val="auto"/>
          <w:sz w:val="22"/>
          <w:lang w:val="en-US"/>
        </w:rPr>
        <w:t xml:space="preserve">Commitment, </w:t>
      </w:r>
      <w:proofErr w:type="spellStart"/>
      <w:r w:rsidR="005F22D0">
        <w:rPr>
          <w:rFonts w:ascii="Calibri" w:hAnsi="Calibri" w:cs="Calibri"/>
          <w:color w:val="auto"/>
          <w:sz w:val="22"/>
          <w:lang w:val="en-US"/>
        </w:rPr>
        <w:t>VaR</w:t>
      </w:r>
      <w:proofErr w:type="spellEnd"/>
      <w:r w:rsidR="00BF4789">
        <w:rPr>
          <w:rFonts w:ascii="Calibri" w:hAnsi="Calibri" w:cs="Calibri"/>
          <w:color w:val="auto"/>
          <w:sz w:val="22"/>
          <w:lang w:val="en-US"/>
        </w:rPr>
        <w:t>)</w:t>
      </w:r>
      <w:r w:rsidR="00573B0D">
        <w:rPr>
          <w:rFonts w:ascii="Calibri" w:hAnsi="Calibri" w:cs="Calibri"/>
          <w:color w:val="auto"/>
          <w:sz w:val="22"/>
          <w:lang w:val="en-US"/>
        </w:rPr>
        <w:t xml:space="preserve">, and (iii) statement </w:t>
      </w:r>
      <w:r w:rsidR="00573B0D" w:rsidRPr="005F22D0">
        <w:rPr>
          <w:rFonts w:ascii="Calibri" w:hAnsi="Calibri" w:cs="Calibri"/>
          <w:color w:val="auto"/>
          <w:sz w:val="22"/>
          <w:u w:val="single"/>
          <w:lang w:val="en-US"/>
        </w:rPr>
        <w:t>confirming the adequacy of risk management procedures</w:t>
      </w:r>
      <w:r w:rsidR="00A1511B">
        <w:rPr>
          <w:rFonts w:ascii="Calibri" w:hAnsi="Calibri" w:cs="Calibri"/>
          <w:color w:val="auto"/>
          <w:sz w:val="22"/>
          <w:lang w:val="en-US"/>
        </w:rPr>
        <w:t xml:space="preserve">. </w:t>
      </w:r>
    </w:p>
    <w:p w14:paraId="03477C59" w14:textId="5E2F80AD" w:rsidR="00913DFF" w:rsidRPr="00B52D53" w:rsidRDefault="00913DFF" w:rsidP="009F73BE">
      <w:pPr>
        <w:pStyle w:val="BodyText"/>
        <w:numPr>
          <w:ilvl w:val="0"/>
          <w:numId w:val="96"/>
        </w:numPr>
        <w:jc w:val="both"/>
        <w:rPr>
          <w:rFonts w:ascii="Calibri" w:hAnsi="Calibri" w:cs="Calibri"/>
          <w:color w:val="auto"/>
          <w:sz w:val="22"/>
          <w:lang w:val="en-US"/>
        </w:rPr>
      </w:pPr>
      <w:r>
        <w:rPr>
          <w:rFonts w:ascii="Calibri" w:hAnsi="Calibri" w:cs="Calibri"/>
          <w:b/>
          <w:bCs/>
          <w:color w:val="auto"/>
          <w:sz w:val="22"/>
          <w:lang w:val="en-US"/>
        </w:rPr>
        <w:t>After registration of prospectus</w:t>
      </w:r>
      <w:r w:rsidR="003421CA">
        <w:rPr>
          <w:rFonts w:ascii="Calibri" w:hAnsi="Calibri" w:cs="Calibri"/>
          <w:b/>
          <w:bCs/>
          <w:color w:val="auto"/>
          <w:sz w:val="22"/>
          <w:lang w:val="en-US"/>
        </w:rPr>
        <w:t>/</w:t>
      </w:r>
      <w:r>
        <w:rPr>
          <w:rFonts w:ascii="Calibri" w:hAnsi="Calibri" w:cs="Calibri"/>
          <w:b/>
          <w:bCs/>
          <w:color w:val="auto"/>
          <w:sz w:val="22"/>
          <w:lang w:val="en-US"/>
        </w:rPr>
        <w:t>profile statement</w:t>
      </w:r>
      <w:r>
        <w:rPr>
          <w:rFonts w:ascii="Calibri" w:hAnsi="Calibri" w:cs="Calibri"/>
          <w:color w:val="auto"/>
          <w:sz w:val="22"/>
          <w:lang w:val="en-US"/>
        </w:rPr>
        <w:t>: A</w:t>
      </w:r>
      <w:r w:rsidRPr="00B52D53">
        <w:rPr>
          <w:rFonts w:ascii="Calibri" w:hAnsi="Calibri" w:cs="Calibri"/>
          <w:color w:val="auto"/>
          <w:sz w:val="22"/>
          <w:lang w:val="en-US"/>
        </w:rPr>
        <w:t xml:space="preserve">dvertisement employed to promote any capital market products must </w:t>
      </w:r>
      <w:r w:rsidRPr="00B52D53">
        <w:rPr>
          <w:rFonts w:ascii="Calibri" w:hAnsi="Calibri" w:cs="Calibri"/>
          <w:color w:val="auto"/>
          <w:sz w:val="22"/>
          <w:u w:val="single"/>
          <w:lang w:val="en-US"/>
        </w:rPr>
        <w:t>not be false or misleading and must be clear, fair and balanced</w:t>
      </w:r>
      <w:r w:rsidRPr="00B52D53">
        <w:rPr>
          <w:rFonts w:ascii="Calibri" w:hAnsi="Calibri" w:cs="Calibri"/>
          <w:color w:val="auto"/>
          <w:sz w:val="22"/>
          <w:lang w:val="en-US"/>
        </w:rPr>
        <w:t>. In terms of clearness,</w:t>
      </w:r>
    </w:p>
    <w:p w14:paraId="687A25C4" w14:textId="77777777" w:rsidR="00913DFF" w:rsidRPr="00B52D53" w:rsidRDefault="00913DFF"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The body font size used must be at least 10-point Times New Roman</w:t>
      </w:r>
    </w:p>
    <w:p w14:paraId="3107BC54" w14:textId="77777777" w:rsidR="00913DFF" w:rsidRPr="00B52D53" w:rsidRDefault="00913DFF"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The footnote font must be Times New Roman. Footnote size must be 10 for Body Font Size &lt;= 20. For Body Font Size between 20 and 28, the footnote size must be half the Body Font Size used. For Body Font Size above 28, then default footnote size is 14.</w:t>
      </w:r>
    </w:p>
    <w:p w14:paraId="10D0B11E" w14:textId="77777777" w:rsidR="00913DFF" w:rsidRDefault="00913DFF"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lang w:val="en-US"/>
        </w:rPr>
        <w:t xml:space="preserve">Include a liner that says, “This advertisement has not been reviewed by MAS”. </w:t>
      </w:r>
    </w:p>
    <w:p w14:paraId="51651E04" w14:textId="433248A5" w:rsidR="00913DFF" w:rsidRDefault="00913DFF" w:rsidP="009F73BE">
      <w:pPr>
        <w:pStyle w:val="BodyText"/>
        <w:numPr>
          <w:ilvl w:val="2"/>
          <w:numId w:val="96"/>
        </w:numPr>
        <w:jc w:val="both"/>
        <w:rPr>
          <w:rFonts w:ascii="Calibri" w:hAnsi="Calibri" w:cs="Calibri"/>
          <w:color w:val="auto"/>
          <w:sz w:val="22"/>
          <w:lang w:val="en-US"/>
        </w:rPr>
      </w:pPr>
      <w:r w:rsidRPr="00B52D53">
        <w:rPr>
          <w:rFonts w:ascii="Calibri" w:hAnsi="Calibri" w:cs="Calibri"/>
          <w:color w:val="auto"/>
          <w:sz w:val="22"/>
          <w:u w:val="single"/>
          <w:lang w:val="en-US"/>
        </w:rPr>
        <w:t>Approval must be sought from senior management</w:t>
      </w:r>
      <w:r w:rsidRPr="00B52D53">
        <w:rPr>
          <w:rFonts w:ascii="Calibri" w:hAnsi="Calibri" w:cs="Calibri"/>
          <w:color w:val="auto"/>
          <w:sz w:val="22"/>
          <w:lang w:val="en-US"/>
        </w:rPr>
        <w:t>, agent</w:t>
      </w:r>
      <w:r w:rsidR="003421CA">
        <w:rPr>
          <w:rFonts w:ascii="Calibri" w:hAnsi="Calibri" w:cs="Calibri"/>
          <w:color w:val="auto"/>
          <w:sz w:val="22"/>
          <w:lang w:val="en-US"/>
        </w:rPr>
        <w:t>/</w:t>
      </w:r>
      <w:r w:rsidRPr="00B52D53">
        <w:rPr>
          <w:rFonts w:ascii="Calibri" w:hAnsi="Calibri" w:cs="Calibri"/>
          <w:color w:val="auto"/>
          <w:sz w:val="22"/>
          <w:lang w:val="en-US"/>
        </w:rPr>
        <w:t xml:space="preserve">committee of the holder of CMS license etc., before the advertisement can be disseminated. This approval must be </w:t>
      </w:r>
      <w:r w:rsidRPr="00B52D53">
        <w:rPr>
          <w:rFonts w:ascii="Calibri" w:hAnsi="Calibri" w:cs="Calibri"/>
          <w:color w:val="auto"/>
          <w:sz w:val="22"/>
          <w:u w:val="single"/>
          <w:lang w:val="en-US"/>
        </w:rPr>
        <w:t>kept on record for at least 5 years from the date of approval</w:t>
      </w:r>
      <w:r w:rsidRPr="00B52D53">
        <w:rPr>
          <w:rFonts w:ascii="Calibri" w:hAnsi="Calibri" w:cs="Calibri"/>
          <w:color w:val="auto"/>
          <w:sz w:val="22"/>
          <w:lang w:val="en-US"/>
        </w:rPr>
        <w:t>.</w:t>
      </w:r>
    </w:p>
    <w:p w14:paraId="7700AC8B" w14:textId="55422678" w:rsidR="008B1487" w:rsidRDefault="00510FA9" w:rsidP="009F73BE">
      <w:pPr>
        <w:pStyle w:val="BodyText"/>
        <w:numPr>
          <w:ilvl w:val="2"/>
          <w:numId w:val="96"/>
        </w:numPr>
        <w:jc w:val="both"/>
        <w:rPr>
          <w:rFonts w:ascii="Calibri" w:hAnsi="Calibri" w:cs="Calibri"/>
          <w:color w:val="auto"/>
          <w:sz w:val="22"/>
          <w:lang w:val="en-US"/>
        </w:rPr>
      </w:pPr>
      <w:r>
        <w:rPr>
          <w:rFonts w:ascii="Calibri" w:hAnsi="Calibri" w:cs="Calibri"/>
          <w:color w:val="auto"/>
          <w:sz w:val="22"/>
          <w:lang w:val="en-US"/>
        </w:rPr>
        <w:t>Having said that, s</w:t>
      </w:r>
      <w:r w:rsidR="00913DFF">
        <w:rPr>
          <w:rFonts w:ascii="Calibri" w:hAnsi="Calibri" w:cs="Calibri"/>
          <w:color w:val="auto"/>
          <w:sz w:val="22"/>
          <w:lang w:val="en-US"/>
        </w:rPr>
        <w:t xml:space="preserve">ome advertisements would not be subject to the above regulations, e.g., regulatory disclosures, notice or report of a proposed meeting of participants, </w:t>
      </w:r>
      <w:r>
        <w:rPr>
          <w:rFonts w:ascii="Calibri" w:hAnsi="Calibri" w:cs="Calibri"/>
          <w:color w:val="auto"/>
          <w:sz w:val="22"/>
          <w:lang w:val="en-US"/>
        </w:rPr>
        <w:t>news report or genuine comment made by a person not associated with the offeror.</w:t>
      </w:r>
    </w:p>
    <w:p w14:paraId="56592C44" w14:textId="77777777" w:rsidR="00B20D47" w:rsidRPr="00510FA9" w:rsidRDefault="00B20D47" w:rsidP="00B20D47">
      <w:pPr>
        <w:pStyle w:val="BodyText"/>
        <w:ind w:left="1080"/>
        <w:jc w:val="both"/>
        <w:rPr>
          <w:rFonts w:ascii="Calibri" w:hAnsi="Calibri" w:cs="Calibri"/>
          <w:color w:val="auto"/>
          <w:sz w:val="22"/>
          <w:lang w:val="en-US"/>
        </w:rPr>
      </w:pPr>
    </w:p>
    <w:p w14:paraId="19C82BE7" w14:textId="3F9F88D9" w:rsidR="005F74C5" w:rsidRPr="00B52D53" w:rsidRDefault="005F74C5"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Product Suitability</w:t>
      </w:r>
    </w:p>
    <w:p w14:paraId="648807F7" w14:textId="00F9569E" w:rsidR="00BA26F8" w:rsidRDefault="00BA26F8" w:rsidP="009F73BE">
      <w:pPr>
        <w:pStyle w:val="ListParagraph"/>
        <w:numPr>
          <w:ilvl w:val="0"/>
          <w:numId w:val="109"/>
        </w:numPr>
        <w:jc w:val="both"/>
        <w:rPr>
          <w:rFonts w:ascii="Calibri" w:hAnsi="Calibri" w:cs="Calibri"/>
          <w:color w:val="auto"/>
          <w:sz w:val="22"/>
          <w:lang w:val="en-US"/>
        </w:rPr>
      </w:pPr>
      <w:r w:rsidRPr="00BA26F8">
        <w:rPr>
          <w:rFonts w:ascii="Calibri" w:hAnsi="Calibri" w:cs="Calibri"/>
          <w:b/>
          <w:bCs/>
          <w:color w:val="auto"/>
          <w:sz w:val="22"/>
          <w:lang w:val="en-US"/>
        </w:rPr>
        <w:t>CIS offered to retail investors</w:t>
      </w:r>
      <w:r>
        <w:rPr>
          <w:rFonts w:ascii="Calibri" w:hAnsi="Calibri" w:cs="Calibri"/>
          <w:color w:val="auto"/>
          <w:sz w:val="22"/>
          <w:lang w:val="en-US"/>
        </w:rPr>
        <w:t>:</w:t>
      </w:r>
    </w:p>
    <w:p w14:paraId="6F111A4A" w14:textId="77777777" w:rsidR="005F2083" w:rsidRDefault="005F2083" w:rsidP="005F2083">
      <w:pPr>
        <w:pStyle w:val="ListParagraph"/>
        <w:numPr>
          <w:ilvl w:val="1"/>
          <w:numId w:val="109"/>
        </w:numPr>
        <w:jc w:val="both"/>
        <w:rPr>
          <w:rFonts w:ascii="Calibri" w:hAnsi="Calibri" w:cs="Calibri"/>
          <w:color w:val="auto"/>
          <w:sz w:val="22"/>
          <w:lang w:val="en-US"/>
        </w:rPr>
      </w:pPr>
      <w:r w:rsidRPr="00510FA9">
        <w:rPr>
          <w:rFonts w:ascii="Calibri" w:hAnsi="Calibri" w:cs="Calibri"/>
          <w:color w:val="auto"/>
          <w:sz w:val="22"/>
          <w:u w:val="single"/>
          <w:lang w:val="en-US"/>
        </w:rPr>
        <w:t>Units in a CIS that is constituted as a trust and is only invested into quoted securities</w:t>
      </w:r>
      <w:r w:rsidRPr="00510FA9">
        <w:rPr>
          <w:rFonts w:ascii="Calibri" w:hAnsi="Calibri" w:cs="Calibri"/>
          <w:color w:val="auto"/>
          <w:sz w:val="22"/>
          <w:lang w:val="en-US"/>
        </w:rPr>
        <w:t xml:space="preserve"> </w:t>
      </w:r>
      <w:r w:rsidRPr="00510FA9">
        <w:rPr>
          <w:rFonts w:ascii="Calibri" w:hAnsi="Calibri" w:cs="Calibri"/>
          <w:color w:val="auto"/>
          <w:sz w:val="22"/>
          <w:u w:val="single"/>
          <w:lang w:val="en-US"/>
        </w:rPr>
        <w:t>and real estate</w:t>
      </w:r>
    </w:p>
    <w:p w14:paraId="1D876A98" w14:textId="45417DDA" w:rsidR="005F2083" w:rsidRPr="005F2083" w:rsidRDefault="005F2083" w:rsidP="005F2083">
      <w:pPr>
        <w:pStyle w:val="ListParagraph"/>
        <w:numPr>
          <w:ilvl w:val="1"/>
          <w:numId w:val="109"/>
        </w:numPr>
        <w:jc w:val="both"/>
        <w:rPr>
          <w:rFonts w:ascii="Calibri" w:hAnsi="Calibri" w:cs="Calibri"/>
          <w:color w:val="auto"/>
          <w:sz w:val="22"/>
          <w:lang w:val="en-US"/>
        </w:rPr>
      </w:pPr>
      <w:r w:rsidRPr="00510FA9">
        <w:rPr>
          <w:rFonts w:ascii="Calibri" w:hAnsi="Calibri" w:cs="Calibri"/>
          <w:color w:val="auto"/>
          <w:sz w:val="22"/>
          <w:lang w:val="en-US"/>
        </w:rPr>
        <w:t xml:space="preserve">The </w:t>
      </w:r>
      <w:r w:rsidRPr="00510FA9">
        <w:rPr>
          <w:rFonts w:ascii="Calibri" w:hAnsi="Calibri" w:cs="Calibri"/>
          <w:color w:val="auto"/>
          <w:sz w:val="22"/>
          <w:u w:val="single"/>
          <w:lang w:val="en-US"/>
        </w:rPr>
        <w:t>CIS is not allowed to participate in any securities lending</w:t>
      </w:r>
      <w:r>
        <w:rPr>
          <w:rFonts w:ascii="Calibri" w:hAnsi="Calibri" w:cs="Calibri"/>
          <w:color w:val="auto"/>
          <w:sz w:val="22"/>
          <w:u w:val="single"/>
          <w:lang w:val="en-US"/>
        </w:rPr>
        <w:t>/</w:t>
      </w:r>
      <w:r w:rsidRPr="00510FA9">
        <w:rPr>
          <w:rFonts w:ascii="Calibri" w:hAnsi="Calibri" w:cs="Calibri"/>
          <w:color w:val="auto"/>
          <w:sz w:val="22"/>
          <w:u w:val="single"/>
          <w:lang w:val="en-US"/>
        </w:rPr>
        <w:t>repurchase</w:t>
      </w:r>
      <w:r>
        <w:rPr>
          <w:rFonts w:ascii="Calibri" w:hAnsi="Calibri" w:cs="Calibri"/>
          <w:color w:val="auto"/>
          <w:sz w:val="22"/>
          <w:u w:val="single"/>
          <w:lang w:val="en-US"/>
        </w:rPr>
        <w:t xml:space="preserve"> (unless for EPM purposes)</w:t>
      </w:r>
      <w:r w:rsidRPr="00510FA9">
        <w:rPr>
          <w:rFonts w:ascii="Calibri" w:hAnsi="Calibri" w:cs="Calibri"/>
          <w:color w:val="auto"/>
          <w:sz w:val="22"/>
          <w:lang w:val="en-US"/>
        </w:rPr>
        <w:t xml:space="preserve">. </w:t>
      </w:r>
    </w:p>
    <w:p w14:paraId="1C6B538E" w14:textId="58875346" w:rsidR="00510FA9" w:rsidRDefault="005F2083" w:rsidP="00BA26F8">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Can</w:t>
      </w:r>
      <w:r w:rsidRPr="005F2083">
        <w:rPr>
          <w:rFonts w:ascii="Calibri" w:hAnsi="Calibri" w:cs="Calibri"/>
          <w:color w:val="auto"/>
          <w:sz w:val="22"/>
          <w:u w:val="single"/>
          <w:lang w:val="en-US"/>
        </w:rPr>
        <w:t xml:space="preserve"> only invest in</w:t>
      </w:r>
      <w:r w:rsidR="00510FA9" w:rsidRPr="005F2083">
        <w:rPr>
          <w:rFonts w:ascii="Calibri" w:hAnsi="Calibri" w:cs="Calibri"/>
          <w:color w:val="auto"/>
          <w:sz w:val="22"/>
          <w:u w:val="single"/>
          <w:lang w:val="en-US"/>
        </w:rPr>
        <w:t xml:space="preserve"> Excluded Investment Products</w:t>
      </w:r>
      <w:r w:rsidR="00510FA9" w:rsidRPr="00510FA9">
        <w:rPr>
          <w:rFonts w:ascii="Calibri" w:hAnsi="Calibri" w:cs="Calibri"/>
          <w:color w:val="auto"/>
          <w:sz w:val="22"/>
          <w:lang w:val="en-US"/>
        </w:rPr>
        <w:t xml:space="preserve"> (i.e.,</w:t>
      </w:r>
      <w:r w:rsidR="00392C4C" w:rsidRPr="00392C4C">
        <w:rPr>
          <w:rFonts w:ascii="Calibri" w:hAnsi="Calibri" w:cs="Calibri"/>
          <w:color w:val="auto"/>
          <w:sz w:val="22"/>
          <w:lang w:val="en-US"/>
        </w:rPr>
        <w:t xml:space="preserve"> </w:t>
      </w:r>
      <w:r w:rsidR="005B4BD2">
        <w:rPr>
          <w:rFonts w:ascii="Calibri" w:hAnsi="Calibri" w:cs="Calibri"/>
          <w:color w:val="auto"/>
          <w:sz w:val="22"/>
          <w:lang w:val="en-US"/>
        </w:rPr>
        <w:t xml:space="preserve">listed </w:t>
      </w:r>
      <w:r w:rsidR="00392C4C">
        <w:rPr>
          <w:rFonts w:ascii="Calibri" w:hAnsi="Calibri" w:cs="Calibri"/>
          <w:color w:val="auto"/>
          <w:sz w:val="22"/>
          <w:lang w:val="en-US"/>
        </w:rPr>
        <w:t>stocks / shares, business unit trust, CIS units, real estate and related assets, debentures excluding ABS/structured notes</w:t>
      </w:r>
      <w:r w:rsidR="00510FA9" w:rsidRPr="00510FA9">
        <w:rPr>
          <w:rFonts w:ascii="Calibri" w:hAnsi="Calibri" w:cs="Calibri"/>
          <w:color w:val="auto"/>
          <w:sz w:val="22"/>
          <w:lang w:val="en-US"/>
        </w:rPr>
        <w:t>)</w:t>
      </w:r>
      <w:r>
        <w:rPr>
          <w:rFonts w:ascii="Calibri" w:hAnsi="Calibri" w:cs="Calibri"/>
          <w:color w:val="auto"/>
          <w:sz w:val="22"/>
          <w:lang w:val="en-US"/>
        </w:rPr>
        <w:t xml:space="preserve">, </w:t>
      </w:r>
      <w:r w:rsidRPr="00510FA9">
        <w:rPr>
          <w:rFonts w:ascii="Calibri" w:hAnsi="Calibri" w:cs="Calibri"/>
          <w:color w:val="auto"/>
          <w:sz w:val="22"/>
          <w:u w:val="single"/>
          <w:lang w:val="en-US"/>
        </w:rPr>
        <w:t>deposits</w:t>
      </w:r>
      <w:r>
        <w:rPr>
          <w:rFonts w:ascii="Calibri" w:hAnsi="Calibri" w:cs="Calibri"/>
          <w:color w:val="auto"/>
          <w:sz w:val="22"/>
          <w:u w:val="single"/>
          <w:lang w:val="en-US"/>
        </w:rPr>
        <w:t xml:space="preserve"> and</w:t>
      </w:r>
      <w:r w:rsidRPr="00510FA9">
        <w:rPr>
          <w:rFonts w:ascii="Calibri" w:hAnsi="Calibri" w:cs="Calibri"/>
          <w:color w:val="auto"/>
          <w:sz w:val="22"/>
          <w:u w:val="single"/>
          <w:lang w:val="en-US"/>
        </w:rPr>
        <w:t xml:space="preserve"> gold</w:t>
      </w:r>
      <w:r>
        <w:rPr>
          <w:rFonts w:ascii="Calibri" w:hAnsi="Calibri" w:cs="Calibri"/>
          <w:color w:val="auto"/>
          <w:sz w:val="22"/>
          <w:lang w:val="en-US"/>
        </w:rPr>
        <w:t>.</w:t>
      </w:r>
    </w:p>
    <w:p w14:paraId="7827A565" w14:textId="77777777" w:rsidR="001731A8" w:rsidRDefault="001731A8" w:rsidP="001731A8">
      <w:pPr>
        <w:pStyle w:val="ListParagraph"/>
        <w:ind w:left="360"/>
        <w:jc w:val="both"/>
        <w:rPr>
          <w:rFonts w:ascii="Calibri" w:hAnsi="Calibri" w:cs="Calibri"/>
          <w:color w:val="auto"/>
          <w:sz w:val="22"/>
          <w:u w:val="single"/>
          <w:lang w:val="en-US"/>
        </w:rPr>
      </w:pPr>
    </w:p>
    <w:p w14:paraId="539F1FE5" w14:textId="77777777" w:rsidR="001731A8" w:rsidRDefault="00510FA9" w:rsidP="001731A8">
      <w:pPr>
        <w:pStyle w:val="ListParagraph"/>
        <w:ind w:left="360"/>
        <w:jc w:val="both"/>
        <w:rPr>
          <w:rFonts w:ascii="Calibri" w:hAnsi="Calibri" w:cs="Calibri"/>
          <w:color w:val="auto"/>
          <w:sz w:val="22"/>
          <w:lang w:val="en-US"/>
        </w:rPr>
      </w:pPr>
      <w:r w:rsidRPr="00510FA9">
        <w:rPr>
          <w:rFonts w:ascii="Calibri" w:hAnsi="Calibri" w:cs="Calibri"/>
          <w:color w:val="auto"/>
          <w:sz w:val="22"/>
          <w:u w:val="single"/>
          <w:lang w:val="en-US"/>
        </w:rPr>
        <w:lastRenderedPageBreak/>
        <w:t>Any CIS not classified as Excluded Investment Product would be classified as Specified Investment Product (SIP)</w:t>
      </w:r>
      <w:r>
        <w:rPr>
          <w:rFonts w:ascii="Calibri" w:hAnsi="Calibri" w:cs="Calibri"/>
          <w:color w:val="auto"/>
          <w:sz w:val="22"/>
          <w:lang w:val="en-US"/>
        </w:rPr>
        <w:t xml:space="preserve">. </w:t>
      </w:r>
    </w:p>
    <w:p w14:paraId="0F637141" w14:textId="78AB0300" w:rsidR="00510FA9" w:rsidRDefault="00510FA9" w:rsidP="001731A8">
      <w:pPr>
        <w:pStyle w:val="ListParagraph"/>
        <w:numPr>
          <w:ilvl w:val="1"/>
          <w:numId w:val="124"/>
        </w:numPr>
        <w:jc w:val="both"/>
        <w:rPr>
          <w:rFonts w:ascii="Calibri" w:hAnsi="Calibri" w:cs="Calibri"/>
          <w:color w:val="auto"/>
          <w:sz w:val="22"/>
          <w:lang w:val="en-US"/>
        </w:rPr>
      </w:pPr>
      <w:r>
        <w:rPr>
          <w:rFonts w:ascii="Calibri" w:hAnsi="Calibri" w:cs="Calibri"/>
          <w:color w:val="auto"/>
          <w:sz w:val="22"/>
          <w:lang w:val="en-US"/>
        </w:rPr>
        <w:t>Before the SIP can be offered to retail investors, the representative must carry out a Customer Knowledge Assessment (CKA) to ensure the retail investor meets any of the following conditions –</w:t>
      </w:r>
    </w:p>
    <w:p w14:paraId="0C013619" w14:textId="166DB212" w:rsidR="00510FA9" w:rsidRDefault="00510FA9" w:rsidP="001731A8">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Holds at least a diploma related to Finance, Economics and Accounting.</w:t>
      </w:r>
    </w:p>
    <w:p w14:paraId="10F88CAC" w14:textId="3DF6AB63" w:rsidR="00510FA9" w:rsidRDefault="00510FA9" w:rsidP="001731A8">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Has a professional finance-related qualification.</w:t>
      </w:r>
    </w:p>
    <w:p w14:paraId="687E623D" w14:textId="5FC04DA0" w:rsidR="00510FA9" w:rsidRDefault="00510FA9" w:rsidP="001731A8">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Has transacted in CIS at least 6 times in the preceding 3 years.</w:t>
      </w:r>
    </w:p>
    <w:p w14:paraId="08CB30A1" w14:textId="0E9AD2B2" w:rsidR="00510FA9" w:rsidRDefault="00510FA9" w:rsidP="001731A8">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Has a minimum of 3 consecutive years of working experience in the past 10 years working in risk management or treasury activities.</w:t>
      </w:r>
    </w:p>
    <w:p w14:paraId="35A22A6A" w14:textId="507D4175" w:rsidR="00510FA9" w:rsidRDefault="00510FA9" w:rsidP="001731A8">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Each CKA is only </w:t>
      </w:r>
      <w:r w:rsidRPr="00E808F3">
        <w:rPr>
          <w:rFonts w:ascii="Calibri" w:hAnsi="Calibri" w:cs="Calibri"/>
          <w:color w:val="auto"/>
          <w:sz w:val="22"/>
          <w:u w:val="single"/>
          <w:lang w:val="en-US"/>
        </w:rPr>
        <w:t>valid for 1 year</w:t>
      </w:r>
      <w:r>
        <w:rPr>
          <w:rFonts w:ascii="Calibri" w:hAnsi="Calibri" w:cs="Calibri"/>
          <w:color w:val="auto"/>
          <w:sz w:val="22"/>
          <w:lang w:val="en-US"/>
        </w:rPr>
        <w:t xml:space="preserve">. </w:t>
      </w:r>
      <w:r w:rsidR="00E808F3">
        <w:rPr>
          <w:rFonts w:ascii="Calibri" w:hAnsi="Calibri" w:cs="Calibri"/>
          <w:color w:val="auto"/>
          <w:sz w:val="22"/>
          <w:lang w:val="en-US"/>
        </w:rPr>
        <w:t>The retail investor must be reassessed next year if he wishes to continue transacting in SIP. Having said that, the CKA can be waived provided that the retail investor has (i) 3 consecutive years of working experience in the past 10 years working in risk management or treasury activities or he (ii) has transacted in CIS at least 6 times in the preceding 3 years.</w:t>
      </w:r>
    </w:p>
    <w:p w14:paraId="4188022C" w14:textId="2DE4D46F" w:rsidR="005F74C5" w:rsidRDefault="00510FA9" w:rsidP="001731A8">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If the retail investor does not pass the CKA, he would be </w:t>
      </w:r>
      <w:r w:rsidRPr="00E808F3">
        <w:rPr>
          <w:rFonts w:ascii="Calibri" w:hAnsi="Calibri" w:cs="Calibri"/>
          <w:color w:val="auto"/>
          <w:sz w:val="22"/>
          <w:u w:val="single"/>
          <w:lang w:val="en-US"/>
        </w:rPr>
        <w:t>required to undergo a learning module offered by MAS</w:t>
      </w:r>
      <w:r>
        <w:rPr>
          <w:rFonts w:ascii="Calibri" w:hAnsi="Calibri" w:cs="Calibri"/>
          <w:color w:val="auto"/>
          <w:sz w:val="22"/>
          <w:lang w:val="en-US"/>
        </w:rPr>
        <w:t xml:space="preserve"> or he could </w:t>
      </w:r>
      <w:r w:rsidRPr="00E808F3">
        <w:rPr>
          <w:rFonts w:ascii="Calibri" w:hAnsi="Calibri" w:cs="Calibri"/>
          <w:color w:val="auto"/>
          <w:sz w:val="22"/>
          <w:u w:val="single"/>
          <w:lang w:val="en-US"/>
        </w:rPr>
        <w:t>go ahead to transact in SIP with certain safeguards</w:t>
      </w:r>
      <w:r>
        <w:rPr>
          <w:rFonts w:ascii="Calibri" w:hAnsi="Calibri" w:cs="Calibri"/>
          <w:color w:val="auto"/>
          <w:sz w:val="22"/>
          <w:lang w:val="en-US"/>
        </w:rPr>
        <w:t>.</w:t>
      </w:r>
    </w:p>
    <w:p w14:paraId="7CC13D7B" w14:textId="77777777" w:rsidR="00E808F3" w:rsidRPr="00E808F3" w:rsidRDefault="00E808F3" w:rsidP="00E808F3">
      <w:pPr>
        <w:pStyle w:val="ListParagraph"/>
        <w:ind w:left="360"/>
        <w:jc w:val="both"/>
        <w:rPr>
          <w:rFonts w:ascii="Calibri" w:hAnsi="Calibri" w:cs="Calibri"/>
          <w:color w:val="auto"/>
          <w:sz w:val="22"/>
          <w:lang w:val="en-US"/>
        </w:rPr>
      </w:pPr>
    </w:p>
    <w:p w14:paraId="014187FE" w14:textId="61A802F0" w:rsidR="00E808F3" w:rsidRPr="00B52D53" w:rsidRDefault="00E808F3" w:rsidP="009F73BE">
      <w:pPr>
        <w:pStyle w:val="Heading3"/>
        <w:numPr>
          <w:ilvl w:val="0"/>
          <w:numId w:val="103"/>
        </w:numPr>
        <w:jc w:val="both"/>
        <w:rPr>
          <w:rFonts w:ascii="Calibri" w:hAnsi="Calibri" w:cs="Calibri"/>
          <w:color w:val="auto"/>
          <w:lang w:val="en-US"/>
        </w:rPr>
      </w:pPr>
      <w:r>
        <w:rPr>
          <w:rFonts w:ascii="Calibri" w:hAnsi="Calibri" w:cs="Calibri"/>
          <w:color w:val="auto"/>
          <w:lang w:val="en-US"/>
        </w:rPr>
        <w:t>ASEAN CIS Framework</w:t>
      </w:r>
    </w:p>
    <w:p w14:paraId="4A0AC010" w14:textId="3236990D" w:rsidR="00E808F3" w:rsidRDefault="00E808F3" w:rsidP="009F73BE">
      <w:pPr>
        <w:pStyle w:val="ListParagraph"/>
        <w:numPr>
          <w:ilvl w:val="0"/>
          <w:numId w:val="109"/>
        </w:numPr>
        <w:jc w:val="both"/>
        <w:rPr>
          <w:rFonts w:ascii="Calibri" w:hAnsi="Calibri" w:cs="Calibri"/>
          <w:color w:val="auto"/>
          <w:sz w:val="22"/>
          <w:lang w:val="en-US"/>
        </w:rPr>
      </w:pPr>
      <w:r>
        <w:rPr>
          <w:rFonts w:ascii="Calibri" w:hAnsi="Calibri" w:cs="Calibri"/>
          <w:color w:val="auto"/>
          <w:sz w:val="22"/>
          <w:lang w:val="en-US"/>
        </w:rPr>
        <w:t>Under the framework, fund managers in Singapore, Malaysia and Thailand can offer CIS constituted in their home jurisdictions directly to retail investors in the other 2 ASEAN countries under a streamlined authorization process. A manager of an authorized CIS in Singapore, who wishes to tap into this arrangement, would need to apply to MAS and the SEC of Thailand</w:t>
      </w:r>
      <w:r w:rsidR="003421CA">
        <w:rPr>
          <w:rFonts w:ascii="Calibri" w:hAnsi="Calibri" w:cs="Calibri"/>
          <w:color w:val="auto"/>
          <w:sz w:val="22"/>
          <w:lang w:val="en-US"/>
        </w:rPr>
        <w:t>/</w:t>
      </w:r>
      <w:r>
        <w:rPr>
          <w:rFonts w:ascii="Calibri" w:hAnsi="Calibri" w:cs="Calibri"/>
          <w:color w:val="auto"/>
          <w:sz w:val="22"/>
          <w:lang w:val="en-US"/>
        </w:rPr>
        <w:t>Security Commissions of Malaysia for approval, accompanied by a prospectus.</w:t>
      </w:r>
      <w:r w:rsidRPr="00510FA9">
        <w:rPr>
          <w:rFonts w:ascii="Calibri" w:hAnsi="Calibri" w:cs="Calibri"/>
          <w:color w:val="auto"/>
          <w:sz w:val="22"/>
          <w:lang w:val="en-US"/>
        </w:rPr>
        <w:t xml:space="preserve"> </w:t>
      </w:r>
    </w:p>
    <w:p w14:paraId="3B0F54A7" w14:textId="77777777" w:rsidR="007B4941" w:rsidRDefault="007B4941" w:rsidP="001F464C">
      <w:pPr>
        <w:pStyle w:val="BodyText"/>
        <w:jc w:val="both"/>
        <w:rPr>
          <w:rFonts w:ascii="Calibri" w:hAnsi="Calibri" w:cs="Calibri"/>
          <w:color w:val="auto"/>
          <w:sz w:val="22"/>
          <w:lang w:val="en-US"/>
        </w:rPr>
      </w:pPr>
    </w:p>
    <w:p w14:paraId="7B346E61" w14:textId="31B7A6C5" w:rsidR="001F464C" w:rsidRPr="00B52D53" w:rsidRDefault="001F464C" w:rsidP="001F464C">
      <w:pPr>
        <w:pStyle w:val="Heading2"/>
        <w:jc w:val="both"/>
        <w:rPr>
          <w:rFonts w:ascii="Calibri" w:hAnsi="Calibri" w:cs="Calibri"/>
          <w:color w:val="auto"/>
          <w:lang w:val="en-US"/>
        </w:rPr>
      </w:pPr>
      <w:r w:rsidRPr="00B52D53">
        <w:rPr>
          <w:rFonts w:ascii="Calibri" w:hAnsi="Calibri" w:cs="Calibri"/>
          <w:color w:val="auto"/>
          <w:lang w:val="en-US"/>
        </w:rPr>
        <w:t xml:space="preserve">Chapter </w:t>
      </w:r>
      <w:r>
        <w:rPr>
          <w:rFonts w:ascii="Calibri" w:hAnsi="Calibri" w:cs="Calibri"/>
          <w:color w:val="auto"/>
          <w:lang w:val="en-US"/>
        </w:rPr>
        <w:t xml:space="preserve">8 </w:t>
      </w:r>
      <w:r w:rsidRPr="00B52D53">
        <w:rPr>
          <w:rFonts w:ascii="Calibri" w:hAnsi="Calibri" w:cs="Calibri"/>
          <w:color w:val="auto"/>
          <w:lang w:val="en-US"/>
        </w:rPr>
        <w:t>– C</w:t>
      </w:r>
      <w:r>
        <w:rPr>
          <w:rFonts w:ascii="Calibri" w:hAnsi="Calibri" w:cs="Calibri"/>
          <w:color w:val="auto"/>
          <w:lang w:val="en-US"/>
        </w:rPr>
        <w:t>PF Investment Scheme (CPFIS)</w:t>
      </w:r>
    </w:p>
    <w:p w14:paraId="7CBEAD90" w14:textId="4BEC609C" w:rsidR="00BA55B7" w:rsidRDefault="00BA55B7" w:rsidP="009F73BE">
      <w:pPr>
        <w:pStyle w:val="Heading3"/>
        <w:numPr>
          <w:ilvl w:val="0"/>
          <w:numId w:val="110"/>
        </w:numPr>
        <w:jc w:val="both"/>
        <w:rPr>
          <w:rFonts w:ascii="Calibri" w:hAnsi="Calibri" w:cs="Calibri"/>
          <w:color w:val="auto"/>
          <w:lang w:val="en-US"/>
        </w:rPr>
      </w:pPr>
      <w:r>
        <w:rPr>
          <w:rFonts w:ascii="Calibri" w:hAnsi="Calibri" w:cs="Calibri"/>
          <w:color w:val="auto"/>
          <w:lang w:val="en-US"/>
        </w:rPr>
        <w:t>CPFIS Overview</w:t>
      </w:r>
    </w:p>
    <w:p w14:paraId="485FA94C" w14:textId="77777777" w:rsidR="006F6D44" w:rsidRDefault="00BF6837" w:rsidP="009F73BE">
      <w:pPr>
        <w:pStyle w:val="ListParagraph"/>
        <w:numPr>
          <w:ilvl w:val="0"/>
          <w:numId w:val="109"/>
        </w:numPr>
        <w:jc w:val="both"/>
        <w:rPr>
          <w:rFonts w:ascii="Calibri" w:hAnsi="Calibri" w:cs="Calibri"/>
          <w:color w:val="auto"/>
          <w:sz w:val="22"/>
          <w:lang w:val="en-US"/>
        </w:rPr>
      </w:pPr>
      <w:r>
        <w:rPr>
          <w:rFonts w:ascii="Calibri" w:hAnsi="Calibri" w:cs="Calibri"/>
          <w:color w:val="auto"/>
          <w:sz w:val="22"/>
          <w:lang w:val="en-US"/>
        </w:rPr>
        <w:t xml:space="preserve">The CPFIS is made up of </w:t>
      </w:r>
      <w:r w:rsidRPr="00BF6837">
        <w:rPr>
          <w:rFonts w:ascii="Calibri" w:hAnsi="Calibri" w:cs="Calibri"/>
          <w:color w:val="auto"/>
          <w:sz w:val="22"/>
          <w:u w:val="single"/>
          <w:lang w:val="en-US"/>
        </w:rPr>
        <w:t>CPFIS-OA</w:t>
      </w:r>
      <w:r>
        <w:rPr>
          <w:rFonts w:ascii="Calibri" w:hAnsi="Calibri" w:cs="Calibri"/>
          <w:color w:val="auto"/>
          <w:sz w:val="22"/>
          <w:lang w:val="en-US"/>
        </w:rPr>
        <w:t xml:space="preserve"> and </w:t>
      </w:r>
      <w:r w:rsidRPr="00BF6837">
        <w:rPr>
          <w:rFonts w:ascii="Calibri" w:hAnsi="Calibri" w:cs="Calibri"/>
          <w:color w:val="auto"/>
          <w:sz w:val="22"/>
          <w:u w:val="single"/>
          <w:lang w:val="en-US"/>
        </w:rPr>
        <w:t>CPFIS-SA</w:t>
      </w:r>
      <w:r w:rsidR="005771DD" w:rsidRPr="005771DD">
        <w:rPr>
          <w:rFonts w:ascii="Calibri" w:hAnsi="Calibri" w:cs="Calibri"/>
          <w:color w:val="auto"/>
          <w:sz w:val="22"/>
          <w:lang w:val="en-US"/>
        </w:rPr>
        <w:t>,</w:t>
      </w:r>
      <w:r w:rsidR="00C9041F">
        <w:rPr>
          <w:rFonts w:ascii="Calibri" w:hAnsi="Calibri" w:cs="Calibri"/>
          <w:color w:val="auto"/>
          <w:sz w:val="22"/>
          <w:lang w:val="en-US"/>
        </w:rPr>
        <w:t xml:space="preserve"> where different products are made available under each scheme. </w:t>
      </w:r>
      <w:r w:rsidR="00F42672">
        <w:rPr>
          <w:rFonts w:ascii="Calibri" w:hAnsi="Calibri" w:cs="Calibri"/>
          <w:color w:val="auto"/>
          <w:sz w:val="22"/>
          <w:lang w:val="en-US"/>
        </w:rPr>
        <w:t>CPF</w:t>
      </w:r>
      <w:r w:rsidR="006F6D44">
        <w:rPr>
          <w:rFonts w:ascii="Calibri" w:hAnsi="Calibri" w:cs="Calibri"/>
          <w:color w:val="auto"/>
          <w:sz w:val="22"/>
          <w:lang w:val="en-US"/>
        </w:rPr>
        <w:t xml:space="preserve"> members can </w:t>
      </w:r>
      <w:r w:rsidR="006F6D44" w:rsidRPr="006F6D44">
        <w:rPr>
          <w:rFonts w:ascii="Calibri" w:hAnsi="Calibri" w:cs="Calibri"/>
          <w:color w:val="auto"/>
          <w:sz w:val="22"/>
          <w:u w:val="single"/>
          <w:lang w:val="en-US"/>
        </w:rPr>
        <w:t>invest in CIS</w:t>
      </w:r>
      <w:r w:rsidR="006F6D44">
        <w:rPr>
          <w:rFonts w:ascii="Calibri" w:hAnsi="Calibri" w:cs="Calibri"/>
          <w:color w:val="auto"/>
          <w:sz w:val="22"/>
          <w:lang w:val="en-US"/>
        </w:rPr>
        <w:t xml:space="preserve"> under the CPFIS. </w:t>
      </w:r>
    </w:p>
    <w:p w14:paraId="3A5DCD18" w14:textId="77777777" w:rsidR="000444F4" w:rsidRDefault="006F6D44" w:rsidP="009F73BE">
      <w:pPr>
        <w:pStyle w:val="ListParagraph"/>
        <w:numPr>
          <w:ilvl w:val="0"/>
          <w:numId w:val="109"/>
        </w:numPr>
        <w:jc w:val="both"/>
        <w:rPr>
          <w:rFonts w:ascii="Calibri" w:hAnsi="Calibri" w:cs="Calibri"/>
          <w:color w:val="auto"/>
          <w:sz w:val="22"/>
          <w:lang w:val="en-US"/>
        </w:rPr>
      </w:pPr>
      <w:r>
        <w:rPr>
          <w:rFonts w:ascii="Calibri" w:hAnsi="Calibri" w:cs="Calibri"/>
          <w:color w:val="auto"/>
          <w:sz w:val="22"/>
          <w:lang w:val="en-US"/>
        </w:rPr>
        <w:t>Eligibility criteria</w:t>
      </w:r>
      <w:r w:rsidR="00676451">
        <w:rPr>
          <w:rFonts w:ascii="Calibri" w:hAnsi="Calibri" w:cs="Calibri"/>
          <w:color w:val="auto"/>
          <w:sz w:val="22"/>
          <w:lang w:val="en-US"/>
        </w:rPr>
        <w:t>: (</w:t>
      </w:r>
      <w:proofErr w:type="spellStart"/>
      <w:r w:rsidR="00676451">
        <w:rPr>
          <w:rFonts w:ascii="Calibri" w:hAnsi="Calibri" w:cs="Calibri"/>
          <w:color w:val="auto"/>
          <w:sz w:val="22"/>
          <w:lang w:val="en-US"/>
        </w:rPr>
        <w:t>i</w:t>
      </w:r>
      <w:proofErr w:type="spellEnd"/>
      <w:r w:rsidR="00676451">
        <w:rPr>
          <w:rFonts w:ascii="Calibri" w:hAnsi="Calibri" w:cs="Calibri"/>
          <w:color w:val="auto"/>
          <w:sz w:val="22"/>
          <w:lang w:val="en-US"/>
        </w:rPr>
        <w:t xml:space="preserve">) </w:t>
      </w:r>
      <w:r w:rsidR="00676451" w:rsidRPr="00676451">
        <w:rPr>
          <w:rFonts w:ascii="Calibri" w:hAnsi="Calibri" w:cs="Calibri"/>
          <w:color w:val="auto"/>
          <w:sz w:val="22"/>
          <w:lang w:val="en-US"/>
        </w:rPr>
        <w:t>At least 18 years old</w:t>
      </w:r>
      <w:r w:rsidR="00676451">
        <w:rPr>
          <w:rFonts w:ascii="Calibri" w:hAnsi="Calibri" w:cs="Calibri"/>
          <w:color w:val="auto"/>
          <w:sz w:val="22"/>
          <w:lang w:val="en-US"/>
        </w:rPr>
        <w:t xml:space="preserve">, (ii) </w:t>
      </w:r>
      <w:r w:rsidR="002A1336">
        <w:rPr>
          <w:rFonts w:ascii="Calibri" w:hAnsi="Calibri" w:cs="Calibri"/>
          <w:color w:val="auto"/>
          <w:sz w:val="22"/>
          <w:lang w:val="en-US"/>
        </w:rPr>
        <w:t>N</w:t>
      </w:r>
      <w:r w:rsidR="00676451">
        <w:rPr>
          <w:rFonts w:ascii="Calibri" w:hAnsi="Calibri" w:cs="Calibri"/>
          <w:color w:val="auto"/>
          <w:sz w:val="22"/>
          <w:lang w:val="en-US"/>
        </w:rPr>
        <w:t>ot undischarged bankrupts</w:t>
      </w:r>
      <w:r w:rsidR="002A1336">
        <w:rPr>
          <w:rFonts w:ascii="Calibri" w:hAnsi="Calibri" w:cs="Calibri"/>
          <w:color w:val="auto"/>
          <w:sz w:val="22"/>
          <w:lang w:val="en-US"/>
        </w:rPr>
        <w:t>, (iii) Have more than $20K in CPF OA (for CPFIS-OA) or more than $40K (for CPFIS-SA)</w:t>
      </w:r>
      <w:r w:rsidR="008A0D02">
        <w:rPr>
          <w:rFonts w:ascii="Calibri" w:hAnsi="Calibri" w:cs="Calibri"/>
          <w:color w:val="auto"/>
          <w:sz w:val="22"/>
          <w:lang w:val="en-US"/>
        </w:rPr>
        <w:t>, (iv) Have completed the CPFIS Self-Awareness Questionnaire</w:t>
      </w:r>
      <w:r w:rsidR="000444F4">
        <w:rPr>
          <w:rFonts w:ascii="Calibri" w:hAnsi="Calibri" w:cs="Calibri"/>
          <w:color w:val="auto"/>
          <w:sz w:val="22"/>
          <w:lang w:val="en-US"/>
        </w:rPr>
        <w:t xml:space="preserve"> w.e.f. October 2018.</w:t>
      </w:r>
      <w:r w:rsidR="002A1336">
        <w:rPr>
          <w:rFonts w:ascii="Calibri" w:hAnsi="Calibri" w:cs="Calibri"/>
          <w:color w:val="auto"/>
          <w:sz w:val="22"/>
          <w:lang w:val="en-US"/>
        </w:rPr>
        <w:t xml:space="preserve"> </w:t>
      </w:r>
    </w:p>
    <w:p w14:paraId="1A4E0362" w14:textId="79EBBC59" w:rsidR="00BA55B7" w:rsidRDefault="000444F4" w:rsidP="00BA55B7">
      <w:pPr>
        <w:pStyle w:val="ListParagraph"/>
        <w:numPr>
          <w:ilvl w:val="0"/>
          <w:numId w:val="109"/>
        </w:numPr>
        <w:jc w:val="both"/>
        <w:rPr>
          <w:rFonts w:ascii="Calibri" w:hAnsi="Calibri" w:cs="Calibri"/>
          <w:color w:val="auto"/>
          <w:sz w:val="22"/>
          <w:lang w:val="en-US"/>
        </w:rPr>
      </w:pPr>
      <w:r w:rsidRPr="0014641B">
        <w:rPr>
          <w:rFonts w:ascii="Calibri" w:hAnsi="Calibri" w:cs="Calibri"/>
          <w:color w:val="auto"/>
          <w:sz w:val="22"/>
          <w:u w:val="single"/>
          <w:lang w:val="en-US"/>
        </w:rPr>
        <w:t xml:space="preserve">CPF members may only invest </w:t>
      </w:r>
      <w:r w:rsidR="00874B63" w:rsidRPr="0014641B">
        <w:rPr>
          <w:rFonts w:ascii="Calibri" w:hAnsi="Calibri" w:cs="Calibri"/>
          <w:color w:val="auto"/>
          <w:sz w:val="22"/>
          <w:u w:val="single"/>
          <w:lang w:val="en-US"/>
        </w:rPr>
        <w:t>excess amounts above $20K</w:t>
      </w:r>
      <w:r w:rsidR="00B039B6" w:rsidRPr="0014641B">
        <w:rPr>
          <w:rFonts w:ascii="Calibri" w:hAnsi="Calibri" w:cs="Calibri"/>
          <w:color w:val="auto"/>
          <w:sz w:val="22"/>
          <w:u w:val="single"/>
          <w:lang w:val="en-US"/>
        </w:rPr>
        <w:t xml:space="preserve"> (for OA)/$40K (for SA)</w:t>
      </w:r>
      <w:r w:rsidR="00B039B6">
        <w:rPr>
          <w:rFonts w:ascii="Calibri" w:hAnsi="Calibri" w:cs="Calibri"/>
          <w:color w:val="auto"/>
          <w:sz w:val="22"/>
          <w:lang w:val="en-US"/>
        </w:rPr>
        <w:t xml:space="preserve">. For OA investments, </w:t>
      </w:r>
      <w:r w:rsidR="005A6235">
        <w:rPr>
          <w:rFonts w:ascii="Calibri" w:hAnsi="Calibri" w:cs="Calibri"/>
          <w:color w:val="auto"/>
          <w:sz w:val="22"/>
          <w:lang w:val="en-US"/>
        </w:rPr>
        <w:t xml:space="preserve">only 35% of OA investible savings can be invested in shares, property funds and corporate bonds, and max. 10% into gold ETFs and other gold products. </w:t>
      </w:r>
    </w:p>
    <w:p w14:paraId="626AC9C2" w14:textId="77777777" w:rsidR="0006047C" w:rsidRPr="0006047C" w:rsidRDefault="0006047C" w:rsidP="0006047C">
      <w:pPr>
        <w:pStyle w:val="ListParagraph"/>
        <w:ind w:left="360"/>
        <w:jc w:val="both"/>
        <w:rPr>
          <w:rFonts w:ascii="Calibri" w:hAnsi="Calibri" w:cs="Calibri"/>
          <w:color w:val="auto"/>
          <w:sz w:val="22"/>
          <w:lang w:val="en-US"/>
        </w:rPr>
      </w:pPr>
    </w:p>
    <w:p w14:paraId="257B769A" w14:textId="4180A38D" w:rsidR="001F464C" w:rsidRDefault="00B72D51" w:rsidP="009F73BE">
      <w:pPr>
        <w:pStyle w:val="Heading3"/>
        <w:numPr>
          <w:ilvl w:val="0"/>
          <w:numId w:val="110"/>
        </w:numPr>
        <w:jc w:val="both"/>
        <w:rPr>
          <w:rFonts w:ascii="Calibri" w:hAnsi="Calibri" w:cs="Calibri"/>
          <w:color w:val="auto"/>
          <w:lang w:val="en-US"/>
        </w:rPr>
      </w:pPr>
      <w:r>
        <w:rPr>
          <w:rFonts w:ascii="Calibri" w:hAnsi="Calibri" w:cs="Calibri"/>
          <w:color w:val="auto"/>
          <w:lang w:val="en-US"/>
        </w:rPr>
        <w:t>LFMC</w:t>
      </w:r>
      <w:r w:rsidR="00CC0F0D">
        <w:rPr>
          <w:rFonts w:ascii="Calibri" w:hAnsi="Calibri" w:cs="Calibri"/>
          <w:color w:val="auto"/>
          <w:lang w:val="en-US"/>
        </w:rPr>
        <w:t xml:space="preserve"> Requirements to be included in CPFIS</w:t>
      </w:r>
    </w:p>
    <w:p w14:paraId="00316112" w14:textId="77777777" w:rsidR="00B03FA0" w:rsidRDefault="001053D4" w:rsidP="009F73BE">
      <w:pPr>
        <w:pStyle w:val="ListParagraph"/>
        <w:numPr>
          <w:ilvl w:val="0"/>
          <w:numId w:val="113"/>
        </w:numPr>
        <w:jc w:val="both"/>
        <w:rPr>
          <w:rFonts w:ascii="Calibri" w:hAnsi="Calibri" w:cs="Calibri"/>
          <w:color w:val="auto"/>
          <w:sz w:val="22"/>
          <w:lang w:val="en-US"/>
        </w:rPr>
      </w:pPr>
      <w:r w:rsidRPr="001053D4">
        <w:rPr>
          <w:rFonts w:ascii="Calibri" w:hAnsi="Calibri" w:cs="Calibri"/>
          <w:b/>
          <w:bCs/>
          <w:color w:val="auto"/>
          <w:sz w:val="22"/>
          <w:lang w:val="en-US"/>
        </w:rPr>
        <w:t>Admission Criteria</w:t>
      </w:r>
      <w:r>
        <w:rPr>
          <w:rFonts w:ascii="Calibri" w:hAnsi="Calibri" w:cs="Calibri"/>
          <w:color w:val="auto"/>
          <w:sz w:val="22"/>
          <w:lang w:val="en-US"/>
        </w:rPr>
        <w:t xml:space="preserve">: </w:t>
      </w:r>
    </w:p>
    <w:p w14:paraId="5897DB03" w14:textId="4623EEA6" w:rsidR="00B03FA0" w:rsidRDefault="00431523" w:rsidP="009F73BE">
      <w:pPr>
        <w:pStyle w:val="ListParagraph"/>
        <w:numPr>
          <w:ilvl w:val="1"/>
          <w:numId w:val="113"/>
        </w:numPr>
        <w:jc w:val="both"/>
        <w:rPr>
          <w:rFonts w:ascii="Calibri" w:hAnsi="Calibri" w:cs="Calibri"/>
          <w:color w:val="auto"/>
          <w:sz w:val="22"/>
          <w:lang w:val="en-US"/>
        </w:rPr>
      </w:pPr>
      <w:r w:rsidRPr="00431523">
        <w:rPr>
          <w:rFonts w:ascii="Calibri" w:hAnsi="Calibri" w:cs="Calibri"/>
          <w:b/>
          <w:bCs/>
          <w:color w:val="auto"/>
          <w:sz w:val="22"/>
          <w:lang w:val="en-US"/>
        </w:rPr>
        <w:lastRenderedPageBreak/>
        <w:t>License</w:t>
      </w:r>
      <w:r>
        <w:rPr>
          <w:rFonts w:ascii="Calibri" w:hAnsi="Calibri" w:cs="Calibri"/>
          <w:color w:val="auto"/>
          <w:sz w:val="22"/>
          <w:lang w:val="en-US"/>
        </w:rPr>
        <w:t xml:space="preserve">: </w:t>
      </w:r>
      <w:r w:rsidR="00B72D51">
        <w:rPr>
          <w:rFonts w:ascii="Calibri" w:hAnsi="Calibri" w:cs="Calibri"/>
          <w:color w:val="auto"/>
          <w:sz w:val="22"/>
          <w:lang w:val="en-US"/>
        </w:rPr>
        <w:t>LFMC</w:t>
      </w:r>
      <w:r w:rsidR="00F87960">
        <w:rPr>
          <w:rFonts w:ascii="Calibri" w:hAnsi="Calibri" w:cs="Calibri"/>
          <w:color w:val="auto"/>
          <w:sz w:val="22"/>
          <w:lang w:val="en-US"/>
        </w:rPr>
        <w:t xml:space="preserve"> should</w:t>
      </w:r>
      <w:r w:rsidR="001053D4">
        <w:rPr>
          <w:rFonts w:ascii="Calibri" w:hAnsi="Calibri" w:cs="Calibri"/>
          <w:color w:val="auto"/>
          <w:sz w:val="22"/>
          <w:lang w:val="en-US"/>
        </w:rPr>
        <w:t xml:space="preserve"> be </w:t>
      </w:r>
      <w:r w:rsidR="001053D4" w:rsidRPr="00FE46CA">
        <w:rPr>
          <w:rFonts w:ascii="Calibri" w:hAnsi="Calibri" w:cs="Calibri"/>
          <w:color w:val="auto"/>
          <w:sz w:val="22"/>
          <w:u w:val="single"/>
          <w:lang w:val="en-US"/>
        </w:rPr>
        <w:t>licensed</w:t>
      </w:r>
      <w:r w:rsidR="00DB388D" w:rsidRPr="00FE46CA">
        <w:rPr>
          <w:rFonts w:ascii="Calibri" w:hAnsi="Calibri" w:cs="Calibri"/>
          <w:color w:val="auto"/>
          <w:sz w:val="22"/>
          <w:u w:val="single"/>
          <w:lang w:val="en-US"/>
        </w:rPr>
        <w:t xml:space="preserve"> (i.e., CMSL) for fund management</w:t>
      </w:r>
      <w:r w:rsidR="00DB388D">
        <w:rPr>
          <w:rFonts w:ascii="Calibri" w:hAnsi="Calibri" w:cs="Calibri"/>
          <w:color w:val="auto"/>
          <w:sz w:val="22"/>
          <w:lang w:val="en-US"/>
        </w:rPr>
        <w:t xml:space="preserve">. For </w:t>
      </w:r>
      <w:r w:rsidR="00B03FA0">
        <w:rPr>
          <w:rFonts w:ascii="Calibri" w:hAnsi="Calibri" w:cs="Calibri"/>
          <w:color w:val="auto"/>
          <w:sz w:val="22"/>
          <w:lang w:val="en-US"/>
        </w:rPr>
        <w:t xml:space="preserve">foreign </w:t>
      </w:r>
      <w:r w:rsidR="00B72D51">
        <w:rPr>
          <w:rFonts w:ascii="Calibri" w:hAnsi="Calibri" w:cs="Calibri"/>
          <w:color w:val="auto"/>
          <w:sz w:val="22"/>
          <w:lang w:val="en-US"/>
        </w:rPr>
        <w:t>LFMC</w:t>
      </w:r>
      <w:r w:rsidR="00B03FA0">
        <w:rPr>
          <w:rFonts w:ascii="Calibri" w:hAnsi="Calibri" w:cs="Calibri"/>
          <w:color w:val="auto"/>
          <w:sz w:val="22"/>
          <w:lang w:val="en-US"/>
        </w:rPr>
        <w:t xml:space="preserve"> of a recognized CIS, it should hold an equivalent license in its home country. </w:t>
      </w:r>
    </w:p>
    <w:p w14:paraId="3374E2E8" w14:textId="541AA156" w:rsidR="00CC0F0D" w:rsidRPr="001E48DA" w:rsidRDefault="00431523" w:rsidP="009F73BE">
      <w:pPr>
        <w:pStyle w:val="ListParagraph"/>
        <w:numPr>
          <w:ilvl w:val="1"/>
          <w:numId w:val="113"/>
        </w:numPr>
        <w:jc w:val="both"/>
        <w:rPr>
          <w:lang w:val="en-US"/>
        </w:rPr>
      </w:pPr>
      <w:r w:rsidRPr="00431523">
        <w:rPr>
          <w:rFonts w:ascii="Calibri" w:hAnsi="Calibri" w:cs="Calibri"/>
          <w:b/>
          <w:bCs/>
          <w:color w:val="auto"/>
          <w:sz w:val="22"/>
          <w:lang w:val="en-US"/>
        </w:rPr>
        <w:t>Track Record</w:t>
      </w:r>
      <w:r>
        <w:rPr>
          <w:rFonts w:ascii="Calibri" w:hAnsi="Calibri" w:cs="Calibri"/>
          <w:color w:val="auto"/>
          <w:sz w:val="22"/>
          <w:lang w:val="en-US"/>
        </w:rPr>
        <w:t xml:space="preserve">: </w:t>
      </w:r>
      <w:r w:rsidR="00B72D51">
        <w:rPr>
          <w:rFonts w:ascii="Calibri" w:hAnsi="Calibri" w:cs="Calibri"/>
          <w:color w:val="auto"/>
          <w:sz w:val="22"/>
          <w:lang w:val="en-US"/>
        </w:rPr>
        <w:t>LFMC</w:t>
      </w:r>
      <w:r w:rsidR="00B03FA0" w:rsidRPr="00FE46CA">
        <w:rPr>
          <w:rFonts w:ascii="Calibri" w:hAnsi="Calibri" w:cs="Calibri"/>
          <w:color w:val="auto"/>
          <w:sz w:val="22"/>
          <w:lang w:val="en-US"/>
        </w:rPr>
        <w:t xml:space="preserve"> </w:t>
      </w:r>
      <w:r w:rsidR="00511118" w:rsidRPr="00FE46CA">
        <w:rPr>
          <w:rFonts w:ascii="Calibri" w:hAnsi="Calibri" w:cs="Calibri"/>
          <w:color w:val="auto"/>
          <w:sz w:val="22"/>
          <w:lang w:val="en-US"/>
        </w:rPr>
        <w:t xml:space="preserve">should have a </w:t>
      </w:r>
      <w:r w:rsidR="00511118" w:rsidRPr="001E48DA">
        <w:rPr>
          <w:rFonts w:ascii="Calibri" w:hAnsi="Calibri" w:cs="Calibri"/>
          <w:color w:val="auto"/>
          <w:sz w:val="22"/>
          <w:u w:val="single"/>
          <w:lang w:val="en-US"/>
        </w:rPr>
        <w:t>minimum track record of 1 year in Singapore (or 3 years for group</w:t>
      </w:r>
      <w:r w:rsidR="00FE46CA" w:rsidRPr="001E48DA">
        <w:rPr>
          <w:rFonts w:ascii="Calibri" w:hAnsi="Calibri" w:cs="Calibri"/>
          <w:color w:val="auto"/>
          <w:sz w:val="22"/>
          <w:u w:val="single"/>
          <w:lang w:val="en-US"/>
        </w:rPr>
        <w:t xml:space="preserve"> and foreign </w:t>
      </w:r>
      <w:r w:rsidR="00B72D51">
        <w:rPr>
          <w:rFonts w:ascii="Calibri" w:hAnsi="Calibri" w:cs="Calibri"/>
          <w:color w:val="auto"/>
          <w:sz w:val="22"/>
          <w:u w:val="single"/>
          <w:lang w:val="en-US"/>
        </w:rPr>
        <w:t>LFMC</w:t>
      </w:r>
      <w:r w:rsidR="00511118" w:rsidRPr="00FE46CA">
        <w:rPr>
          <w:rFonts w:ascii="Calibri" w:hAnsi="Calibri" w:cs="Calibri"/>
          <w:color w:val="auto"/>
          <w:sz w:val="22"/>
          <w:lang w:val="en-US"/>
        </w:rPr>
        <w:t>)</w:t>
      </w:r>
      <w:r w:rsidR="00FE46CA" w:rsidRPr="00FE46CA">
        <w:rPr>
          <w:rFonts w:ascii="Calibri" w:hAnsi="Calibri" w:cs="Calibri"/>
          <w:color w:val="auto"/>
          <w:sz w:val="22"/>
          <w:lang w:val="en-US"/>
        </w:rPr>
        <w:t>.</w:t>
      </w:r>
    </w:p>
    <w:p w14:paraId="306B871D" w14:textId="7AFA805E" w:rsidR="00ED3DDA" w:rsidRPr="006F0D13" w:rsidRDefault="00431523" w:rsidP="009F73BE">
      <w:pPr>
        <w:pStyle w:val="ListParagraph"/>
        <w:numPr>
          <w:ilvl w:val="1"/>
          <w:numId w:val="113"/>
        </w:numPr>
        <w:jc w:val="both"/>
        <w:rPr>
          <w:lang w:val="en-US"/>
        </w:rPr>
      </w:pPr>
      <w:r w:rsidRPr="00431523">
        <w:rPr>
          <w:rFonts w:ascii="Calibri" w:hAnsi="Calibri" w:cs="Calibri"/>
          <w:b/>
          <w:bCs/>
          <w:color w:val="auto"/>
          <w:sz w:val="22"/>
          <w:lang w:val="en-US"/>
        </w:rPr>
        <w:t>AUM</w:t>
      </w:r>
      <w:r>
        <w:rPr>
          <w:rFonts w:ascii="Calibri" w:hAnsi="Calibri" w:cs="Calibri"/>
          <w:color w:val="auto"/>
          <w:sz w:val="22"/>
          <w:lang w:val="en-US"/>
        </w:rPr>
        <w:t xml:space="preserve">: </w:t>
      </w:r>
      <w:r w:rsidR="00B72D51">
        <w:rPr>
          <w:rFonts w:ascii="Calibri" w:hAnsi="Calibri" w:cs="Calibri"/>
          <w:color w:val="auto"/>
          <w:sz w:val="22"/>
          <w:lang w:val="en-US"/>
        </w:rPr>
        <w:t>LFMC</w:t>
      </w:r>
      <w:r w:rsidR="001E48DA">
        <w:rPr>
          <w:rFonts w:ascii="Calibri" w:hAnsi="Calibri" w:cs="Calibri"/>
          <w:color w:val="auto"/>
          <w:sz w:val="22"/>
          <w:lang w:val="en-US"/>
        </w:rPr>
        <w:t xml:space="preserve"> and its</w:t>
      </w:r>
      <w:r w:rsidR="00165D52">
        <w:rPr>
          <w:rFonts w:ascii="Calibri" w:hAnsi="Calibri" w:cs="Calibri"/>
          <w:color w:val="auto"/>
          <w:sz w:val="22"/>
          <w:lang w:val="en-US"/>
        </w:rPr>
        <w:t xml:space="preserve"> related companies must </w:t>
      </w:r>
      <w:r w:rsidR="00165D52" w:rsidRPr="001D73FC">
        <w:rPr>
          <w:rFonts w:ascii="Calibri" w:hAnsi="Calibri" w:cs="Calibri"/>
          <w:color w:val="auto"/>
          <w:sz w:val="22"/>
          <w:u w:val="single"/>
          <w:lang w:val="en-US"/>
        </w:rPr>
        <w:t>manage at least $500M discretionary funds in SG or $1B discretionary funds globally</w:t>
      </w:r>
      <w:r w:rsidR="00281DD2">
        <w:rPr>
          <w:rFonts w:ascii="Calibri" w:hAnsi="Calibri" w:cs="Calibri"/>
          <w:color w:val="auto"/>
          <w:sz w:val="22"/>
          <w:lang w:val="en-US"/>
        </w:rPr>
        <w:t xml:space="preserve"> (especially for </w:t>
      </w:r>
      <w:r w:rsidR="00B72D51">
        <w:rPr>
          <w:rFonts w:ascii="Calibri" w:hAnsi="Calibri" w:cs="Calibri"/>
          <w:color w:val="auto"/>
          <w:sz w:val="22"/>
          <w:lang w:val="en-US"/>
        </w:rPr>
        <w:t>LFMC</w:t>
      </w:r>
      <w:r w:rsidR="00281DD2">
        <w:rPr>
          <w:rFonts w:ascii="Calibri" w:hAnsi="Calibri" w:cs="Calibri"/>
          <w:color w:val="auto"/>
          <w:sz w:val="22"/>
          <w:lang w:val="en-US"/>
        </w:rPr>
        <w:t>s that offer funds that are recognized CIS)</w:t>
      </w:r>
      <w:r w:rsidR="00165D52">
        <w:rPr>
          <w:rFonts w:ascii="Calibri" w:hAnsi="Calibri" w:cs="Calibri"/>
          <w:color w:val="auto"/>
          <w:sz w:val="22"/>
          <w:lang w:val="en-US"/>
        </w:rPr>
        <w:t>.</w:t>
      </w:r>
      <w:r w:rsidR="004F543F">
        <w:rPr>
          <w:rFonts w:ascii="Calibri" w:hAnsi="Calibri" w:cs="Calibri"/>
          <w:color w:val="auto"/>
          <w:sz w:val="22"/>
          <w:lang w:val="en-US"/>
        </w:rPr>
        <w:t xml:space="preserve"> </w:t>
      </w:r>
      <w:r w:rsidR="009F73BE" w:rsidRPr="009F73BE">
        <w:rPr>
          <w:rFonts w:ascii="Calibri" w:hAnsi="Calibri" w:cs="Calibri"/>
          <w:color w:val="auto"/>
          <w:sz w:val="22"/>
          <w:u w:val="single"/>
          <w:lang w:val="en-US"/>
        </w:rPr>
        <w:t>Fund can be authorized or recognized CIS</w:t>
      </w:r>
      <w:r w:rsidR="009F73BE">
        <w:rPr>
          <w:rFonts w:ascii="Calibri" w:hAnsi="Calibri" w:cs="Calibri"/>
          <w:color w:val="auto"/>
          <w:sz w:val="22"/>
          <w:lang w:val="en-US"/>
        </w:rPr>
        <w:t>.</w:t>
      </w:r>
    </w:p>
    <w:p w14:paraId="4AF895B2" w14:textId="0B40F4E7" w:rsidR="006F0D13" w:rsidRPr="006F0D13" w:rsidRDefault="006F0D13" w:rsidP="009F73BE">
      <w:pPr>
        <w:pStyle w:val="ListParagraph"/>
        <w:numPr>
          <w:ilvl w:val="1"/>
          <w:numId w:val="113"/>
        </w:numPr>
        <w:jc w:val="both"/>
        <w:rPr>
          <w:lang w:val="en-US"/>
        </w:rPr>
      </w:pPr>
      <w:r>
        <w:rPr>
          <w:rFonts w:ascii="Calibri" w:hAnsi="Calibri" w:cs="Calibri"/>
          <w:b/>
          <w:bCs/>
          <w:color w:val="auto"/>
          <w:sz w:val="22"/>
          <w:lang w:val="en-US"/>
        </w:rPr>
        <w:t>Sound financial position and good compliance records</w:t>
      </w:r>
    </w:p>
    <w:p w14:paraId="370EDADF" w14:textId="76A9205B" w:rsidR="001E48DA" w:rsidRPr="007312F7" w:rsidRDefault="00ED3DDA" w:rsidP="009F73BE">
      <w:pPr>
        <w:pStyle w:val="ListParagraph"/>
        <w:numPr>
          <w:ilvl w:val="1"/>
          <w:numId w:val="113"/>
        </w:numPr>
        <w:jc w:val="both"/>
        <w:rPr>
          <w:lang w:val="en-US"/>
        </w:rPr>
      </w:pPr>
      <w:r>
        <w:rPr>
          <w:rFonts w:ascii="Calibri" w:hAnsi="Calibri" w:cs="Calibri"/>
          <w:b/>
          <w:bCs/>
          <w:color w:val="auto"/>
          <w:sz w:val="22"/>
          <w:lang w:val="en-US"/>
        </w:rPr>
        <w:t>Member of IMAS</w:t>
      </w:r>
      <w:r>
        <w:rPr>
          <w:rFonts w:ascii="Calibri" w:hAnsi="Calibri" w:cs="Calibri"/>
          <w:color w:val="auto"/>
          <w:sz w:val="22"/>
          <w:lang w:val="en-US"/>
        </w:rPr>
        <w:t xml:space="preserve">: For foreign </w:t>
      </w:r>
      <w:r w:rsidR="00B72D51">
        <w:rPr>
          <w:rFonts w:ascii="Calibri" w:hAnsi="Calibri" w:cs="Calibri"/>
          <w:color w:val="auto"/>
          <w:sz w:val="22"/>
          <w:lang w:val="en-US"/>
        </w:rPr>
        <w:t>LFMC</w:t>
      </w:r>
      <w:r>
        <w:rPr>
          <w:rFonts w:ascii="Calibri" w:hAnsi="Calibri" w:cs="Calibri"/>
          <w:color w:val="auto"/>
          <w:sz w:val="22"/>
          <w:lang w:val="en-US"/>
        </w:rPr>
        <w:t xml:space="preserve">, the appointed representative must be a member. </w:t>
      </w:r>
      <w:r w:rsidR="00165D52">
        <w:rPr>
          <w:rFonts w:ascii="Calibri" w:hAnsi="Calibri" w:cs="Calibri"/>
          <w:color w:val="auto"/>
          <w:sz w:val="22"/>
          <w:lang w:val="en-US"/>
        </w:rPr>
        <w:t xml:space="preserve"> </w:t>
      </w:r>
    </w:p>
    <w:p w14:paraId="5E44186E" w14:textId="68E89563" w:rsidR="007312F7" w:rsidRDefault="007312F7" w:rsidP="009F73BE">
      <w:pPr>
        <w:pStyle w:val="ListParagraph"/>
        <w:numPr>
          <w:ilvl w:val="0"/>
          <w:numId w:val="113"/>
        </w:numPr>
        <w:jc w:val="both"/>
        <w:rPr>
          <w:rFonts w:ascii="Calibri" w:hAnsi="Calibri" w:cs="Calibri"/>
          <w:color w:val="auto"/>
          <w:sz w:val="22"/>
          <w:lang w:val="en-US"/>
        </w:rPr>
      </w:pPr>
      <w:r>
        <w:rPr>
          <w:rFonts w:ascii="Calibri" w:hAnsi="Calibri" w:cs="Calibri"/>
          <w:b/>
          <w:bCs/>
          <w:color w:val="auto"/>
          <w:sz w:val="22"/>
          <w:lang w:val="en-US"/>
        </w:rPr>
        <w:t xml:space="preserve">Application </w:t>
      </w:r>
      <w:r w:rsidR="000C1141">
        <w:rPr>
          <w:rFonts w:ascii="Calibri" w:hAnsi="Calibri" w:cs="Calibri"/>
          <w:b/>
          <w:bCs/>
          <w:color w:val="auto"/>
          <w:sz w:val="22"/>
          <w:lang w:val="en-US"/>
        </w:rPr>
        <w:t>Review</w:t>
      </w:r>
      <w:r>
        <w:rPr>
          <w:rFonts w:ascii="Calibri" w:hAnsi="Calibri" w:cs="Calibri"/>
          <w:color w:val="auto"/>
          <w:sz w:val="22"/>
          <w:lang w:val="en-US"/>
        </w:rPr>
        <w:t>: It will be a 2-stage review process –</w:t>
      </w:r>
    </w:p>
    <w:p w14:paraId="01B36F15" w14:textId="67A4DE59" w:rsidR="007312F7" w:rsidRDefault="007312F7" w:rsidP="009F73BE">
      <w:pPr>
        <w:pStyle w:val="ListParagraph"/>
        <w:numPr>
          <w:ilvl w:val="1"/>
          <w:numId w:val="113"/>
        </w:numPr>
        <w:jc w:val="both"/>
        <w:rPr>
          <w:rFonts w:ascii="Calibri" w:hAnsi="Calibri" w:cs="Calibri"/>
          <w:color w:val="auto"/>
          <w:sz w:val="22"/>
          <w:lang w:val="en-US"/>
        </w:rPr>
      </w:pPr>
      <w:r>
        <w:rPr>
          <w:rFonts w:ascii="Calibri" w:hAnsi="Calibri" w:cs="Calibri"/>
          <w:b/>
          <w:bCs/>
          <w:color w:val="auto"/>
          <w:sz w:val="22"/>
          <w:lang w:val="en-US"/>
        </w:rPr>
        <w:t>1</w:t>
      </w:r>
      <w:r w:rsidRPr="007312F7">
        <w:rPr>
          <w:rFonts w:ascii="Calibri" w:hAnsi="Calibri" w:cs="Calibri"/>
          <w:b/>
          <w:bCs/>
          <w:color w:val="auto"/>
          <w:sz w:val="22"/>
          <w:vertAlign w:val="superscript"/>
          <w:lang w:val="en-US"/>
        </w:rPr>
        <w:t>st</w:t>
      </w:r>
      <w:r>
        <w:rPr>
          <w:rFonts w:ascii="Calibri" w:hAnsi="Calibri" w:cs="Calibri"/>
          <w:b/>
          <w:bCs/>
          <w:color w:val="auto"/>
          <w:sz w:val="22"/>
          <w:lang w:val="en-US"/>
        </w:rPr>
        <w:t xml:space="preserve"> stage</w:t>
      </w:r>
      <w:r>
        <w:rPr>
          <w:rFonts w:ascii="Calibri" w:hAnsi="Calibri" w:cs="Calibri"/>
          <w:color w:val="auto"/>
          <w:sz w:val="22"/>
          <w:lang w:val="en-US"/>
        </w:rPr>
        <w:t xml:space="preserve">: </w:t>
      </w:r>
      <w:r w:rsidRPr="002A3056">
        <w:rPr>
          <w:rFonts w:ascii="Calibri" w:hAnsi="Calibri" w:cs="Calibri"/>
          <w:color w:val="auto"/>
          <w:sz w:val="22"/>
          <w:u w:val="single"/>
          <w:lang w:val="en-US"/>
        </w:rPr>
        <w:t>Review by CPF Board</w:t>
      </w:r>
      <w:r w:rsidR="001D73FC">
        <w:rPr>
          <w:rFonts w:ascii="Calibri" w:hAnsi="Calibri" w:cs="Calibri"/>
          <w:color w:val="auto"/>
          <w:sz w:val="22"/>
          <w:lang w:val="en-US"/>
        </w:rPr>
        <w:t xml:space="preserve"> against the admission criteria</w:t>
      </w:r>
      <w:r w:rsidR="002A3056">
        <w:rPr>
          <w:rFonts w:ascii="Calibri" w:hAnsi="Calibri" w:cs="Calibri"/>
          <w:color w:val="auto"/>
          <w:sz w:val="22"/>
          <w:lang w:val="en-US"/>
        </w:rPr>
        <w:t>.</w:t>
      </w:r>
    </w:p>
    <w:p w14:paraId="6B9D041B" w14:textId="33D6ABD1" w:rsidR="007312F7" w:rsidRPr="008F76AA" w:rsidRDefault="001D73FC" w:rsidP="009F73BE">
      <w:pPr>
        <w:pStyle w:val="ListParagraph"/>
        <w:numPr>
          <w:ilvl w:val="1"/>
          <w:numId w:val="113"/>
        </w:numPr>
        <w:jc w:val="both"/>
        <w:rPr>
          <w:rFonts w:ascii="Calibri" w:hAnsi="Calibri" w:cs="Calibri"/>
          <w:color w:val="auto"/>
          <w:sz w:val="22"/>
          <w:lang w:val="en-US"/>
        </w:rPr>
      </w:pPr>
      <w:r>
        <w:rPr>
          <w:rFonts w:ascii="Calibri" w:hAnsi="Calibri" w:cs="Calibri"/>
          <w:b/>
          <w:bCs/>
          <w:color w:val="auto"/>
          <w:sz w:val="22"/>
          <w:lang w:val="en-US"/>
        </w:rPr>
        <w:t>2</w:t>
      </w:r>
      <w:r w:rsidRPr="001D73FC">
        <w:rPr>
          <w:rFonts w:ascii="Calibri" w:hAnsi="Calibri" w:cs="Calibri"/>
          <w:b/>
          <w:bCs/>
          <w:color w:val="auto"/>
          <w:sz w:val="22"/>
          <w:vertAlign w:val="superscript"/>
          <w:lang w:val="en-US"/>
        </w:rPr>
        <w:t>nd</w:t>
      </w:r>
      <w:r>
        <w:rPr>
          <w:rFonts w:ascii="Calibri" w:hAnsi="Calibri" w:cs="Calibri"/>
          <w:b/>
          <w:bCs/>
          <w:color w:val="auto"/>
          <w:sz w:val="22"/>
          <w:lang w:val="en-US"/>
        </w:rPr>
        <w:t xml:space="preserve"> stage</w:t>
      </w:r>
      <w:r w:rsidRPr="001D73FC">
        <w:rPr>
          <w:rFonts w:ascii="Calibri" w:hAnsi="Calibri" w:cs="Calibri"/>
          <w:color w:val="auto"/>
          <w:sz w:val="22"/>
          <w:lang w:val="en-US"/>
        </w:rPr>
        <w:t xml:space="preserve">: </w:t>
      </w:r>
      <w:r w:rsidRPr="002A3056">
        <w:rPr>
          <w:rFonts w:ascii="Calibri" w:hAnsi="Calibri" w:cs="Calibri"/>
          <w:color w:val="auto"/>
          <w:sz w:val="22"/>
          <w:u w:val="single"/>
          <w:lang w:val="en-US"/>
        </w:rPr>
        <w:t xml:space="preserve">Review by </w:t>
      </w:r>
      <w:r w:rsidR="008539D5" w:rsidRPr="002A3056">
        <w:rPr>
          <w:rFonts w:ascii="Calibri" w:hAnsi="Calibri" w:cs="Calibri"/>
          <w:color w:val="auto"/>
          <w:sz w:val="22"/>
          <w:u w:val="single"/>
          <w:lang w:val="en-US"/>
        </w:rPr>
        <w:t xml:space="preserve">external </w:t>
      </w:r>
      <w:r w:rsidRPr="002A3056">
        <w:rPr>
          <w:rFonts w:ascii="Calibri" w:hAnsi="Calibri" w:cs="Calibri"/>
          <w:color w:val="auto"/>
          <w:sz w:val="22"/>
          <w:u w:val="single"/>
          <w:lang w:val="en-US"/>
        </w:rPr>
        <w:t>investment consultant</w:t>
      </w:r>
      <w:r>
        <w:rPr>
          <w:rFonts w:ascii="Calibri" w:hAnsi="Calibri" w:cs="Calibri"/>
          <w:color w:val="auto"/>
          <w:sz w:val="22"/>
          <w:lang w:val="en-US"/>
        </w:rPr>
        <w:t xml:space="preserve"> appointed by CPF Board</w:t>
      </w:r>
      <w:r w:rsidR="008539D5">
        <w:rPr>
          <w:rFonts w:ascii="Calibri" w:hAnsi="Calibri" w:cs="Calibri"/>
          <w:color w:val="auto"/>
          <w:sz w:val="22"/>
          <w:lang w:val="en-US"/>
        </w:rPr>
        <w:t xml:space="preserve">, who would </w:t>
      </w:r>
      <w:r w:rsidR="008539D5" w:rsidRPr="002A3056">
        <w:rPr>
          <w:rFonts w:ascii="Calibri" w:hAnsi="Calibri" w:cs="Calibri"/>
          <w:color w:val="auto"/>
          <w:sz w:val="22"/>
          <w:u w:val="single"/>
          <w:lang w:val="en-US"/>
        </w:rPr>
        <w:t xml:space="preserve">conduct due diligence on applicant’s track record, </w:t>
      </w:r>
      <w:r w:rsidR="002A3056" w:rsidRPr="002A3056">
        <w:rPr>
          <w:rFonts w:ascii="Calibri" w:hAnsi="Calibri" w:cs="Calibri"/>
          <w:color w:val="auto"/>
          <w:sz w:val="22"/>
          <w:u w:val="single"/>
          <w:lang w:val="en-US"/>
        </w:rPr>
        <w:t xml:space="preserve">quality of </w:t>
      </w:r>
      <w:r w:rsidR="008539D5" w:rsidRPr="002A3056">
        <w:rPr>
          <w:rFonts w:ascii="Calibri" w:hAnsi="Calibri" w:cs="Calibri"/>
          <w:color w:val="auto"/>
          <w:sz w:val="22"/>
          <w:u w:val="single"/>
          <w:lang w:val="en-US"/>
        </w:rPr>
        <w:t>investment</w:t>
      </w:r>
      <w:r w:rsidR="002A3056" w:rsidRPr="002A3056">
        <w:rPr>
          <w:rFonts w:ascii="Calibri" w:hAnsi="Calibri" w:cs="Calibri"/>
          <w:color w:val="auto"/>
          <w:sz w:val="22"/>
          <w:u w:val="single"/>
          <w:lang w:val="en-US"/>
        </w:rPr>
        <w:t xml:space="preserve"> management (e.g., stability of fund management team, corporate culture, talent retention)</w:t>
      </w:r>
      <w:r w:rsidR="002A3056">
        <w:rPr>
          <w:rFonts w:ascii="Calibri" w:hAnsi="Calibri" w:cs="Calibri"/>
          <w:color w:val="auto"/>
          <w:sz w:val="22"/>
          <w:lang w:val="en-US"/>
        </w:rPr>
        <w:t xml:space="preserve">. </w:t>
      </w:r>
      <w:r w:rsidR="008539D5">
        <w:rPr>
          <w:rFonts w:ascii="Calibri" w:hAnsi="Calibri" w:cs="Calibri"/>
          <w:color w:val="auto"/>
          <w:sz w:val="22"/>
          <w:lang w:val="en-US"/>
        </w:rPr>
        <w:t xml:space="preserve"> </w:t>
      </w:r>
    </w:p>
    <w:p w14:paraId="48488EAE" w14:textId="07970E5F" w:rsidR="00CC0F0D" w:rsidRDefault="00CC0F0D" w:rsidP="009F73BE">
      <w:pPr>
        <w:pStyle w:val="Heading3"/>
        <w:numPr>
          <w:ilvl w:val="0"/>
          <w:numId w:val="110"/>
        </w:numPr>
        <w:jc w:val="both"/>
        <w:rPr>
          <w:rFonts w:ascii="Calibri" w:hAnsi="Calibri" w:cs="Calibri"/>
          <w:color w:val="auto"/>
          <w:lang w:val="en-US"/>
        </w:rPr>
      </w:pPr>
      <w:r>
        <w:rPr>
          <w:rFonts w:ascii="Calibri" w:hAnsi="Calibri" w:cs="Calibri"/>
          <w:color w:val="auto"/>
          <w:lang w:val="en-US"/>
        </w:rPr>
        <w:t>Fund</w:t>
      </w:r>
      <w:r w:rsidR="00FE6C92">
        <w:rPr>
          <w:rFonts w:ascii="Calibri" w:hAnsi="Calibri" w:cs="Calibri"/>
          <w:color w:val="auto"/>
          <w:lang w:val="en-US"/>
        </w:rPr>
        <w:t xml:space="preserve"> Requirements to be</w:t>
      </w:r>
      <w:r>
        <w:rPr>
          <w:rFonts w:ascii="Calibri" w:hAnsi="Calibri" w:cs="Calibri"/>
          <w:color w:val="auto"/>
          <w:lang w:val="en-US"/>
        </w:rPr>
        <w:t xml:space="preserve"> included in CPFIS</w:t>
      </w:r>
    </w:p>
    <w:p w14:paraId="50B83629" w14:textId="4B90D6EF" w:rsidR="000C1141" w:rsidRDefault="000C1141" w:rsidP="009F73BE">
      <w:pPr>
        <w:pStyle w:val="ListParagraph"/>
        <w:numPr>
          <w:ilvl w:val="0"/>
          <w:numId w:val="114"/>
        </w:numPr>
        <w:jc w:val="both"/>
        <w:rPr>
          <w:rFonts w:ascii="Calibri" w:hAnsi="Calibri" w:cs="Calibri"/>
          <w:color w:val="auto"/>
          <w:sz w:val="22"/>
          <w:lang w:val="en-US"/>
        </w:rPr>
      </w:pPr>
      <w:r>
        <w:rPr>
          <w:rFonts w:ascii="Calibri" w:hAnsi="Calibri" w:cs="Calibri"/>
          <w:b/>
          <w:bCs/>
          <w:color w:val="auto"/>
          <w:sz w:val="22"/>
          <w:lang w:val="en-US"/>
        </w:rPr>
        <w:t>General Criteria</w:t>
      </w:r>
      <w:r>
        <w:rPr>
          <w:rFonts w:ascii="Calibri" w:hAnsi="Calibri" w:cs="Calibri"/>
          <w:color w:val="auto"/>
          <w:sz w:val="22"/>
          <w:lang w:val="en-US"/>
        </w:rPr>
        <w:t>:</w:t>
      </w:r>
    </w:p>
    <w:p w14:paraId="55EFCE3C" w14:textId="6525CB20" w:rsidR="004A4F96" w:rsidRPr="004A4F96" w:rsidRDefault="004A4F96" w:rsidP="000C1141">
      <w:pPr>
        <w:pStyle w:val="ListParagraph"/>
        <w:numPr>
          <w:ilvl w:val="1"/>
          <w:numId w:val="114"/>
        </w:numPr>
        <w:jc w:val="both"/>
        <w:rPr>
          <w:rFonts w:ascii="Calibri" w:hAnsi="Calibri" w:cs="Calibri"/>
          <w:b/>
          <w:bCs/>
          <w:color w:val="auto"/>
          <w:sz w:val="22"/>
          <w:lang w:val="en-US"/>
        </w:rPr>
      </w:pPr>
      <w:r w:rsidRPr="004A4F96">
        <w:rPr>
          <w:rFonts w:ascii="Calibri" w:hAnsi="Calibri" w:cs="Calibri"/>
          <w:b/>
          <w:bCs/>
          <w:color w:val="auto"/>
          <w:sz w:val="22"/>
          <w:lang w:val="en-US"/>
        </w:rPr>
        <w:t>Active Funds</w:t>
      </w:r>
      <w:r w:rsidRPr="004A4F96">
        <w:rPr>
          <w:rFonts w:ascii="Calibri" w:hAnsi="Calibri" w:cs="Calibri"/>
          <w:color w:val="auto"/>
          <w:sz w:val="22"/>
          <w:lang w:val="en-US"/>
        </w:rPr>
        <w:t>:</w:t>
      </w:r>
    </w:p>
    <w:p w14:paraId="248373E0" w14:textId="6351D89C" w:rsidR="000C1141" w:rsidRDefault="009E2477" w:rsidP="004A4F96">
      <w:pPr>
        <w:pStyle w:val="ListParagraph"/>
        <w:numPr>
          <w:ilvl w:val="2"/>
          <w:numId w:val="114"/>
        </w:numPr>
        <w:jc w:val="both"/>
        <w:rPr>
          <w:rFonts w:ascii="Calibri" w:hAnsi="Calibri" w:cs="Calibri"/>
          <w:color w:val="auto"/>
          <w:sz w:val="22"/>
          <w:lang w:val="en-US"/>
        </w:rPr>
      </w:pPr>
      <w:r w:rsidRPr="009E2477">
        <w:rPr>
          <w:rFonts w:ascii="Calibri" w:hAnsi="Calibri" w:cs="Calibri"/>
          <w:color w:val="auto"/>
          <w:sz w:val="22"/>
          <w:lang w:val="en-US"/>
        </w:rPr>
        <w:t xml:space="preserve">Be in the </w:t>
      </w:r>
      <w:r w:rsidRPr="00BB4213">
        <w:rPr>
          <w:rFonts w:ascii="Calibri" w:hAnsi="Calibri" w:cs="Calibri"/>
          <w:color w:val="auto"/>
          <w:sz w:val="22"/>
          <w:u w:val="single"/>
          <w:lang w:val="en-US"/>
        </w:rPr>
        <w:t>top 25</w:t>
      </w:r>
      <w:r w:rsidRPr="00BB4213">
        <w:rPr>
          <w:rFonts w:ascii="Calibri" w:hAnsi="Calibri" w:cs="Calibri"/>
          <w:color w:val="auto"/>
          <w:sz w:val="22"/>
          <w:u w:val="single"/>
          <w:vertAlign w:val="superscript"/>
          <w:lang w:val="en-US"/>
        </w:rPr>
        <w:t>th</w:t>
      </w:r>
      <w:r w:rsidRPr="00BB4213">
        <w:rPr>
          <w:rFonts w:ascii="Calibri" w:hAnsi="Calibri" w:cs="Calibri"/>
          <w:color w:val="auto"/>
          <w:sz w:val="22"/>
          <w:u w:val="single"/>
          <w:lang w:val="en-US"/>
        </w:rPr>
        <w:t xml:space="preserve"> percentile in global peer group</w:t>
      </w:r>
      <w:r>
        <w:rPr>
          <w:rFonts w:ascii="Calibri" w:hAnsi="Calibri" w:cs="Calibri"/>
          <w:color w:val="auto"/>
          <w:sz w:val="22"/>
          <w:lang w:val="en-US"/>
        </w:rPr>
        <w:t xml:space="preserve"> based on similar asset class / strategy</w:t>
      </w:r>
    </w:p>
    <w:p w14:paraId="0589E1EB" w14:textId="3014DBB5" w:rsidR="009E2477" w:rsidRDefault="00BB4213" w:rsidP="004A4F96">
      <w:pPr>
        <w:pStyle w:val="ListParagraph"/>
        <w:numPr>
          <w:ilvl w:val="2"/>
          <w:numId w:val="114"/>
        </w:numPr>
        <w:jc w:val="both"/>
        <w:rPr>
          <w:rFonts w:ascii="Calibri" w:hAnsi="Calibri" w:cs="Calibri"/>
          <w:color w:val="auto"/>
          <w:sz w:val="22"/>
          <w:lang w:val="en-US"/>
        </w:rPr>
      </w:pPr>
      <w:r>
        <w:rPr>
          <w:rFonts w:ascii="Calibri" w:hAnsi="Calibri" w:cs="Calibri"/>
          <w:color w:val="auto"/>
          <w:sz w:val="22"/>
          <w:lang w:val="en-US"/>
        </w:rPr>
        <w:t xml:space="preserve">Have a </w:t>
      </w:r>
      <w:r w:rsidRPr="00BB4213">
        <w:rPr>
          <w:rFonts w:ascii="Calibri" w:hAnsi="Calibri" w:cs="Calibri"/>
          <w:color w:val="auto"/>
          <w:sz w:val="22"/>
          <w:u w:val="single"/>
          <w:lang w:val="en-US"/>
        </w:rPr>
        <w:t>Total Expense Ratio not exceeding the cap</w:t>
      </w:r>
      <w:r>
        <w:rPr>
          <w:rFonts w:ascii="Calibri" w:hAnsi="Calibri" w:cs="Calibri"/>
          <w:color w:val="auto"/>
          <w:sz w:val="22"/>
          <w:lang w:val="en-US"/>
        </w:rPr>
        <w:t xml:space="preserve"> in its risk category</w:t>
      </w:r>
    </w:p>
    <w:p w14:paraId="735D7000" w14:textId="16046186" w:rsidR="00BB4213" w:rsidRDefault="0023273F" w:rsidP="004A4F96">
      <w:pPr>
        <w:pStyle w:val="ListParagraph"/>
        <w:numPr>
          <w:ilvl w:val="2"/>
          <w:numId w:val="114"/>
        </w:numPr>
        <w:jc w:val="both"/>
        <w:rPr>
          <w:rFonts w:ascii="Calibri" w:hAnsi="Calibri" w:cs="Calibri"/>
          <w:color w:val="auto"/>
          <w:sz w:val="22"/>
          <w:lang w:val="en-US"/>
        </w:rPr>
      </w:pPr>
      <w:r>
        <w:rPr>
          <w:rFonts w:ascii="Calibri" w:hAnsi="Calibri" w:cs="Calibri"/>
          <w:color w:val="auto"/>
          <w:sz w:val="22"/>
          <w:lang w:val="en-US"/>
        </w:rPr>
        <w:t xml:space="preserve">Have </w:t>
      </w:r>
      <w:r w:rsidRPr="0023273F">
        <w:rPr>
          <w:rFonts w:ascii="Calibri" w:hAnsi="Calibri" w:cs="Calibri"/>
          <w:color w:val="auto"/>
          <w:sz w:val="22"/>
          <w:u w:val="single"/>
          <w:lang w:val="en-US"/>
        </w:rPr>
        <w:t>0% sales charges</w:t>
      </w:r>
    </w:p>
    <w:p w14:paraId="38B875B2" w14:textId="1C64363C" w:rsidR="0023273F" w:rsidRDefault="0023273F" w:rsidP="004A4F96">
      <w:pPr>
        <w:pStyle w:val="ListParagraph"/>
        <w:numPr>
          <w:ilvl w:val="2"/>
          <w:numId w:val="114"/>
        </w:numPr>
        <w:jc w:val="both"/>
        <w:rPr>
          <w:rFonts w:ascii="Calibri" w:hAnsi="Calibri" w:cs="Calibri"/>
          <w:color w:val="auto"/>
          <w:sz w:val="22"/>
          <w:u w:val="single"/>
          <w:lang w:val="en-US"/>
        </w:rPr>
      </w:pPr>
      <w:r w:rsidRPr="0023273F">
        <w:rPr>
          <w:rFonts w:ascii="Calibri" w:hAnsi="Calibri" w:cs="Calibri"/>
          <w:color w:val="auto"/>
          <w:sz w:val="22"/>
          <w:u w:val="single"/>
          <w:lang w:val="en-US"/>
        </w:rPr>
        <w:t>Fund has a track record of at least 3 years</w:t>
      </w:r>
    </w:p>
    <w:p w14:paraId="2BA70140" w14:textId="74823217" w:rsidR="0023273F" w:rsidRPr="00B11E98" w:rsidRDefault="00B11E98" w:rsidP="0023273F">
      <w:pPr>
        <w:pStyle w:val="ListParagraph"/>
        <w:numPr>
          <w:ilvl w:val="1"/>
          <w:numId w:val="114"/>
        </w:numPr>
        <w:jc w:val="both"/>
        <w:rPr>
          <w:rFonts w:ascii="Calibri" w:hAnsi="Calibri" w:cs="Calibri"/>
          <w:color w:val="auto"/>
          <w:sz w:val="22"/>
          <w:u w:val="single"/>
          <w:lang w:val="en-US"/>
        </w:rPr>
      </w:pPr>
      <w:r>
        <w:rPr>
          <w:rFonts w:ascii="Calibri" w:hAnsi="Calibri" w:cs="Calibri"/>
          <w:b/>
          <w:bCs/>
          <w:color w:val="auto"/>
          <w:sz w:val="22"/>
          <w:lang w:val="en-US"/>
        </w:rPr>
        <w:t>Passive Funds</w:t>
      </w:r>
      <w:r>
        <w:rPr>
          <w:rFonts w:ascii="Calibri" w:hAnsi="Calibri" w:cs="Calibri"/>
          <w:color w:val="auto"/>
          <w:sz w:val="22"/>
          <w:lang w:val="en-US"/>
        </w:rPr>
        <w:t>:</w:t>
      </w:r>
    </w:p>
    <w:p w14:paraId="17973073" w14:textId="7895EF08" w:rsidR="00B11E98" w:rsidRDefault="00F63C52" w:rsidP="00B11E98">
      <w:pPr>
        <w:pStyle w:val="ListParagraph"/>
        <w:numPr>
          <w:ilvl w:val="2"/>
          <w:numId w:val="114"/>
        </w:numPr>
        <w:jc w:val="both"/>
        <w:rPr>
          <w:rFonts w:ascii="Calibri" w:hAnsi="Calibri" w:cs="Calibri"/>
          <w:color w:val="auto"/>
          <w:sz w:val="22"/>
          <w:lang w:val="en-US"/>
        </w:rPr>
      </w:pPr>
      <w:r>
        <w:rPr>
          <w:rFonts w:ascii="Calibri" w:hAnsi="Calibri" w:cs="Calibri"/>
          <w:color w:val="auto"/>
          <w:sz w:val="22"/>
          <w:lang w:val="en-US"/>
        </w:rPr>
        <w:t xml:space="preserve">Good prospects of </w:t>
      </w:r>
      <w:r w:rsidRPr="00F63C52">
        <w:rPr>
          <w:rFonts w:ascii="Calibri" w:hAnsi="Calibri" w:cs="Calibri"/>
          <w:color w:val="auto"/>
          <w:sz w:val="22"/>
          <w:u w:val="single"/>
          <w:lang w:val="en-US"/>
        </w:rPr>
        <w:t>tracking index with low tracking error</w:t>
      </w:r>
    </w:p>
    <w:p w14:paraId="1E2A77FB" w14:textId="77777777" w:rsidR="00B11E98" w:rsidRDefault="00B11E98" w:rsidP="00B11E98">
      <w:pPr>
        <w:pStyle w:val="ListParagraph"/>
        <w:numPr>
          <w:ilvl w:val="2"/>
          <w:numId w:val="114"/>
        </w:numPr>
        <w:jc w:val="both"/>
        <w:rPr>
          <w:rFonts w:ascii="Calibri" w:hAnsi="Calibri" w:cs="Calibri"/>
          <w:color w:val="auto"/>
          <w:sz w:val="22"/>
          <w:lang w:val="en-US"/>
        </w:rPr>
      </w:pPr>
      <w:r>
        <w:rPr>
          <w:rFonts w:ascii="Calibri" w:hAnsi="Calibri" w:cs="Calibri"/>
          <w:color w:val="auto"/>
          <w:sz w:val="22"/>
          <w:lang w:val="en-US"/>
        </w:rPr>
        <w:t xml:space="preserve">Have a </w:t>
      </w:r>
      <w:r w:rsidRPr="00BB4213">
        <w:rPr>
          <w:rFonts w:ascii="Calibri" w:hAnsi="Calibri" w:cs="Calibri"/>
          <w:color w:val="auto"/>
          <w:sz w:val="22"/>
          <w:u w:val="single"/>
          <w:lang w:val="en-US"/>
        </w:rPr>
        <w:t>Total Expense Ratio not exceeding the cap</w:t>
      </w:r>
      <w:r>
        <w:rPr>
          <w:rFonts w:ascii="Calibri" w:hAnsi="Calibri" w:cs="Calibri"/>
          <w:color w:val="auto"/>
          <w:sz w:val="22"/>
          <w:lang w:val="en-US"/>
        </w:rPr>
        <w:t xml:space="preserve"> in its risk category</w:t>
      </w:r>
    </w:p>
    <w:p w14:paraId="5E49A79B" w14:textId="77777777" w:rsidR="00B11E98" w:rsidRPr="00D032C7" w:rsidRDefault="00B11E98" w:rsidP="00B11E98">
      <w:pPr>
        <w:pStyle w:val="ListParagraph"/>
        <w:numPr>
          <w:ilvl w:val="2"/>
          <w:numId w:val="114"/>
        </w:numPr>
        <w:jc w:val="both"/>
        <w:rPr>
          <w:rFonts w:ascii="Calibri" w:hAnsi="Calibri" w:cs="Calibri"/>
          <w:color w:val="auto"/>
          <w:sz w:val="22"/>
          <w:lang w:val="en-US"/>
        </w:rPr>
      </w:pPr>
      <w:r>
        <w:rPr>
          <w:rFonts w:ascii="Calibri" w:hAnsi="Calibri" w:cs="Calibri"/>
          <w:color w:val="auto"/>
          <w:sz w:val="22"/>
          <w:lang w:val="en-US"/>
        </w:rPr>
        <w:t xml:space="preserve">Have </w:t>
      </w:r>
      <w:r w:rsidRPr="0023273F">
        <w:rPr>
          <w:rFonts w:ascii="Calibri" w:hAnsi="Calibri" w:cs="Calibri"/>
          <w:color w:val="auto"/>
          <w:sz w:val="22"/>
          <w:u w:val="single"/>
          <w:lang w:val="en-US"/>
        </w:rPr>
        <w:t>0% sales charges</w:t>
      </w:r>
    </w:p>
    <w:p w14:paraId="07CC270F" w14:textId="05701240" w:rsidR="00D032C7" w:rsidRPr="00D032C7" w:rsidRDefault="00D032C7" w:rsidP="00B11E98">
      <w:pPr>
        <w:pStyle w:val="ListParagraph"/>
        <w:numPr>
          <w:ilvl w:val="2"/>
          <w:numId w:val="114"/>
        </w:numPr>
        <w:jc w:val="both"/>
        <w:rPr>
          <w:rFonts w:ascii="Calibri" w:hAnsi="Calibri" w:cs="Calibri"/>
          <w:color w:val="auto"/>
          <w:sz w:val="22"/>
          <w:lang w:val="en-US"/>
        </w:rPr>
      </w:pPr>
      <w:r>
        <w:rPr>
          <w:rFonts w:ascii="Calibri" w:hAnsi="Calibri" w:cs="Calibri"/>
          <w:color w:val="auto"/>
          <w:sz w:val="22"/>
          <w:u w:val="single"/>
          <w:lang w:val="en-US"/>
        </w:rPr>
        <w:t>Physical replication (full or partial)</w:t>
      </w:r>
    </w:p>
    <w:p w14:paraId="33D5DA9A" w14:textId="7E9D3E64" w:rsidR="00D032C7" w:rsidRDefault="00D032C7" w:rsidP="00B11E98">
      <w:pPr>
        <w:pStyle w:val="ListParagraph"/>
        <w:numPr>
          <w:ilvl w:val="2"/>
          <w:numId w:val="114"/>
        </w:numPr>
        <w:jc w:val="both"/>
        <w:rPr>
          <w:rFonts w:ascii="Calibri" w:hAnsi="Calibri" w:cs="Calibri"/>
          <w:color w:val="auto"/>
          <w:sz w:val="22"/>
          <w:lang w:val="en-US"/>
        </w:rPr>
      </w:pPr>
      <w:r>
        <w:rPr>
          <w:rFonts w:ascii="Calibri" w:hAnsi="Calibri" w:cs="Calibri"/>
          <w:color w:val="auto"/>
          <w:sz w:val="22"/>
          <w:u w:val="single"/>
          <w:lang w:val="en-US"/>
        </w:rPr>
        <w:t>ETF listed on SGX</w:t>
      </w:r>
    </w:p>
    <w:p w14:paraId="46E05A7E" w14:textId="0263A22A" w:rsidR="00B11E98" w:rsidRDefault="00B11E98" w:rsidP="00B11E98">
      <w:pPr>
        <w:pStyle w:val="ListParagraph"/>
        <w:numPr>
          <w:ilvl w:val="2"/>
          <w:numId w:val="114"/>
        </w:numPr>
        <w:jc w:val="both"/>
        <w:rPr>
          <w:rFonts w:ascii="Calibri" w:hAnsi="Calibri" w:cs="Calibri"/>
          <w:color w:val="auto"/>
          <w:sz w:val="22"/>
          <w:u w:val="single"/>
          <w:lang w:val="en-US"/>
        </w:rPr>
      </w:pPr>
      <w:r w:rsidRPr="0023273F">
        <w:rPr>
          <w:rFonts w:ascii="Calibri" w:hAnsi="Calibri" w:cs="Calibri"/>
          <w:color w:val="auto"/>
          <w:sz w:val="22"/>
          <w:u w:val="single"/>
          <w:lang w:val="en-US"/>
        </w:rPr>
        <w:t>Fund has a track record of at least 3 years</w:t>
      </w:r>
    </w:p>
    <w:p w14:paraId="5EF7E141" w14:textId="62DDF065" w:rsidR="00D032C7" w:rsidRPr="000E47E8" w:rsidRDefault="000E47E8" w:rsidP="00D032C7">
      <w:pPr>
        <w:pStyle w:val="ListParagraph"/>
        <w:numPr>
          <w:ilvl w:val="1"/>
          <w:numId w:val="114"/>
        </w:numPr>
        <w:jc w:val="both"/>
        <w:rPr>
          <w:rFonts w:ascii="Calibri" w:hAnsi="Calibri" w:cs="Calibri"/>
          <w:color w:val="auto"/>
          <w:sz w:val="22"/>
          <w:u w:val="single"/>
          <w:lang w:val="en-US"/>
        </w:rPr>
      </w:pPr>
      <w:r>
        <w:rPr>
          <w:rFonts w:ascii="Calibri" w:hAnsi="Calibri" w:cs="Calibri"/>
          <w:b/>
          <w:bCs/>
          <w:color w:val="auto"/>
          <w:sz w:val="22"/>
          <w:lang w:val="en-US"/>
        </w:rPr>
        <w:t>Property Funds</w:t>
      </w:r>
      <w:r>
        <w:rPr>
          <w:rFonts w:ascii="Calibri" w:hAnsi="Calibri" w:cs="Calibri"/>
          <w:color w:val="auto"/>
          <w:sz w:val="22"/>
          <w:lang w:val="en-US"/>
        </w:rPr>
        <w:t>:</w:t>
      </w:r>
    </w:p>
    <w:p w14:paraId="6D95ADDC" w14:textId="4BA0B7D3" w:rsidR="000E47E8" w:rsidRPr="00B55C96" w:rsidRDefault="00B924F1" w:rsidP="000E47E8">
      <w:pPr>
        <w:pStyle w:val="ListParagraph"/>
        <w:numPr>
          <w:ilvl w:val="2"/>
          <w:numId w:val="114"/>
        </w:numPr>
        <w:jc w:val="both"/>
        <w:rPr>
          <w:rFonts w:ascii="Calibri" w:hAnsi="Calibri" w:cs="Calibri"/>
          <w:color w:val="auto"/>
          <w:sz w:val="22"/>
          <w:u w:val="single"/>
          <w:lang w:val="en-US"/>
        </w:rPr>
      </w:pPr>
      <w:r w:rsidRPr="00B55C96">
        <w:rPr>
          <w:rFonts w:ascii="Calibri" w:hAnsi="Calibri" w:cs="Calibri"/>
          <w:color w:val="auto"/>
          <w:sz w:val="22"/>
          <w:u w:val="single"/>
          <w:lang w:val="en-US"/>
        </w:rPr>
        <w:t xml:space="preserve">Listed property funds that invest directly into </w:t>
      </w:r>
      <w:r w:rsidR="00425858" w:rsidRPr="00B55C96">
        <w:rPr>
          <w:rFonts w:ascii="Calibri" w:hAnsi="Calibri" w:cs="Calibri"/>
          <w:color w:val="auto"/>
          <w:sz w:val="22"/>
          <w:u w:val="single"/>
          <w:lang w:val="en-US"/>
        </w:rPr>
        <w:t>real estate</w:t>
      </w:r>
      <w:r w:rsidRPr="00B55C96">
        <w:rPr>
          <w:rFonts w:ascii="Calibri" w:hAnsi="Calibri" w:cs="Calibri"/>
          <w:color w:val="auto"/>
          <w:sz w:val="22"/>
          <w:u w:val="single"/>
          <w:lang w:val="en-US"/>
        </w:rPr>
        <w:t xml:space="preserve"> or properties need not comply with CPF</w:t>
      </w:r>
      <w:r w:rsidR="00F902ED">
        <w:rPr>
          <w:rFonts w:ascii="Calibri" w:hAnsi="Calibri" w:cs="Calibri"/>
          <w:color w:val="auto"/>
          <w:sz w:val="22"/>
          <w:u w:val="single"/>
          <w:lang w:val="en-US"/>
        </w:rPr>
        <w:t xml:space="preserve"> Investment Guidelines (CPF</w:t>
      </w:r>
      <w:r w:rsidRPr="00B55C96">
        <w:rPr>
          <w:rFonts w:ascii="Calibri" w:hAnsi="Calibri" w:cs="Calibri"/>
          <w:color w:val="auto"/>
          <w:sz w:val="22"/>
          <w:u w:val="single"/>
          <w:lang w:val="en-US"/>
        </w:rPr>
        <w:t>IG</w:t>
      </w:r>
      <w:r w:rsidR="00F902ED">
        <w:rPr>
          <w:rFonts w:ascii="Calibri" w:hAnsi="Calibri" w:cs="Calibri"/>
          <w:color w:val="auto"/>
          <w:sz w:val="22"/>
          <w:u w:val="single"/>
          <w:lang w:val="en-US"/>
        </w:rPr>
        <w:t>)</w:t>
      </w:r>
      <w:r w:rsidR="00425858">
        <w:rPr>
          <w:rFonts w:ascii="Calibri" w:hAnsi="Calibri" w:cs="Calibri"/>
          <w:color w:val="auto"/>
          <w:sz w:val="22"/>
          <w:lang w:val="en-US"/>
        </w:rPr>
        <w:t>. However, CPF member is only allowed to invest 35% of investible savings</w:t>
      </w:r>
      <w:r w:rsidR="00B55C96">
        <w:rPr>
          <w:rFonts w:ascii="Calibri" w:hAnsi="Calibri" w:cs="Calibri"/>
          <w:color w:val="auto"/>
          <w:sz w:val="22"/>
          <w:lang w:val="en-US"/>
        </w:rPr>
        <w:t xml:space="preserve">. Property funds enrolled under CPFIS-OA must be </w:t>
      </w:r>
    </w:p>
    <w:p w14:paraId="232608E9" w14:textId="429DC08B" w:rsidR="00B55C96" w:rsidRDefault="0008013C" w:rsidP="00B55C96">
      <w:pPr>
        <w:pStyle w:val="ListParagraph"/>
        <w:numPr>
          <w:ilvl w:val="3"/>
          <w:numId w:val="114"/>
        </w:numPr>
        <w:jc w:val="both"/>
        <w:rPr>
          <w:rFonts w:ascii="Calibri" w:hAnsi="Calibri" w:cs="Calibri"/>
          <w:color w:val="auto"/>
          <w:sz w:val="22"/>
          <w:u w:val="single"/>
          <w:lang w:val="en-US"/>
        </w:rPr>
      </w:pPr>
      <w:r>
        <w:rPr>
          <w:rFonts w:ascii="Calibri" w:hAnsi="Calibri" w:cs="Calibri"/>
          <w:color w:val="auto"/>
          <w:sz w:val="22"/>
          <w:u w:val="single"/>
          <w:lang w:val="en-US"/>
        </w:rPr>
        <w:t>Offered by a company incorporated in SG</w:t>
      </w:r>
    </w:p>
    <w:p w14:paraId="7A35F161" w14:textId="017C9324" w:rsidR="0008013C" w:rsidRDefault="0008013C" w:rsidP="00B55C96">
      <w:pPr>
        <w:pStyle w:val="ListParagraph"/>
        <w:numPr>
          <w:ilvl w:val="3"/>
          <w:numId w:val="114"/>
        </w:numPr>
        <w:jc w:val="both"/>
        <w:rPr>
          <w:rFonts w:ascii="Calibri" w:hAnsi="Calibri" w:cs="Calibri"/>
          <w:color w:val="auto"/>
          <w:sz w:val="22"/>
          <w:u w:val="single"/>
          <w:lang w:val="en-US"/>
        </w:rPr>
      </w:pPr>
      <w:r>
        <w:rPr>
          <w:rFonts w:ascii="Calibri" w:hAnsi="Calibri" w:cs="Calibri"/>
          <w:color w:val="auto"/>
          <w:sz w:val="22"/>
          <w:u w:val="single"/>
          <w:lang w:val="en-US"/>
        </w:rPr>
        <w:t>Denominated in SGD</w:t>
      </w:r>
    </w:p>
    <w:p w14:paraId="723929A2" w14:textId="66317E22" w:rsidR="0008013C" w:rsidRPr="000E47E8" w:rsidRDefault="0008013C" w:rsidP="00B55C96">
      <w:pPr>
        <w:pStyle w:val="ListParagraph"/>
        <w:numPr>
          <w:ilvl w:val="3"/>
          <w:numId w:val="114"/>
        </w:numPr>
        <w:jc w:val="both"/>
        <w:rPr>
          <w:rFonts w:ascii="Calibri" w:hAnsi="Calibri" w:cs="Calibri"/>
          <w:color w:val="auto"/>
          <w:sz w:val="22"/>
          <w:u w:val="single"/>
          <w:lang w:val="en-US"/>
        </w:rPr>
      </w:pPr>
      <w:r>
        <w:rPr>
          <w:rFonts w:ascii="Calibri" w:hAnsi="Calibri" w:cs="Calibri"/>
          <w:color w:val="auto"/>
          <w:sz w:val="22"/>
          <w:u w:val="single"/>
          <w:lang w:val="en-US"/>
        </w:rPr>
        <w:t>Listed on SGX Mainboard</w:t>
      </w:r>
    </w:p>
    <w:p w14:paraId="26087060" w14:textId="09D02458" w:rsidR="000E47E8" w:rsidRPr="000E47E8" w:rsidRDefault="000E47E8" w:rsidP="00D032C7">
      <w:pPr>
        <w:pStyle w:val="ListParagraph"/>
        <w:numPr>
          <w:ilvl w:val="1"/>
          <w:numId w:val="114"/>
        </w:numPr>
        <w:jc w:val="both"/>
        <w:rPr>
          <w:rFonts w:ascii="Calibri" w:hAnsi="Calibri" w:cs="Calibri"/>
          <w:color w:val="auto"/>
          <w:sz w:val="22"/>
          <w:u w:val="single"/>
          <w:lang w:val="en-US"/>
        </w:rPr>
      </w:pPr>
      <w:r>
        <w:rPr>
          <w:rFonts w:ascii="Calibri" w:hAnsi="Calibri" w:cs="Calibri"/>
          <w:b/>
          <w:bCs/>
          <w:color w:val="auto"/>
          <w:sz w:val="22"/>
          <w:lang w:val="en-US"/>
        </w:rPr>
        <w:t>ETFs</w:t>
      </w:r>
      <w:r>
        <w:rPr>
          <w:rFonts w:ascii="Calibri" w:hAnsi="Calibri" w:cs="Calibri"/>
          <w:color w:val="auto"/>
          <w:sz w:val="22"/>
          <w:lang w:val="en-US"/>
        </w:rPr>
        <w:t xml:space="preserve">: </w:t>
      </w:r>
      <w:r w:rsidRPr="0008013C">
        <w:rPr>
          <w:rFonts w:ascii="Calibri" w:hAnsi="Calibri" w:cs="Calibri"/>
          <w:color w:val="auto"/>
          <w:sz w:val="22"/>
          <w:u w:val="single"/>
          <w:lang w:val="en-US"/>
        </w:rPr>
        <w:t>Listed on SGX Mainboard</w:t>
      </w:r>
      <w:r>
        <w:rPr>
          <w:rFonts w:ascii="Calibri" w:hAnsi="Calibri" w:cs="Calibri"/>
          <w:color w:val="auto"/>
          <w:sz w:val="22"/>
          <w:lang w:val="en-US"/>
        </w:rPr>
        <w:t xml:space="preserve"> (i.e., not </w:t>
      </w:r>
      <w:proofErr w:type="spellStart"/>
      <w:r>
        <w:rPr>
          <w:rFonts w:ascii="Calibri" w:hAnsi="Calibri" w:cs="Calibri"/>
          <w:color w:val="auto"/>
          <w:sz w:val="22"/>
          <w:lang w:val="en-US"/>
        </w:rPr>
        <w:t>Catalist</w:t>
      </w:r>
      <w:proofErr w:type="spellEnd"/>
      <w:r>
        <w:rPr>
          <w:rFonts w:ascii="Calibri" w:hAnsi="Calibri" w:cs="Calibri"/>
          <w:color w:val="auto"/>
          <w:sz w:val="22"/>
          <w:lang w:val="en-US"/>
        </w:rPr>
        <w:t>).</w:t>
      </w:r>
    </w:p>
    <w:p w14:paraId="33A10B55" w14:textId="00537941" w:rsidR="000E47E8" w:rsidRPr="0045754E" w:rsidRDefault="000E47E8" w:rsidP="00D032C7">
      <w:pPr>
        <w:pStyle w:val="ListParagraph"/>
        <w:numPr>
          <w:ilvl w:val="1"/>
          <w:numId w:val="114"/>
        </w:numPr>
        <w:jc w:val="both"/>
        <w:rPr>
          <w:rFonts w:ascii="Calibri" w:hAnsi="Calibri" w:cs="Calibri"/>
          <w:color w:val="auto"/>
          <w:sz w:val="22"/>
          <w:u w:val="single"/>
          <w:lang w:val="en-US"/>
        </w:rPr>
      </w:pPr>
      <w:r>
        <w:rPr>
          <w:rFonts w:ascii="Calibri" w:hAnsi="Calibri" w:cs="Calibri"/>
          <w:b/>
          <w:bCs/>
          <w:color w:val="auto"/>
          <w:sz w:val="22"/>
          <w:lang w:val="en-US"/>
        </w:rPr>
        <w:t>Commodity Murabaha Funds</w:t>
      </w:r>
      <w:r>
        <w:rPr>
          <w:rFonts w:ascii="Calibri" w:hAnsi="Calibri" w:cs="Calibri"/>
          <w:color w:val="auto"/>
          <w:sz w:val="22"/>
          <w:lang w:val="en-US"/>
        </w:rPr>
        <w:t>:</w:t>
      </w:r>
      <w:r w:rsidR="0008013C">
        <w:rPr>
          <w:rFonts w:ascii="Calibri" w:hAnsi="Calibri" w:cs="Calibri"/>
          <w:color w:val="auto"/>
          <w:sz w:val="22"/>
          <w:lang w:val="en-US"/>
        </w:rPr>
        <w:t xml:space="preserve"> </w:t>
      </w:r>
      <w:r w:rsidR="00550EB6">
        <w:rPr>
          <w:rFonts w:ascii="Calibri" w:hAnsi="Calibri" w:cs="Calibri"/>
          <w:color w:val="auto"/>
          <w:sz w:val="22"/>
          <w:lang w:val="en-US"/>
        </w:rPr>
        <w:t>Does not need to seek approval from CPF Board</w:t>
      </w:r>
      <w:r w:rsidR="005B64E6">
        <w:rPr>
          <w:rFonts w:ascii="Calibri" w:hAnsi="Calibri" w:cs="Calibri"/>
          <w:color w:val="auto"/>
          <w:sz w:val="22"/>
          <w:lang w:val="en-US"/>
        </w:rPr>
        <w:t xml:space="preserve"> if </w:t>
      </w:r>
      <w:r w:rsidR="00683CBB">
        <w:rPr>
          <w:rFonts w:ascii="Calibri" w:hAnsi="Calibri" w:cs="Calibri"/>
          <w:color w:val="auto"/>
          <w:sz w:val="22"/>
          <w:lang w:val="en-US"/>
        </w:rPr>
        <w:t>(</w:t>
      </w:r>
      <w:proofErr w:type="spellStart"/>
      <w:r w:rsidR="00683CBB">
        <w:rPr>
          <w:rFonts w:ascii="Calibri" w:hAnsi="Calibri" w:cs="Calibri"/>
          <w:color w:val="auto"/>
          <w:sz w:val="22"/>
          <w:lang w:val="en-US"/>
        </w:rPr>
        <w:t>i</w:t>
      </w:r>
      <w:proofErr w:type="spellEnd"/>
      <w:r w:rsidR="00683CBB">
        <w:rPr>
          <w:rFonts w:ascii="Calibri" w:hAnsi="Calibri" w:cs="Calibri"/>
          <w:color w:val="auto"/>
          <w:sz w:val="22"/>
          <w:lang w:val="en-US"/>
        </w:rPr>
        <w:t xml:space="preserve">) </w:t>
      </w:r>
      <w:r w:rsidR="00D72B17">
        <w:rPr>
          <w:rFonts w:ascii="Calibri" w:hAnsi="Calibri" w:cs="Calibri"/>
          <w:color w:val="auto"/>
          <w:sz w:val="22"/>
          <w:lang w:val="en-US"/>
        </w:rPr>
        <w:t xml:space="preserve">the underlying is base metals that are traded on exchanges at spot prices, </w:t>
      </w:r>
      <w:r w:rsidR="00683CBB">
        <w:rPr>
          <w:rFonts w:ascii="Calibri" w:hAnsi="Calibri" w:cs="Calibri"/>
          <w:color w:val="auto"/>
          <w:sz w:val="22"/>
          <w:lang w:val="en-US"/>
        </w:rPr>
        <w:t xml:space="preserve">(ii) risk-return </w:t>
      </w:r>
      <w:r w:rsidR="00683CBB">
        <w:rPr>
          <w:rFonts w:ascii="Calibri" w:hAnsi="Calibri" w:cs="Calibri"/>
          <w:color w:val="auto"/>
          <w:sz w:val="22"/>
          <w:lang w:val="en-US"/>
        </w:rPr>
        <w:lastRenderedPageBreak/>
        <w:t>profile mirrors a deposit</w:t>
      </w:r>
      <w:r w:rsidR="00A2538B">
        <w:rPr>
          <w:rFonts w:ascii="Calibri" w:hAnsi="Calibri" w:cs="Calibri"/>
          <w:color w:val="auto"/>
          <w:sz w:val="22"/>
          <w:lang w:val="en-US"/>
        </w:rPr>
        <w:t xml:space="preserve">, (iii) FI has a </w:t>
      </w:r>
      <w:r w:rsidR="00845711">
        <w:rPr>
          <w:rFonts w:ascii="Calibri" w:hAnsi="Calibri" w:cs="Calibri"/>
          <w:color w:val="auto"/>
          <w:sz w:val="22"/>
          <w:lang w:val="en-US"/>
        </w:rPr>
        <w:t>financial strength rating of above C</w:t>
      </w:r>
      <w:r w:rsidR="0045754E">
        <w:rPr>
          <w:rFonts w:ascii="Calibri" w:hAnsi="Calibri" w:cs="Calibri"/>
          <w:color w:val="auto"/>
          <w:sz w:val="22"/>
          <w:lang w:val="en-US"/>
        </w:rPr>
        <w:t>, (iv) adequate disclosures on the structure and risks of the product.</w:t>
      </w:r>
    </w:p>
    <w:p w14:paraId="3C8C2997" w14:textId="50698BBF" w:rsidR="0045754E" w:rsidRPr="00B11E98" w:rsidRDefault="0045754E" w:rsidP="00D032C7">
      <w:pPr>
        <w:pStyle w:val="ListParagraph"/>
        <w:numPr>
          <w:ilvl w:val="1"/>
          <w:numId w:val="114"/>
        </w:numPr>
        <w:jc w:val="both"/>
        <w:rPr>
          <w:rFonts w:ascii="Calibri" w:hAnsi="Calibri" w:cs="Calibri"/>
          <w:color w:val="auto"/>
          <w:sz w:val="22"/>
          <w:u w:val="single"/>
          <w:lang w:val="en-US"/>
        </w:rPr>
      </w:pPr>
      <w:r>
        <w:rPr>
          <w:rFonts w:ascii="Calibri" w:hAnsi="Calibri" w:cs="Calibri"/>
          <w:b/>
          <w:bCs/>
          <w:color w:val="auto"/>
          <w:sz w:val="22"/>
          <w:lang w:val="en-US"/>
        </w:rPr>
        <w:t>FOFs and multi</w:t>
      </w:r>
      <w:r w:rsidRPr="004D662C">
        <w:rPr>
          <w:rFonts w:ascii="Calibri" w:hAnsi="Calibri" w:cs="Calibri"/>
          <w:b/>
          <w:bCs/>
          <w:color w:val="auto"/>
          <w:sz w:val="22"/>
          <w:lang w:val="en-US"/>
        </w:rPr>
        <w:t>-manager products</w:t>
      </w:r>
      <w:r w:rsidR="004D662C">
        <w:rPr>
          <w:rFonts w:ascii="Calibri" w:hAnsi="Calibri" w:cs="Calibri"/>
          <w:color w:val="auto"/>
          <w:sz w:val="22"/>
          <w:lang w:val="en-US"/>
        </w:rPr>
        <w:t>: Reviewed on a case-by-case basis.</w:t>
      </w:r>
    </w:p>
    <w:p w14:paraId="517598DD" w14:textId="4DACE494" w:rsidR="00BC7DFA" w:rsidRPr="00BC7DFA" w:rsidRDefault="00DF4694" w:rsidP="00A643DC">
      <w:pPr>
        <w:pStyle w:val="ListParagraph"/>
        <w:numPr>
          <w:ilvl w:val="0"/>
          <w:numId w:val="114"/>
        </w:numPr>
        <w:jc w:val="both"/>
        <w:rPr>
          <w:rFonts w:ascii="Calibri" w:hAnsi="Calibri" w:cs="Calibri"/>
          <w:color w:val="auto"/>
          <w:sz w:val="22"/>
          <w:lang w:val="en-US"/>
        </w:rPr>
      </w:pPr>
      <w:r w:rsidRPr="007A3574">
        <w:rPr>
          <w:rFonts w:ascii="Calibri" w:hAnsi="Calibri" w:cs="Calibri"/>
          <w:b/>
          <w:bCs/>
          <w:color w:val="auto"/>
          <w:sz w:val="22"/>
          <w:lang w:val="en-US"/>
        </w:rPr>
        <w:t xml:space="preserve">Unit </w:t>
      </w:r>
      <w:r w:rsidR="007A3574" w:rsidRPr="007A3574">
        <w:rPr>
          <w:rFonts w:ascii="Calibri" w:hAnsi="Calibri" w:cs="Calibri"/>
          <w:b/>
          <w:bCs/>
          <w:color w:val="auto"/>
          <w:sz w:val="22"/>
          <w:lang w:val="en-US"/>
        </w:rPr>
        <w:t>T</w:t>
      </w:r>
      <w:r w:rsidRPr="007A3574">
        <w:rPr>
          <w:rFonts w:ascii="Calibri" w:hAnsi="Calibri" w:cs="Calibri"/>
          <w:b/>
          <w:bCs/>
          <w:color w:val="auto"/>
          <w:sz w:val="22"/>
          <w:lang w:val="en-US"/>
        </w:rPr>
        <w:t>rusts</w:t>
      </w:r>
      <w:r w:rsidR="007A3574">
        <w:rPr>
          <w:rFonts w:ascii="Calibri" w:hAnsi="Calibri" w:cs="Calibri"/>
          <w:color w:val="auto"/>
          <w:sz w:val="22"/>
          <w:lang w:val="en-US"/>
        </w:rPr>
        <w:t>:</w:t>
      </w:r>
      <w:r>
        <w:rPr>
          <w:rFonts w:ascii="Calibri" w:hAnsi="Calibri" w:cs="Calibri"/>
          <w:color w:val="auto"/>
          <w:sz w:val="22"/>
          <w:lang w:val="en-US"/>
        </w:rPr>
        <w:t xml:space="preserve"> </w:t>
      </w:r>
      <w:r w:rsidR="007A3574" w:rsidRPr="00CA1C66">
        <w:rPr>
          <w:rFonts w:ascii="Calibri" w:hAnsi="Calibri" w:cs="Calibri"/>
          <w:color w:val="auto"/>
          <w:sz w:val="22"/>
          <w:u w:val="single"/>
          <w:lang w:val="en-US"/>
        </w:rPr>
        <w:t>A</w:t>
      </w:r>
      <w:r w:rsidRPr="00CA1C66">
        <w:rPr>
          <w:rFonts w:ascii="Calibri" w:hAnsi="Calibri" w:cs="Calibri"/>
          <w:color w:val="auto"/>
          <w:sz w:val="22"/>
          <w:u w:val="single"/>
          <w:lang w:val="en-US"/>
        </w:rPr>
        <w:t>re included in CPFIS under different categories of risk – Equity Risk and Concentration/Focus Risk</w:t>
      </w:r>
      <w:r w:rsidR="007A3574">
        <w:rPr>
          <w:rFonts w:ascii="Calibri" w:hAnsi="Calibri" w:cs="Calibri"/>
          <w:color w:val="auto"/>
          <w:sz w:val="22"/>
          <w:lang w:val="en-US"/>
        </w:rPr>
        <w:t xml:space="preserve">. These broad sub-groups allow </w:t>
      </w:r>
      <w:r w:rsidR="00CA1C66">
        <w:rPr>
          <w:rFonts w:ascii="Calibri" w:hAnsi="Calibri" w:cs="Calibri"/>
          <w:color w:val="auto"/>
          <w:sz w:val="22"/>
          <w:lang w:val="en-US"/>
        </w:rPr>
        <w:t>comparisons across unit trusts that are roughly similar in geographic focus.</w:t>
      </w:r>
      <w:r>
        <w:rPr>
          <w:rFonts w:ascii="Calibri" w:hAnsi="Calibri" w:cs="Calibri"/>
          <w:color w:val="auto"/>
          <w:sz w:val="22"/>
          <w:lang w:val="en-US"/>
        </w:rPr>
        <w:t xml:space="preserve"> </w:t>
      </w:r>
    </w:p>
    <w:p w14:paraId="1E12324C" w14:textId="4DBC85F8" w:rsidR="00830F5D" w:rsidRPr="00830F5D" w:rsidRDefault="00F138AE" w:rsidP="009F73BE">
      <w:pPr>
        <w:pStyle w:val="ListParagraph"/>
        <w:numPr>
          <w:ilvl w:val="0"/>
          <w:numId w:val="114"/>
        </w:numPr>
        <w:jc w:val="both"/>
        <w:rPr>
          <w:rFonts w:ascii="Calibri" w:hAnsi="Calibri" w:cs="Calibri"/>
          <w:color w:val="auto"/>
          <w:sz w:val="22"/>
          <w:lang w:val="en-US"/>
        </w:rPr>
      </w:pPr>
      <w:r>
        <w:rPr>
          <w:rFonts w:ascii="Calibri" w:hAnsi="Calibri" w:cs="Calibri"/>
          <w:b/>
          <w:bCs/>
          <w:color w:val="auto"/>
          <w:sz w:val="22"/>
          <w:lang w:val="en-US"/>
        </w:rPr>
        <w:t>Submission</w:t>
      </w:r>
      <w:r w:rsidR="00680895">
        <w:rPr>
          <w:rFonts w:ascii="Calibri" w:hAnsi="Calibri" w:cs="Calibri"/>
          <w:color w:val="auto"/>
          <w:sz w:val="22"/>
          <w:lang w:val="en-US"/>
        </w:rPr>
        <w:t xml:space="preserve">: </w:t>
      </w:r>
      <w:r w:rsidR="00736217">
        <w:rPr>
          <w:rFonts w:ascii="Calibri" w:hAnsi="Calibri" w:cs="Calibri"/>
          <w:color w:val="auto"/>
          <w:sz w:val="22"/>
          <w:lang w:val="en-US"/>
        </w:rPr>
        <w:t>For each fund that w</w:t>
      </w:r>
      <w:r w:rsidR="00BB4213">
        <w:rPr>
          <w:rFonts w:ascii="Calibri" w:hAnsi="Calibri" w:cs="Calibri"/>
          <w:color w:val="auto"/>
          <w:sz w:val="22"/>
          <w:lang w:val="en-US"/>
        </w:rPr>
        <w:t>ish</w:t>
      </w:r>
      <w:r w:rsidR="00CC496C">
        <w:rPr>
          <w:rFonts w:ascii="Calibri" w:hAnsi="Calibri" w:cs="Calibri"/>
          <w:color w:val="auto"/>
          <w:sz w:val="22"/>
          <w:lang w:val="en-US"/>
        </w:rPr>
        <w:t>es</w:t>
      </w:r>
      <w:r w:rsidR="00BB4213">
        <w:rPr>
          <w:rFonts w:ascii="Calibri" w:hAnsi="Calibri" w:cs="Calibri"/>
          <w:color w:val="auto"/>
          <w:sz w:val="22"/>
          <w:lang w:val="en-US"/>
        </w:rPr>
        <w:t xml:space="preserve"> to </w:t>
      </w:r>
      <w:r w:rsidR="00736217">
        <w:rPr>
          <w:rFonts w:ascii="Calibri" w:hAnsi="Calibri" w:cs="Calibri"/>
          <w:color w:val="auto"/>
          <w:sz w:val="22"/>
          <w:lang w:val="en-US"/>
        </w:rPr>
        <w:t xml:space="preserve">be included </w:t>
      </w:r>
      <w:r w:rsidR="00814B60">
        <w:rPr>
          <w:rFonts w:ascii="Calibri" w:hAnsi="Calibri" w:cs="Calibri"/>
          <w:color w:val="auto"/>
          <w:sz w:val="22"/>
          <w:lang w:val="en-US"/>
        </w:rPr>
        <w:t>into CPFIS</w:t>
      </w:r>
      <w:r w:rsidR="00736217">
        <w:rPr>
          <w:rFonts w:ascii="Calibri" w:hAnsi="Calibri" w:cs="Calibri"/>
          <w:color w:val="auto"/>
          <w:sz w:val="22"/>
          <w:lang w:val="en-US"/>
        </w:rPr>
        <w:t xml:space="preserve">, </w:t>
      </w:r>
      <w:r w:rsidR="00B72D51">
        <w:rPr>
          <w:rFonts w:ascii="Calibri" w:hAnsi="Calibri" w:cs="Calibri"/>
          <w:color w:val="auto"/>
          <w:sz w:val="22"/>
          <w:lang w:val="en-US"/>
        </w:rPr>
        <w:t>LFMC</w:t>
      </w:r>
      <w:r w:rsidR="00736217">
        <w:rPr>
          <w:rFonts w:ascii="Calibri" w:hAnsi="Calibri" w:cs="Calibri"/>
          <w:color w:val="auto"/>
          <w:sz w:val="22"/>
          <w:lang w:val="en-US"/>
        </w:rPr>
        <w:t xml:space="preserve"> is required to provide information</w:t>
      </w:r>
      <w:r w:rsidR="00814B60">
        <w:rPr>
          <w:rFonts w:ascii="Calibri" w:hAnsi="Calibri" w:cs="Calibri"/>
          <w:color w:val="auto"/>
          <w:sz w:val="22"/>
          <w:lang w:val="en-US"/>
        </w:rPr>
        <w:t xml:space="preserve"> o</w:t>
      </w:r>
      <w:r w:rsidR="00813692">
        <w:rPr>
          <w:rFonts w:ascii="Calibri" w:hAnsi="Calibri" w:cs="Calibri"/>
          <w:color w:val="auto"/>
          <w:sz w:val="22"/>
          <w:lang w:val="en-US"/>
        </w:rPr>
        <w:t xml:space="preserve">n the following, so the </w:t>
      </w:r>
      <w:r w:rsidR="00830F5D">
        <w:rPr>
          <w:rFonts w:ascii="Calibri" w:hAnsi="Calibri" w:cs="Calibri"/>
          <w:color w:val="auto"/>
          <w:sz w:val="22"/>
          <w:lang w:val="en-US"/>
        </w:rPr>
        <w:t>external investment consultant can evaluate whether the product can reasonably achieve out-performance against the benchmark –</w:t>
      </w:r>
    </w:p>
    <w:p w14:paraId="215EDCE4" w14:textId="319FE030" w:rsidR="00814B60" w:rsidRDefault="00814B60" w:rsidP="009F73BE">
      <w:pPr>
        <w:pStyle w:val="ListParagraph"/>
        <w:numPr>
          <w:ilvl w:val="1"/>
          <w:numId w:val="114"/>
        </w:numPr>
        <w:jc w:val="both"/>
        <w:rPr>
          <w:rFonts w:ascii="Calibri" w:hAnsi="Calibri" w:cs="Calibri"/>
          <w:color w:val="auto"/>
          <w:sz w:val="22"/>
          <w:lang w:val="en-US"/>
        </w:rPr>
      </w:pPr>
      <w:r w:rsidRPr="00814B60">
        <w:rPr>
          <w:rFonts w:ascii="Calibri" w:hAnsi="Calibri" w:cs="Calibri"/>
          <w:b/>
          <w:bCs/>
          <w:color w:val="auto"/>
          <w:sz w:val="22"/>
          <w:lang w:val="en-US"/>
        </w:rPr>
        <w:t>People Pillar</w:t>
      </w:r>
      <w:r>
        <w:rPr>
          <w:rFonts w:ascii="Calibri" w:hAnsi="Calibri" w:cs="Calibri"/>
          <w:color w:val="auto"/>
          <w:sz w:val="22"/>
          <w:lang w:val="en-US"/>
        </w:rPr>
        <w:t>:</w:t>
      </w:r>
      <w:r w:rsidR="00AD61D6">
        <w:rPr>
          <w:rFonts w:ascii="Calibri" w:hAnsi="Calibri" w:cs="Calibri"/>
          <w:color w:val="auto"/>
          <w:sz w:val="22"/>
          <w:lang w:val="en-US"/>
        </w:rPr>
        <w:t xml:space="preserve"> Quality of product investment team, e.g., individual</w:t>
      </w:r>
      <w:r w:rsidR="006F4F74">
        <w:rPr>
          <w:rFonts w:ascii="Calibri" w:hAnsi="Calibri" w:cs="Calibri"/>
          <w:color w:val="auto"/>
          <w:sz w:val="22"/>
          <w:lang w:val="en-US"/>
        </w:rPr>
        <w:t xml:space="preserve"> expertise</w:t>
      </w:r>
      <w:r w:rsidR="00AD61D6">
        <w:rPr>
          <w:rFonts w:ascii="Calibri" w:hAnsi="Calibri" w:cs="Calibri"/>
          <w:color w:val="auto"/>
          <w:sz w:val="22"/>
          <w:lang w:val="en-US"/>
        </w:rPr>
        <w:t>, resources</w:t>
      </w:r>
      <w:r w:rsidR="006F4F74">
        <w:rPr>
          <w:rFonts w:ascii="Calibri" w:hAnsi="Calibri" w:cs="Calibri"/>
          <w:color w:val="auto"/>
          <w:sz w:val="22"/>
          <w:lang w:val="en-US"/>
        </w:rPr>
        <w:t xml:space="preserve"> etc.</w:t>
      </w:r>
    </w:p>
    <w:p w14:paraId="4028E7CB" w14:textId="0D4F11EC" w:rsidR="00814B60" w:rsidRDefault="00814B60" w:rsidP="009F73BE">
      <w:pPr>
        <w:pStyle w:val="ListParagraph"/>
        <w:numPr>
          <w:ilvl w:val="1"/>
          <w:numId w:val="114"/>
        </w:numPr>
        <w:jc w:val="both"/>
        <w:rPr>
          <w:rFonts w:ascii="Calibri" w:hAnsi="Calibri" w:cs="Calibri"/>
          <w:color w:val="auto"/>
          <w:sz w:val="22"/>
          <w:lang w:val="en-US"/>
        </w:rPr>
      </w:pPr>
      <w:r>
        <w:rPr>
          <w:rFonts w:ascii="Calibri" w:hAnsi="Calibri" w:cs="Calibri"/>
          <w:b/>
          <w:bCs/>
          <w:color w:val="auto"/>
          <w:sz w:val="22"/>
          <w:lang w:val="en-US"/>
        </w:rPr>
        <w:t>Process Pillar</w:t>
      </w:r>
      <w:r>
        <w:rPr>
          <w:rFonts w:ascii="Calibri" w:hAnsi="Calibri" w:cs="Calibri"/>
          <w:color w:val="auto"/>
          <w:sz w:val="22"/>
          <w:lang w:val="en-US"/>
        </w:rPr>
        <w:t>:</w:t>
      </w:r>
      <w:r w:rsidR="006F4F74">
        <w:rPr>
          <w:rFonts w:ascii="Calibri" w:hAnsi="Calibri" w:cs="Calibri"/>
          <w:color w:val="auto"/>
          <w:sz w:val="22"/>
          <w:lang w:val="en-US"/>
        </w:rPr>
        <w:t xml:space="preserve"> Performance objective, investment process</w:t>
      </w:r>
    </w:p>
    <w:p w14:paraId="786106BF" w14:textId="31958C1C" w:rsidR="002856FE" w:rsidRPr="00B50718" w:rsidRDefault="00814B60" w:rsidP="00B50718">
      <w:pPr>
        <w:pStyle w:val="ListParagraph"/>
        <w:numPr>
          <w:ilvl w:val="1"/>
          <w:numId w:val="114"/>
        </w:numPr>
        <w:jc w:val="both"/>
        <w:rPr>
          <w:lang w:val="en-US"/>
        </w:rPr>
      </w:pPr>
      <w:r>
        <w:rPr>
          <w:rFonts w:ascii="Calibri" w:hAnsi="Calibri" w:cs="Calibri"/>
          <w:b/>
          <w:bCs/>
          <w:color w:val="auto"/>
          <w:sz w:val="22"/>
          <w:lang w:val="en-US"/>
        </w:rPr>
        <w:t>Parent Pillar</w:t>
      </w:r>
      <w:r>
        <w:rPr>
          <w:rFonts w:ascii="Calibri" w:hAnsi="Calibri" w:cs="Calibri"/>
          <w:color w:val="auto"/>
          <w:sz w:val="22"/>
          <w:lang w:val="en-US"/>
        </w:rPr>
        <w:t xml:space="preserve">: </w:t>
      </w:r>
      <w:r w:rsidR="00041F8D">
        <w:rPr>
          <w:rFonts w:ascii="Calibri" w:hAnsi="Calibri" w:cs="Calibri"/>
          <w:color w:val="auto"/>
          <w:sz w:val="22"/>
          <w:lang w:val="en-US"/>
        </w:rPr>
        <w:t>Support from parent</w:t>
      </w:r>
      <w:r w:rsidR="00AC5EC7">
        <w:rPr>
          <w:rFonts w:ascii="Calibri" w:hAnsi="Calibri" w:cs="Calibri"/>
          <w:color w:val="auto"/>
          <w:sz w:val="22"/>
          <w:lang w:val="en-US"/>
        </w:rPr>
        <w:t xml:space="preserve"> in areas of capacity management, risk management, talent recruitment/retention, corporate culture</w:t>
      </w:r>
      <w:r w:rsidR="00813692">
        <w:rPr>
          <w:rFonts w:ascii="Calibri" w:hAnsi="Calibri" w:cs="Calibri"/>
          <w:color w:val="auto"/>
          <w:sz w:val="22"/>
          <w:lang w:val="en-US"/>
        </w:rPr>
        <w:t xml:space="preserve"> of stewardship</w:t>
      </w:r>
      <w:r w:rsidR="00AC5EC7">
        <w:rPr>
          <w:rFonts w:ascii="Calibri" w:hAnsi="Calibri" w:cs="Calibri"/>
          <w:color w:val="auto"/>
          <w:sz w:val="22"/>
          <w:lang w:val="en-US"/>
        </w:rPr>
        <w:t xml:space="preserve"> etc. </w:t>
      </w:r>
      <w:r w:rsidR="00736217">
        <w:rPr>
          <w:rFonts w:ascii="Calibri" w:hAnsi="Calibri" w:cs="Calibri"/>
          <w:color w:val="auto"/>
          <w:sz w:val="22"/>
          <w:lang w:val="en-US"/>
        </w:rPr>
        <w:t xml:space="preserve"> </w:t>
      </w:r>
    </w:p>
    <w:p w14:paraId="2B23ED1F" w14:textId="49034293" w:rsidR="00680895" w:rsidRPr="00680895" w:rsidRDefault="00EA4283" w:rsidP="009F73BE">
      <w:pPr>
        <w:pStyle w:val="ListParagraph"/>
        <w:numPr>
          <w:ilvl w:val="0"/>
          <w:numId w:val="114"/>
        </w:numPr>
        <w:jc w:val="both"/>
        <w:rPr>
          <w:rFonts w:ascii="Calibri" w:hAnsi="Calibri" w:cs="Calibri"/>
          <w:b/>
          <w:bCs/>
          <w:color w:val="auto"/>
          <w:sz w:val="22"/>
          <w:lang w:val="en-US"/>
        </w:rPr>
      </w:pPr>
      <w:r>
        <w:rPr>
          <w:rFonts w:ascii="Calibri" w:hAnsi="Calibri" w:cs="Calibri"/>
          <w:b/>
          <w:bCs/>
          <w:color w:val="auto"/>
          <w:sz w:val="22"/>
          <w:lang w:val="en-US"/>
        </w:rPr>
        <w:t xml:space="preserve">Application </w:t>
      </w:r>
      <w:r w:rsidR="009D4734">
        <w:rPr>
          <w:rFonts w:ascii="Calibri" w:hAnsi="Calibri" w:cs="Calibri"/>
          <w:b/>
          <w:bCs/>
          <w:color w:val="auto"/>
          <w:sz w:val="22"/>
          <w:lang w:val="en-US"/>
        </w:rPr>
        <w:t>Process</w:t>
      </w:r>
      <w:r w:rsidR="00F334CF" w:rsidRPr="00F334CF">
        <w:rPr>
          <w:rFonts w:ascii="Calibri" w:hAnsi="Calibri" w:cs="Calibri"/>
          <w:color w:val="auto"/>
          <w:sz w:val="22"/>
          <w:lang w:val="en-US"/>
        </w:rPr>
        <w:t>:</w:t>
      </w:r>
    </w:p>
    <w:p w14:paraId="091CEE45" w14:textId="1F7BD3A9" w:rsidR="00830F5D" w:rsidRPr="00680895" w:rsidRDefault="00680895" w:rsidP="009F73BE">
      <w:pPr>
        <w:pStyle w:val="ListParagraph"/>
        <w:numPr>
          <w:ilvl w:val="1"/>
          <w:numId w:val="114"/>
        </w:numPr>
        <w:jc w:val="both"/>
        <w:rPr>
          <w:rFonts w:ascii="Calibri" w:hAnsi="Calibri" w:cs="Calibri"/>
          <w:b/>
          <w:bCs/>
          <w:color w:val="auto"/>
          <w:sz w:val="22"/>
          <w:lang w:val="en-US"/>
        </w:rPr>
      </w:pPr>
      <w:r w:rsidRPr="00680895">
        <w:rPr>
          <w:rFonts w:ascii="Calibri" w:hAnsi="Calibri" w:cs="Calibri"/>
          <w:b/>
          <w:bCs/>
          <w:color w:val="auto"/>
          <w:sz w:val="22"/>
          <w:lang w:val="en-US"/>
        </w:rPr>
        <w:t>Authorized CIS</w:t>
      </w:r>
      <w:r w:rsidR="00F334CF" w:rsidRPr="00F334CF">
        <w:rPr>
          <w:rFonts w:ascii="Calibri" w:hAnsi="Calibri" w:cs="Calibri"/>
          <w:color w:val="auto"/>
          <w:sz w:val="22"/>
          <w:lang w:val="en-US"/>
        </w:rPr>
        <w:t>:</w:t>
      </w:r>
    </w:p>
    <w:p w14:paraId="4353A620" w14:textId="5A2B9032" w:rsidR="0096126F" w:rsidRDefault="00656EA8" w:rsidP="009F73BE">
      <w:pPr>
        <w:pStyle w:val="ListParagraph"/>
        <w:numPr>
          <w:ilvl w:val="2"/>
          <w:numId w:val="114"/>
        </w:numPr>
        <w:jc w:val="both"/>
        <w:rPr>
          <w:rFonts w:ascii="Calibri" w:hAnsi="Calibri" w:cs="Calibri"/>
          <w:color w:val="auto"/>
          <w:sz w:val="22"/>
          <w:lang w:val="en-US"/>
        </w:rPr>
      </w:pPr>
      <w:r w:rsidRPr="00656EA8">
        <w:rPr>
          <w:rFonts w:ascii="Calibri" w:hAnsi="Calibri" w:cs="Calibri"/>
          <w:b/>
          <w:bCs/>
          <w:color w:val="auto"/>
          <w:sz w:val="22"/>
          <w:lang w:val="en-US"/>
        </w:rPr>
        <w:t>Fund is wholly managed in SG</w:t>
      </w:r>
      <w:r>
        <w:rPr>
          <w:rFonts w:ascii="Calibri" w:hAnsi="Calibri" w:cs="Calibri"/>
          <w:color w:val="auto"/>
          <w:sz w:val="22"/>
          <w:lang w:val="en-US"/>
        </w:rPr>
        <w:t xml:space="preserve">: </w:t>
      </w:r>
      <w:r w:rsidR="00B72D51">
        <w:rPr>
          <w:rFonts w:ascii="Calibri" w:hAnsi="Calibri" w:cs="Calibri"/>
          <w:color w:val="auto"/>
          <w:sz w:val="22"/>
          <w:lang w:val="en-US"/>
        </w:rPr>
        <w:t>LFMC</w:t>
      </w:r>
      <w:r>
        <w:rPr>
          <w:rFonts w:ascii="Calibri" w:hAnsi="Calibri" w:cs="Calibri"/>
          <w:color w:val="auto"/>
          <w:sz w:val="22"/>
          <w:lang w:val="en-US"/>
        </w:rPr>
        <w:t xml:space="preserve"> and its related companies must </w:t>
      </w:r>
      <w:r w:rsidRPr="001D73FC">
        <w:rPr>
          <w:rFonts w:ascii="Calibri" w:hAnsi="Calibri" w:cs="Calibri"/>
          <w:color w:val="auto"/>
          <w:sz w:val="22"/>
          <w:u w:val="single"/>
          <w:lang w:val="en-US"/>
        </w:rPr>
        <w:t>manage at least $500M discretionary funds in SG</w:t>
      </w:r>
      <w:r w:rsidR="00E91277">
        <w:rPr>
          <w:rFonts w:ascii="Calibri" w:hAnsi="Calibri" w:cs="Calibri"/>
          <w:color w:val="auto"/>
          <w:sz w:val="22"/>
          <w:lang w:val="en-US"/>
        </w:rPr>
        <w:t xml:space="preserve">. </w:t>
      </w:r>
    </w:p>
    <w:p w14:paraId="54DAFE50" w14:textId="7BAD7D0F" w:rsidR="009D7C70" w:rsidRDefault="009D7C70" w:rsidP="009F73BE">
      <w:pPr>
        <w:pStyle w:val="ListParagraph"/>
        <w:numPr>
          <w:ilvl w:val="2"/>
          <w:numId w:val="114"/>
        </w:numPr>
        <w:jc w:val="both"/>
        <w:rPr>
          <w:rFonts w:ascii="Calibri" w:hAnsi="Calibri" w:cs="Calibri"/>
          <w:color w:val="auto"/>
          <w:sz w:val="22"/>
          <w:lang w:val="en-US"/>
        </w:rPr>
      </w:pPr>
      <w:r>
        <w:rPr>
          <w:rFonts w:ascii="Calibri" w:hAnsi="Calibri" w:cs="Calibri"/>
          <w:b/>
          <w:bCs/>
          <w:color w:val="auto"/>
          <w:sz w:val="22"/>
          <w:lang w:val="en-US"/>
        </w:rPr>
        <w:t>Fund invests partially or fully in CIS not included in CPFIS</w:t>
      </w:r>
      <w:r w:rsidRPr="009D7C70">
        <w:rPr>
          <w:rFonts w:ascii="Calibri" w:hAnsi="Calibri" w:cs="Calibri"/>
          <w:color w:val="auto"/>
          <w:sz w:val="22"/>
          <w:lang w:val="en-US"/>
        </w:rPr>
        <w:t>:</w:t>
      </w:r>
      <w:r>
        <w:rPr>
          <w:rFonts w:ascii="Calibri" w:hAnsi="Calibri" w:cs="Calibri"/>
          <w:color w:val="auto"/>
          <w:sz w:val="22"/>
          <w:lang w:val="en-US"/>
        </w:rPr>
        <w:t xml:space="preserve"> </w:t>
      </w:r>
    </w:p>
    <w:p w14:paraId="04B211DF" w14:textId="5C471D0F" w:rsidR="00F92EC1" w:rsidRDefault="00B72D51"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LFMC</w:t>
      </w:r>
      <w:r w:rsidR="00F92EC1">
        <w:rPr>
          <w:rFonts w:ascii="Calibri" w:hAnsi="Calibri" w:cs="Calibri"/>
          <w:color w:val="auto"/>
          <w:sz w:val="22"/>
          <w:lang w:val="en-US"/>
        </w:rPr>
        <w:t xml:space="preserve"> and its related companies must </w:t>
      </w:r>
      <w:r w:rsidR="00F92EC1" w:rsidRPr="001D73FC">
        <w:rPr>
          <w:rFonts w:ascii="Calibri" w:hAnsi="Calibri" w:cs="Calibri"/>
          <w:color w:val="auto"/>
          <w:sz w:val="22"/>
          <w:u w:val="single"/>
          <w:lang w:val="en-US"/>
        </w:rPr>
        <w:t>manage at least $</w:t>
      </w:r>
      <w:r w:rsidR="00F92EC1">
        <w:rPr>
          <w:rFonts w:ascii="Calibri" w:hAnsi="Calibri" w:cs="Calibri"/>
          <w:color w:val="auto"/>
          <w:sz w:val="22"/>
          <w:u w:val="single"/>
          <w:lang w:val="en-US"/>
        </w:rPr>
        <w:t>1B</w:t>
      </w:r>
      <w:r w:rsidR="00F92EC1" w:rsidRPr="001D73FC">
        <w:rPr>
          <w:rFonts w:ascii="Calibri" w:hAnsi="Calibri" w:cs="Calibri"/>
          <w:color w:val="auto"/>
          <w:sz w:val="22"/>
          <w:u w:val="single"/>
          <w:lang w:val="en-US"/>
        </w:rPr>
        <w:t xml:space="preserve"> discretionary funds </w:t>
      </w:r>
      <w:r w:rsidR="00F92EC1">
        <w:rPr>
          <w:rFonts w:ascii="Calibri" w:hAnsi="Calibri" w:cs="Calibri"/>
          <w:color w:val="auto"/>
          <w:sz w:val="22"/>
          <w:u w:val="single"/>
          <w:lang w:val="en-US"/>
        </w:rPr>
        <w:t>globally</w:t>
      </w:r>
      <w:r w:rsidR="00F92EC1">
        <w:rPr>
          <w:rFonts w:ascii="Calibri" w:hAnsi="Calibri" w:cs="Calibri"/>
          <w:color w:val="auto"/>
          <w:sz w:val="22"/>
          <w:lang w:val="en-US"/>
        </w:rPr>
        <w:t>.</w:t>
      </w:r>
    </w:p>
    <w:p w14:paraId="15D2F70F" w14:textId="3B0E61E4" w:rsidR="00F92EC1" w:rsidRDefault="008A2CD6"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 xml:space="preserve">A list of </w:t>
      </w:r>
      <w:r w:rsidRPr="008A2CD6">
        <w:rPr>
          <w:rFonts w:ascii="Calibri" w:hAnsi="Calibri" w:cs="Calibri"/>
          <w:color w:val="auto"/>
          <w:sz w:val="22"/>
          <w:u w:val="single"/>
          <w:lang w:val="en-US"/>
        </w:rPr>
        <w:t>investments in the underlying CIS that deviates from CPFIG</w:t>
      </w:r>
      <w:r>
        <w:rPr>
          <w:rFonts w:ascii="Calibri" w:hAnsi="Calibri" w:cs="Calibri"/>
          <w:color w:val="auto"/>
          <w:sz w:val="22"/>
          <w:lang w:val="en-US"/>
        </w:rPr>
        <w:t xml:space="preserve">, and the proposed compliance </w:t>
      </w:r>
      <w:r w:rsidR="00E51E6A">
        <w:rPr>
          <w:rFonts w:ascii="Calibri" w:hAnsi="Calibri" w:cs="Calibri"/>
          <w:color w:val="auto"/>
          <w:sz w:val="22"/>
          <w:lang w:val="en-US"/>
        </w:rPr>
        <w:t xml:space="preserve">/ monitoring </w:t>
      </w:r>
      <w:r>
        <w:rPr>
          <w:rFonts w:ascii="Calibri" w:hAnsi="Calibri" w:cs="Calibri"/>
          <w:color w:val="auto"/>
          <w:sz w:val="22"/>
          <w:lang w:val="en-US"/>
        </w:rPr>
        <w:t xml:space="preserve">procedures to ensure at least </w:t>
      </w:r>
      <w:r w:rsidR="004A16EC">
        <w:rPr>
          <w:rFonts w:ascii="Calibri" w:hAnsi="Calibri" w:cs="Calibri"/>
          <w:color w:val="auto"/>
          <w:sz w:val="22"/>
          <w:lang w:val="en-US"/>
        </w:rPr>
        <w:t>95% NAV complies with CPFIG.</w:t>
      </w:r>
    </w:p>
    <w:p w14:paraId="46F24FB7" w14:textId="554BBCD0" w:rsidR="008A2CD6" w:rsidRDefault="007D4830"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Confirmation that manager does not retain any cash rebates.</w:t>
      </w:r>
    </w:p>
    <w:p w14:paraId="15C9E53B" w14:textId="021A251C" w:rsidR="00387345" w:rsidRDefault="00387345" w:rsidP="009F73BE">
      <w:pPr>
        <w:pStyle w:val="ListParagraph"/>
        <w:numPr>
          <w:ilvl w:val="2"/>
          <w:numId w:val="114"/>
        </w:numPr>
        <w:jc w:val="both"/>
        <w:rPr>
          <w:rFonts w:ascii="Calibri" w:hAnsi="Calibri" w:cs="Calibri"/>
          <w:color w:val="auto"/>
          <w:sz w:val="22"/>
          <w:lang w:val="en-US"/>
        </w:rPr>
      </w:pPr>
      <w:r w:rsidRPr="00387345">
        <w:rPr>
          <w:rFonts w:ascii="Calibri" w:hAnsi="Calibri" w:cs="Calibri"/>
          <w:b/>
          <w:bCs/>
          <w:color w:val="auto"/>
          <w:sz w:val="22"/>
          <w:lang w:val="en-US"/>
        </w:rPr>
        <w:t>Fund is partially or fully sub-managed in SG or abroad</w:t>
      </w:r>
      <w:r>
        <w:rPr>
          <w:rFonts w:ascii="Calibri" w:hAnsi="Calibri" w:cs="Calibri"/>
          <w:color w:val="auto"/>
          <w:sz w:val="22"/>
          <w:lang w:val="en-US"/>
        </w:rPr>
        <w:t>:</w:t>
      </w:r>
    </w:p>
    <w:p w14:paraId="204769B6" w14:textId="47828048" w:rsidR="000C7703" w:rsidRDefault="00B72D51"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LFMC</w:t>
      </w:r>
      <w:r w:rsidR="000C7703">
        <w:rPr>
          <w:rFonts w:ascii="Calibri" w:hAnsi="Calibri" w:cs="Calibri"/>
          <w:color w:val="auto"/>
          <w:sz w:val="22"/>
          <w:lang w:val="en-US"/>
        </w:rPr>
        <w:t xml:space="preserve"> and its related companies must </w:t>
      </w:r>
      <w:r w:rsidR="000C7703" w:rsidRPr="001D73FC">
        <w:rPr>
          <w:rFonts w:ascii="Calibri" w:hAnsi="Calibri" w:cs="Calibri"/>
          <w:color w:val="auto"/>
          <w:sz w:val="22"/>
          <w:u w:val="single"/>
          <w:lang w:val="en-US"/>
        </w:rPr>
        <w:t>manage at least $</w:t>
      </w:r>
      <w:r w:rsidR="000C7703">
        <w:rPr>
          <w:rFonts w:ascii="Calibri" w:hAnsi="Calibri" w:cs="Calibri"/>
          <w:color w:val="auto"/>
          <w:sz w:val="22"/>
          <w:u w:val="single"/>
          <w:lang w:val="en-US"/>
        </w:rPr>
        <w:t>1B</w:t>
      </w:r>
      <w:r w:rsidR="000C7703" w:rsidRPr="001D73FC">
        <w:rPr>
          <w:rFonts w:ascii="Calibri" w:hAnsi="Calibri" w:cs="Calibri"/>
          <w:color w:val="auto"/>
          <w:sz w:val="22"/>
          <w:u w:val="single"/>
          <w:lang w:val="en-US"/>
        </w:rPr>
        <w:t xml:space="preserve"> discretionary funds </w:t>
      </w:r>
      <w:r w:rsidR="000C7703">
        <w:rPr>
          <w:rFonts w:ascii="Calibri" w:hAnsi="Calibri" w:cs="Calibri"/>
          <w:color w:val="auto"/>
          <w:sz w:val="22"/>
          <w:u w:val="single"/>
          <w:lang w:val="en-US"/>
        </w:rPr>
        <w:t>globally</w:t>
      </w:r>
      <w:r w:rsidR="000C7703">
        <w:rPr>
          <w:rFonts w:ascii="Calibri" w:hAnsi="Calibri" w:cs="Calibri"/>
          <w:color w:val="auto"/>
          <w:sz w:val="22"/>
          <w:lang w:val="en-US"/>
        </w:rPr>
        <w:t>.</w:t>
      </w:r>
    </w:p>
    <w:p w14:paraId="3FB101A6" w14:textId="7E139EAD" w:rsidR="000C7703" w:rsidRPr="000C7703" w:rsidRDefault="000C7703"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 xml:space="preserve">A list of </w:t>
      </w:r>
      <w:r w:rsidRPr="008A2CD6">
        <w:rPr>
          <w:rFonts w:ascii="Calibri" w:hAnsi="Calibri" w:cs="Calibri"/>
          <w:color w:val="auto"/>
          <w:sz w:val="22"/>
          <w:u w:val="single"/>
          <w:lang w:val="en-US"/>
        </w:rPr>
        <w:t xml:space="preserve">investments in the underlying CIS that </w:t>
      </w:r>
      <w:r>
        <w:rPr>
          <w:rFonts w:ascii="Calibri" w:hAnsi="Calibri" w:cs="Calibri"/>
          <w:color w:val="auto"/>
          <w:sz w:val="22"/>
          <w:u w:val="single"/>
          <w:lang w:val="en-US"/>
        </w:rPr>
        <w:t>are sub-managed</w:t>
      </w:r>
      <w:r>
        <w:rPr>
          <w:rFonts w:ascii="Calibri" w:hAnsi="Calibri" w:cs="Calibri"/>
          <w:color w:val="auto"/>
          <w:sz w:val="22"/>
          <w:lang w:val="en-US"/>
        </w:rPr>
        <w:t>.</w:t>
      </w:r>
    </w:p>
    <w:p w14:paraId="6EAF2961" w14:textId="69CEDAE9" w:rsidR="000C7703" w:rsidRDefault="000C7703"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 xml:space="preserve">A list of </w:t>
      </w:r>
      <w:r w:rsidRPr="008A2CD6">
        <w:rPr>
          <w:rFonts w:ascii="Calibri" w:hAnsi="Calibri" w:cs="Calibri"/>
          <w:color w:val="auto"/>
          <w:sz w:val="22"/>
          <w:u w:val="single"/>
          <w:lang w:val="en-US"/>
        </w:rPr>
        <w:t>investments in the underlying CIS that deviates from CPFIG</w:t>
      </w:r>
      <w:r>
        <w:rPr>
          <w:rFonts w:ascii="Calibri" w:hAnsi="Calibri" w:cs="Calibri"/>
          <w:color w:val="auto"/>
          <w:sz w:val="22"/>
          <w:lang w:val="en-US"/>
        </w:rPr>
        <w:t>, and the proposed compliance / monitoring procedures to ensure at least 95% NAV complies with CPFIG.</w:t>
      </w:r>
    </w:p>
    <w:p w14:paraId="50D36C44" w14:textId="205A8EEA" w:rsidR="000C7703" w:rsidRDefault="000C7703"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 xml:space="preserve">Confirmation that </w:t>
      </w:r>
      <w:r w:rsidR="00086F92">
        <w:rPr>
          <w:rFonts w:ascii="Calibri" w:hAnsi="Calibri" w:cs="Calibri"/>
          <w:color w:val="auto"/>
          <w:sz w:val="22"/>
          <w:lang w:val="en-US"/>
        </w:rPr>
        <w:t>the foreign sub-</w:t>
      </w:r>
      <w:r>
        <w:rPr>
          <w:rFonts w:ascii="Calibri" w:hAnsi="Calibri" w:cs="Calibri"/>
          <w:color w:val="auto"/>
          <w:sz w:val="22"/>
          <w:lang w:val="en-US"/>
        </w:rPr>
        <w:t>manager does not retain any cash rebates.</w:t>
      </w:r>
    </w:p>
    <w:p w14:paraId="5E9524E8" w14:textId="2F65F8B7" w:rsidR="00086F92" w:rsidRDefault="00086F92" w:rsidP="009F73BE">
      <w:pPr>
        <w:pStyle w:val="ListParagraph"/>
        <w:numPr>
          <w:ilvl w:val="1"/>
          <w:numId w:val="114"/>
        </w:numPr>
        <w:jc w:val="both"/>
        <w:rPr>
          <w:rFonts w:ascii="Calibri" w:hAnsi="Calibri" w:cs="Calibri"/>
          <w:b/>
          <w:bCs/>
          <w:color w:val="auto"/>
          <w:sz w:val="22"/>
          <w:lang w:val="en-US"/>
        </w:rPr>
      </w:pPr>
      <w:r>
        <w:rPr>
          <w:rFonts w:ascii="Calibri" w:hAnsi="Calibri" w:cs="Calibri"/>
          <w:b/>
          <w:bCs/>
          <w:color w:val="auto"/>
          <w:sz w:val="22"/>
          <w:lang w:val="en-US"/>
        </w:rPr>
        <w:t xml:space="preserve">Recognized </w:t>
      </w:r>
      <w:r w:rsidRPr="00680895">
        <w:rPr>
          <w:rFonts w:ascii="Calibri" w:hAnsi="Calibri" w:cs="Calibri"/>
          <w:b/>
          <w:bCs/>
          <w:color w:val="auto"/>
          <w:sz w:val="22"/>
          <w:lang w:val="en-US"/>
        </w:rPr>
        <w:t>CIS</w:t>
      </w:r>
      <w:r w:rsidR="00F334CF" w:rsidRPr="00F334CF">
        <w:rPr>
          <w:rFonts w:ascii="Calibri" w:hAnsi="Calibri" w:cs="Calibri"/>
          <w:color w:val="auto"/>
          <w:sz w:val="22"/>
          <w:lang w:val="en-US"/>
        </w:rPr>
        <w:t>:</w:t>
      </w:r>
    </w:p>
    <w:p w14:paraId="6E585CAA" w14:textId="75F13CC7" w:rsidR="00632CC4" w:rsidRPr="00632CC4" w:rsidRDefault="00B72D51" w:rsidP="00632CC4">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LFMC</w:t>
      </w:r>
      <w:r w:rsidR="00632CC4">
        <w:rPr>
          <w:rFonts w:ascii="Calibri" w:hAnsi="Calibri" w:cs="Calibri"/>
          <w:color w:val="auto"/>
          <w:sz w:val="22"/>
          <w:lang w:val="en-US"/>
        </w:rPr>
        <w:t xml:space="preserve"> and its related companies must </w:t>
      </w:r>
      <w:r w:rsidR="00632CC4" w:rsidRPr="001D73FC">
        <w:rPr>
          <w:rFonts w:ascii="Calibri" w:hAnsi="Calibri" w:cs="Calibri"/>
          <w:color w:val="auto"/>
          <w:sz w:val="22"/>
          <w:u w:val="single"/>
          <w:lang w:val="en-US"/>
        </w:rPr>
        <w:t>manage at least $</w:t>
      </w:r>
      <w:r w:rsidR="00632CC4">
        <w:rPr>
          <w:rFonts w:ascii="Calibri" w:hAnsi="Calibri" w:cs="Calibri"/>
          <w:color w:val="auto"/>
          <w:sz w:val="22"/>
          <w:u w:val="single"/>
          <w:lang w:val="en-US"/>
        </w:rPr>
        <w:t>1B</w:t>
      </w:r>
      <w:r w:rsidR="00632CC4" w:rsidRPr="001D73FC">
        <w:rPr>
          <w:rFonts w:ascii="Calibri" w:hAnsi="Calibri" w:cs="Calibri"/>
          <w:color w:val="auto"/>
          <w:sz w:val="22"/>
          <w:u w:val="single"/>
          <w:lang w:val="en-US"/>
        </w:rPr>
        <w:t xml:space="preserve"> discretionary funds </w:t>
      </w:r>
      <w:r w:rsidR="00632CC4">
        <w:rPr>
          <w:rFonts w:ascii="Calibri" w:hAnsi="Calibri" w:cs="Calibri"/>
          <w:color w:val="auto"/>
          <w:sz w:val="22"/>
          <w:u w:val="single"/>
          <w:lang w:val="en-US"/>
        </w:rPr>
        <w:t>globally</w:t>
      </w:r>
      <w:r w:rsidR="00632CC4">
        <w:rPr>
          <w:rFonts w:ascii="Calibri" w:hAnsi="Calibri" w:cs="Calibri"/>
          <w:color w:val="auto"/>
          <w:sz w:val="22"/>
          <w:lang w:val="en-US"/>
        </w:rPr>
        <w:t>.</w:t>
      </w:r>
    </w:p>
    <w:p w14:paraId="00DD1BF7" w14:textId="3D011A3D" w:rsidR="00F138AE" w:rsidRDefault="00F138AE"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 xml:space="preserve">A list of </w:t>
      </w:r>
      <w:r w:rsidRPr="008A2CD6">
        <w:rPr>
          <w:rFonts w:ascii="Calibri" w:hAnsi="Calibri" w:cs="Calibri"/>
          <w:color w:val="auto"/>
          <w:sz w:val="22"/>
          <w:u w:val="single"/>
          <w:lang w:val="en-US"/>
        </w:rPr>
        <w:t xml:space="preserve">investments in the </w:t>
      </w:r>
      <w:r w:rsidR="00C06A5A">
        <w:rPr>
          <w:rFonts w:ascii="Calibri" w:hAnsi="Calibri" w:cs="Calibri"/>
          <w:color w:val="auto"/>
          <w:sz w:val="22"/>
          <w:u w:val="single"/>
          <w:lang w:val="en-US"/>
        </w:rPr>
        <w:t>recognized</w:t>
      </w:r>
      <w:r w:rsidRPr="008A2CD6">
        <w:rPr>
          <w:rFonts w:ascii="Calibri" w:hAnsi="Calibri" w:cs="Calibri"/>
          <w:color w:val="auto"/>
          <w:sz w:val="22"/>
          <w:u w:val="single"/>
          <w:lang w:val="en-US"/>
        </w:rPr>
        <w:t xml:space="preserve"> CIS that deviates from CPFIG</w:t>
      </w:r>
      <w:r>
        <w:rPr>
          <w:rFonts w:ascii="Calibri" w:hAnsi="Calibri" w:cs="Calibri"/>
          <w:color w:val="auto"/>
          <w:sz w:val="22"/>
          <w:lang w:val="en-US"/>
        </w:rPr>
        <w:t>, and the proposed compliance / monitoring procedures to ensure at least 95% NAV complies with CPFIG.</w:t>
      </w:r>
    </w:p>
    <w:p w14:paraId="3D8691D2" w14:textId="6E1EBDF8" w:rsidR="00F138AE" w:rsidRDefault="00F138AE" w:rsidP="009F73BE">
      <w:pPr>
        <w:pStyle w:val="ListParagraph"/>
        <w:numPr>
          <w:ilvl w:val="3"/>
          <w:numId w:val="114"/>
        </w:numPr>
        <w:jc w:val="both"/>
        <w:rPr>
          <w:rFonts w:ascii="Calibri" w:hAnsi="Calibri" w:cs="Calibri"/>
          <w:color w:val="auto"/>
          <w:sz w:val="22"/>
          <w:lang w:val="en-US"/>
        </w:rPr>
      </w:pPr>
      <w:r>
        <w:rPr>
          <w:rFonts w:ascii="Calibri" w:hAnsi="Calibri" w:cs="Calibri"/>
          <w:color w:val="auto"/>
          <w:sz w:val="22"/>
          <w:lang w:val="en-US"/>
        </w:rPr>
        <w:t>Confirmation that the manager does not retain any cash rebates.</w:t>
      </w:r>
    </w:p>
    <w:p w14:paraId="3F36934E" w14:textId="33162349" w:rsidR="00830F5D" w:rsidRDefault="00830F5D" w:rsidP="00B50718">
      <w:pPr>
        <w:pStyle w:val="ListParagraph"/>
        <w:ind w:left="360"/>
        <w:jc w:val="both"/>
        <w:rPr>
          <w:lang w:val="en-US"/>
        </w:rPr>
      </w:pPr>
    </w:p>
    <w:p w14:paraId="10DA7E89" w14:textId="34C82DFF" w:rsidR="00DC6F3D" w:rsidRDefault="009137B5" w:rsidP="009F73BE">
      <w:pPr>
        <w:pStyle w:val="Heading3"/>
        <w:numPr>
          <w:ilvl w:val="0"/>
          <w:numId w:val="110"/>
        </w:numPr>
        <w:jc w:val="both"/>
        <w:rPr>
          <w:rFonts w:ascii="Calibri" w:hAnsi="Calibri" w:cs="Calibri"/>
          <w:color w:val="auto"/>
          <w:lang w:val="en-US"/>
        </w:rPr>
      </w:pPr>
      <w:r>
        <w:rPr>
          <w:rFonts w:ascii="Calibri" w:hAnsi="Calibri" w:cs="Calibri"/>
          <w:color w:val="auto"/>
          <w:lang w:val="en-US"/>
        </w:rPr>
        <w:lastRenderedPageBreak/>
        <w:t xml:space="preserve">Compliance </w:t>
      </w:r>
      <w:r w:rsidR="00BB4863">
        <w:rPr>
          <w:rFonts w:ascii="Calibri" w:hAnsi="Calibri" w:cs="Calibri"/>
          <w:color w:val="auto"/>
          <w:lang w:val="en-US"/>
        </w:rPr>
        <w:t>&amp;</w:t>
      </w:r>
      <w:r>
        <w:rPr>
          <w:rFonts w:ascii="Calibri" w:hAnsi="Calibri" w:cs="Calibri"/>
          <w:color w:val="auto"/>
          <w:lang w:val="en-US"/>
        </w:rPr>
        <w:t xml:space="preserve"> Disclosure </w:t>
      </w:r>
      <w:r w:rsidR="00DC6F3D">
        <w:rPr>
          <w:rFonts w:ascii="Calibri" w:hAnsi="Calibri" w:cs="Calibri"/>
          <w:color w:val="auto"/>
          <w:lang w:val="en-US"/>
        </w:rPr>
        <w:t xml:space="preserve">Requirements </w:t>
      </w:r>
      <w:r>
        <w:rPr>
          <w:rFonts w:ascii="Calibri" w:hAnsi="Calibri" w:cs="Calibri"/>
          <w:color w:val="auto"/>
          <w:lang w:val="en-US"/>
        </w:rPr>
        <w:t xml:space="preserve">under </w:t>
      </w:r>
      <w:r w:rsidR="00DC6F3D">
        <w:rPr>
          <w:rFonts w:ascii="Calibri" w:hAnsi="Calibri" w:cs="Calibri"/>
          <w:color w:val="auto"/>
          <w:lang w:val="en-US"/>
        </w:rPr>
        <w:t>CPFIS</w:t>
      </w:r>
    </w:p>
    <w:p w14:paraId="288D3315" w14:textId="16A9734B" w:rsidR="00A26D45" w:rsidRPr="00A26D45" w:rsidRDefault="00A26D45" w:rsidP="003530EE">
      <w:pPr>
        <w:pStyle w:val="ListParagraph"/>
        <w:numPr>
          <w:ilvl w:val="0"/>
          <w:numId w:val="115"/>
        </w:numPr>
        <w:jc w:val="both"/>
        <w:rPr>
          <w:rFonts w:ascii="Calibri" w:hAnsi="Calibri" w:cs="Calibri"/>
          <w:b/>
          <w:bCs/>
          <w:color w:val="auto"/>
          <w:sz w:val="22"/>
          <w:lang w:val="en-US"/>
        </w:rPr>
      </w:pPr>
      <w:r w:rsidRPr="00A26D45">
        <w:rPr>
          <w:rFonts w:ascii="Calibri" w:hAnsi="Calibri" w:cs="Calibri"/>
          <w:b/>
          <w:bCs/>
          <w:color w:val="auto"/>
          <w:sz w:val="22"/>
          <w:lang w:val="en-US"/>
        </w:rPr>
        <w:t xml:space="preserve">Compliance </w:t>
      </w:r>
      <w:r>
        <w:rPr>
          <w:rFonts w:ascii="Calibri" w:hAnsi="Calibri" w:cs="Calibri"/>
          <w:b/>
          <w:bCs/>
          <w:color w:val="auto"/>
          <w:sz w:val="22"/>
          <w:lang w:val="en-US"/>
        </w:rPr>
        <w:t>M</w:t>
      </w:r>
      <w:r w:rsidRPr="00A26D45">
        <w:rPr>
          <w:rFonts w:ascii="Calibri" w:hAnsi="Calibri" w:cs="Calibri"/>
          <w:b/>
          <w:bCs/>
          <w:color w:val="auto"/>
          <w:sz w:val="22"/>
          <w:lang w:val="en-US"/>
        </w:rPr>
        <w:t>atters</w:t>
      </w:r>
      <w:r w:rsidRPr="00A26D45">
        <w:rPr>
          <w:rFonts w:ascii="Calibri" w:hAnsi="Calibri" w:cs="Calibri"/>
          <w:color w:val="auto"/>
          <w:sz w:val="22"/>
          <w:lang w:val="en-US"/>
        </w:rPr>
        <w:t>:</w:t>
      </w:r>
    </w:p>
    <w:p w14:paraId="7B644303" w14:textId="35E4E0B4" w:rsidR="00E72E0F" w:rsidRDefault="00E72E0F" w:rsidP="003530EE">
      <w:pPr>
        <w:pStyle w:val="ListParagraph"/>
        <w:numPr>
          <w:ilvl w:val="1"/>
          <w:numId w:val="115"/>
        </w:numPr>
        <w:jc w:val="both"/>
        <w:rPr>
          <w:rFonts w:ascii="Calibri" w:hAnsi="Calibri" w:cs="Calibri"/>
          <w:color w:val="auto"/>
          <w:sz w:val="22"/>
          <w:lang w:val="en-US"/>
        </w:rPr>
      </w:pPr>
      <w:r w:rsidRPr="00E72E0F">
        <w:rPr>
          <w:rFonts w:ascii="Calibri" w:hAnsi="Calibri" w:cs="Calibri"/>
          <w:color w:val="auto"/>
          <w:sz w:val="22"/>
          <w:lang w:val="en-US"/>
        </w:rPr>
        <w:t>Comply with regulations and guidelines under SFA, CPFIG</w:t>
      </w:r>
    </w:p>
    <w:p w14:paraId="1E7FDA9D" w14:textId="77777777" w:rsidR="00E72E0F" w:rsidRDefault="00E72E0F" w:rsidP="003530EE">
      <w:pPr>
        <w:pStyle w:val="ListParagraph"/>
        <w:numPr>
          <w:ilvl w:val="1"/>
          <w:numId w:val="115"/>
        </w:numPr>
        <w:jc w:val="both"/>
        <w:rPr>
          <w:rFonts w:ascii="Calibri" w:hAnsi="Calibri" w:cs="Calibri"/>
          <w:color w:val="auto"/>
          <w:sz w:val="22"/>
          <w:lang w:val="en-US"/>
        </w:rPr>
      </w:pPr>
      <w:r w:rsidRPr="00E72E0F">
        <w:rPr>
          <w:rFonts w:ascii="Calibri" w:hAnsi="Calibri" w:cs="Calibri"/>
          <w:color w:val="auto"/>
          <w:sz w:val="22"/>
          <w:lang w:val="en-US"/>
        </w:rPr>
        <w:t>Implement appropriate compliance, internal controls and operational systems</w:t>
      </w:r>
    </w:p>
    <w:p w14:paraId="72439ED2" w14:textId="77777777" w:rsidR="00E72E0F" w:rsidRDefault="00E72E0F" w:rsidP="003530EE">
      <w:pPr>
        <w:pStyle w:val="ListParagraph"/>
        <w:numPr>
          <w:ilvl w:val="1"/>
          <w:numId w:val="115"/>
        </w:numPr>
        <w:jc w:val="both"/>
        <w:rPr>
          <w:rFonts w:ascii="Calibri" w:hAnsi="Calibri" w:cs="Calibri"/>
          <w:color w:val="auto"/>
          <w:sz w:val="22"/>
          <w:lang w:val="en-US"/>
        </w:rPr>
      </w:pPr>
      <w:r w:rsidRPr="00E72E0F">
        <w:rPr>
          <w:rFonts w:ascii="Calibri" w:hAnsi="Calibri" w:cs="Calibri"/>
          <w:color w:val="auto"/>
          <w:sz w:val="22"/>
          <w:lang w:val="en-US"/>
        </w:rPr>
        <w:t>Ensure regular submissions of following reports –</w:t>
      </w:r>
    </w:p>
    <w:p w14:paraId="0CBCA476" w14:textId="77777777" w:rsidR="00E72E0F" w:rsidRPr="00E72E0F" w:rsidRDefault="00E72E0F" w:rsidP="003530EE">
      <w:pPr>
        <w:pStyle w:val="ListParagraph"/>
        <w:numPr>
          <w:ilvl w:val="2"/>
          <w:numId w:val="115"/>
        </w:numPr>
        <w:jc w:val="both"/>
        <w:rPr>
          <w:rFonts w:ascii="Calibri" w:hAnsi="Calibri" w:cs="Calibri"/>
          <w:color w:val="auto"/>
          <w:sz w:val="22"/>
          <w:lang w:val="en-US"/>
        </w:rPr>
      </w:pPr>
      <w:r w:rsidRPr="00E72E0F">
        <w:rPr>
          <w:rFonts w:ascii="Calibri" w:hAnsi="Calibri" w:cs="Calibri"/>
          <w:b/>
          <w:bCs/>
          <w:color w:val="auto"/>
          <w:sz w:val="22"/>
          <w:lang w:val="en-US"/>
        </w:rPr>
        <w:t>Annual external auditor’s report on the fund</w:t>
      </w:r>
      <w:r w:rsidRPr="00E72E0F">
        <w:rPr>
          <w:rFonts w:ascii="Calibri" w:hAnsi="Calibri" w:cs="Calibri"/>
          <w:color w:val="auto"/>
          <w:sz w:val="22"/>
          <w:lang w:val="en-US"/>
        </w:rPr>
        <w:t xml:space="preserve">: </w:t>
      </w:r>
      <w:r w:rsidRPr="00E72E0F">
        <w:rPr>
          <w:rFonts w:ascii="Calibri" w:hAnsi="Calibri" w:cs="Calibri"/>
          <w:color w:val="auto"/>
          <w:sz w:val="22"/>
          <w:u w:val="single"/>
          <w:lang w:val="en-US"/>
        </w:rPr>
        <w:t>3 months after FYE for authorized / recognized CIS</w:t>
      </w:r>
    </w:p>
    <w:p w14:paraId="5C83E041" w14:textId="77777777" w:rsidR="00E72E0F" w:rsidRPr="00E72E0F" w:rsidRDefault="00E72E0F" w:rsidP="003530EE">
      <w:pPr>
        <w:pStyle w:val="ListParagraph"/>
        <w:numPr>
          <w:ilvl w:val="2"/>
          <w:numId w:val="115"/>
        </w:numPr>
        <w:jc w:val="both"/>
        <w:rPr>
          <w:rFonts w:ascii="Calibri" w:hAnsi="Calibri" w:cs="Calibri"/>
          <w:color w:val="auto"/>
          <w:sz w:val="22"/>
          <w:lang w:val="en-US"/>
        </w:rPr>
      </w:pPr>
      <w:r w:rsidRPr="00E72E0F">
        <w:rPr>
          <w:rFonts w:ascii="Calibri" w:hAnsi="Calibri" w:cs="Calibri"/>
          <w:b/>
          <w:bCs/>
          <w:color w:val="auto"/>
          <w:sz w:val="22"/>
          <w:lang w:val="en-US"/>
        </w:rPr>
        <w:t>Annual external auditor’s report on operations relating to unit of CPF members</w:t>
      </w:r>
      <w:r w:rsidRPr="00E72E0F">
        <w:rPr>
          <w:rFonts w:ascii="Calibri" w:hAnsi="Calibri" w:cs="Calibri"/>
          <w:color w:val="auto"/>
          <w:sz w:val="22"/>
          <w:lang w:val="en-US"/>
        </w:rPr>
        <w:t xml:space="preserve">: </w:t>
      </w:r>
      <w:r w:rsidRPr="00E72E0F">
        <w:rPr>
          <w:rFonts w:ascii="Calibri" w:hAnsi="Calibri" w:cs="Calibri"/>
          <w:color w:val="auto"/>
          <w:sz w:val="22"/>
          <w:u w:val="single"/>
          <w:lang w:val="en-US"/>
        </w:rPr>
        <w:t>Within 5 months after FYE</w:t>
      </w:r>
    </w:p>
    <w:p w14:paraId="50CF7C25" w14:textId="4894ADAA" w:rsidR="00E72E0F" w:rsidRPr="00E72E0F" w:rsidRDefault="00E72E0F" w:rsidP="003530EE">
      <w:pPr>
        <w:pStyle w:val="ListParagraph"/>
        <w:numPr>
          <w:ilvl w:val="2"/>
          <w:numId w:val="115"/>
        </w:numPr>
        <w:jc w:val="both"/>
        <w:rPr>
          <w:rFonts w:ascii="Calibri" w:hAnsi="Calibri" w:cs="Calibri"/>
          <w:color w:val="auto"/>
          <w:sz w:val="22"/>
          <w:lang w:val="en-US"/>
        </w:rPr>
      </w:pPr>
      <w:r w:rsidRPr="00E72E0F">
        <w:rPr>
          <w:rFonts w:ascii="Calibri" w:hAnsi="Calibri" w:cs="Calibri"/>
          <w:b/>
          <w:bCs/>
          <w:color w:val="auto"/>
          <w:sz w:val="22"/>
          <w:lang w:val="en-US"/>
        </w:rPr>
        <w:t xml:space="preserve">Returns to confirm continuing compliance with admission criteria by the </w:t>
      </w:r>
      <w:r w:rsidR="00B72D51">
        <w:rPr>
          <w:rFonts w:ascii="Calibri" w:hAnsi="Calibri" w:cs="Calibri"/>
          <w:b/>
          <w:bCs/>
          <w:color w:val="auto"/>
          <w:sz w:val="22"/>
          <w:lang w:val="en-US"/>
        </w:rPr>
        <w:t>LFMC</w:t>
      </w:r>
      <w:r w:rsidRPr="00E72E0F">
        <w:rPr>
          <w:rFonts w:ascii="Calibri" w:hAnsi="Calibri" w:cs="Calibri"/>
          <w:b/>
          <w:bCs/>
          <w:color w:val="auto"/>
          <w:sz w:val="22"/>
          <w:lang w:val="en-US"/>
        </w:rPr>
        <w:t>s</w:t>
      </w:r>
      <w:r w:rsidRPr="00E72E0F">
        <w:rPr>
          <w:rFonts w:ascii="Calibri" w:hAnsi="Calibri" w:cs="Calibri"/>
          <w:color w:val="auto"/>
          <w:sz w:val="22"/>
          <w:lang w:val="en-US"/>
        </w:rPr>
        <w:t xml:space="preserve">: </w:t>
      </w:r>
      <w:r w:rsidRPr="00E72E0F">
        <w:rPr>
          <w:rFonts w:ascii="Calibri" w:hAnsi="Calibri" w:cs="Calibri"/>
          <w:color w:val="auto"/>
          <w:sz w:val="22"/>
          <w:u w:val="single"/>
          <w:lang w:val="en-US"/>
        </w:rPr>
        <w:t>1 month after the end of each quarter</w:t>
      </w:r>
    </w:p>
    <w:p w14:paraId="0A0078B5" w14:textId="77777777" w:rsidR="00E72E0F" w:rsidRPr="00E72E0F" w:rsidRDefault="00E72E0F" w:rsidP="003530EE">
      <w:pPr>
        <w:pStyle w:val="ListParagraph"/>
        <w:numPr>
          <w:ilvl w:val="2"/>
          <w:numId w:val="115"/>
        </w:numPr>
        <w:jc w:val="both"/>
        <w:rPr>
          <w:rFonts w:ascii="Calibri" w:hAnsi="Calibri" w:cs="Calibri"/>
          <w:color w:val="auto"/>
          <w:sz w:val="22"/>
          <w:lang w:val="en-US"/>
        </w:rPr>
      </w:pPr>
      <w:r w:rsidRPr="00E72E0F">
        <w:rPr>
          <w:rFonts w:ascii="Calibri" w:hAnsi="Calibri" w:cs="Calibri"/>
          <w:b/>
          <w:bCs/>
          <w:color w:val="auto"/>
          <w:sz w:val="22"/>
          <w:lang w:val="en-US"/>
        </w:rPr>
        <w:t>Notification of breach of CPFIG</w:t>
      </w:r>
      <w:r w:rsidRPr="00E72E0F">
        <w:rPr>
          <w:rFonts w:ascii="Calibri" w:hAnsi="Calibri" w:cs="Calibri"/>
          <w:color w:val="auto"/>
          <w:sz w:val="22"/>
          <w:lang w:val="en-US"/>
        </w:rPr>
        <w:t xml:space="preserve">: </w:t>
      </w:r>
      <w:r w:rsidRPr="00E72E0F">
        <w:rPr>
          <w:rFonts w:ascii="Calibri" w:hAnsi="Calibri" w:cs="Calibri"/>
          <w:color w:val="auto"/>
          <w:sz w:val="22"/>
          <w:u w:val="single"/>
          <w:lang w:val="en-US"/>
        </w:rPr>
        <w:t>Within 14 calendar days</w:t>
      </w:r>
    </w:p>
    <w:p w14:paraId="0D66443F" w14:textId="77777777" w:rsidR="00E72E0F" w:rsidRPr="00E72E0F" w:rsidRDefault="00E72E0F" w:rsidP="003530EE">
      <w:pPr>
        <w:pStyle w:val="ListParagraph"/>
        <w:numPr>
          <w:ilvl w:val="2"/>
          <w:numId w:val="115"/>
        </w:numPr>
        <w:jc w:val="both"/>
        <w:rPr>
          <w:rFonts w:ascii="Calibri" w:hAnsi="Calibri" w:cs="Calibri"/>
          <w:color w:val="auto"/>
          <w:sz w:val="22"/>
          <w:lang w:val="en-US"/>
        </w:rPr>
      </w:pPr>
      <w:r w:rsidRPr="00E72E0F">
        <w:rPr>
          <w:rFonts w:ascii="Calibri" w:hAnsi="Calibri" w:cs="Calibri"/>
          <w:b/>
          <w:bCs/>
          <w:color w:val="auto"/>
          <w:sz w:val="22"/>
          <w:lang w:val="en-US"/>
        </w:rPr>
        <w:t>Notification of Trustee’s approval to extend deadline to rectify breach</w:t>
      </w:r>
      <w:r w:rsidRPr="00E72E0F">
        <w:rPr>
          <w:rFonts w:ascii="Calibri" w:hAnsi="Calibri" w:cs="Calibri"/>
          <w:color w:val="auto"/>
          <w:sz w:val="22"/>
          <w:lang w:val="en-US"/>
        </w:rPr>
        <w:t xml:space="preserve">: </w:t>
      </w:r>
      <w:r w:rsidRPr="00E72E0F">
        <w:rPr>
          <w:rFonts w:ascii="Calibri" w:hAnsi="Calibri" w:cs="Calibri"/>
          <w:color w:val="auto"/>
          <w:sz w:val="22"/>
          <w:u w:val="single"/>
          <w:lang w:val="en-US"/>
        </w:rPr>
        <w:t>Within 7 calendar days</w:t>
      </w:r>
    </w:p>
    <w:p w14:paraId="34A071D0" w14:textId="0E347481" w:rsidR="00E72E0F" w:rsidRDefault="00E72E0F" w:rsidP="003530EE">
      <w:pPr>
        <w:pStyle w:val="ListParagraph"/>
        <w:numPr>
          <w:ilvl w:val="2"/>
          <w:numId w:val="115"/>
        </w:numPr>
        <w:jc w:val="both"/>
        <w:rPr>
          <w:rFonts w:ascii="Calibri" w:hAnsi="Calibri" w:cs="Calibri"/>
          <w:color w:val="auto"/>
          <w:sz w:val="22"/>
          <w:lang w:val="en-US"/>
        </w:rPr>
      </w:pPr>
      <w:r w:rsidRPr="00E72E0F">
        <w:rPr>
          <w:rFonts w:ascii="Calibri" w:hAnsi="Calibri" w:cs="Calibri"/>
          <w:b/>
          <w:bCs/>
          <w:color w:val="auto"/>
          <w:sz w:val="22"/>
          <w:lang w:val="en-US"/>
        </w:rPr>
        <w:t>Notification of rectification of breach</w:t>
      </w:r>
      <w:r w:rsidRPr="00E72E0F">
        <w:rPr>
          <w:rFonts w:ascii="Calibri" w:hAnsi="Calibri" w:cs="Calibri"/>
          <w:color w:val="auto"/>
          <w:sz w:val="22"/>
          <w:lang w:val="en-US"/>
        </w:rPr>
        <w:t xml:space="preserve">: </w:t>
      </w:r>
      <w:r w:rsidRPr="00E72E0F">
        <w:rPr>
          <w:rFonts w:ascii="Calibri" w:hAnsi="Calibri" w:cs="Calibri"/>
          <w:color w:val="auto"/>
          <w:sz w:val="22"/>
          <w:u w:val="single"/>
          <w:lang w:val="en-US"/>
        </w:rPr>
        <w:t>Within 7 calendar days</w:t>
      </w:r>
      <w:r w:rsidRPr="00E72E0F">
        <w:rPr>
          <w:rFonts w:ascii="Calibri" w:hAnsi="Calibri" w:cs="Calibri"/>
          <w:color w:val="auto"/>
          <w:sz w:val="22"/>
          <w:lang w:val="en-US"/>
        </w:rPr>
        <w:t xml:space="preserve"> </w:t>
      </w:r>
    </w:p>
    <w:p w14:paraId="0C4F6425" w14:textId="77777777" w:rsidR="006F2769" w:rsidRDefault="00C96092" w:rsidP="003530EE">
      <w:pPr>
        <w:pStyle w:val="ListParagraph"/>
        <w:numPr>
          <w:ilvl w:val="0"/>
          <w:numId w:val="115"/>
        </w:numPr>
        <w:jc w:val="both"/>
        <w:rPr>
          <w:rFonts w:ascii="Calibri" w:hAnsi="Calibri" w:cs="Calibri"/>
          <w:color w:val="auto"/>
          <w:sz w:val="22"/>
          <w:lang w:val="en-US"/>
        </w:rPr>
      </w:pPr>
      <w:r w:rsidRPr="00A26D45">
        <w:rPr>
          <w:rFonts w:ascii="Calibri" w:hAnsi="Calibri" w:cs="Calibri"/>
          <w:b/>
          <w:bCs/>
          <w:color w:val="auto"/>
          <w:sz w:val="22"/>
          <w:lang w:val="en-US"/>
        </w:rPr>
        <w:t>Prospectus</w:t>
      </w:r>
      <w:r w:rsidR="00A11F59">
        <w:rPr>
          <w:rFonts w:ascii="Calibri" w:hAnsi="Calibri" w:cs="Calibri"/>
          <w:b/>
          <w:bCs/>
          <w:color w:val="auto"/>
          <w:sz w:val="22"/>
          <w:lang w:val="en-US"/>
        </w:rPr>
        <w:t xml:space="preserve"> Disclosures</w:t>
      </w:r>
      <w:r w:rsidR="00A26D45">
        <w:rPr>
          <w:rFonts w:ascii="Calibri" w:hAnsi="Calibri" w:cs="Calibri"/>
          <w:color w:val="auto"/>
          <w:sz w:val="22"/>
          <w:lang w:val="en-US"/>
        </w:rPr>
        <w:t>:</w:t>
      </w:r>
      <w:r w:rsidR="00CB7C57">
        <w:rPr>
          <w:rFonts w:ascii="Calibri" w:hAnsi="Calibri" w:cs="Calibri"/>
          <w:color w:val="auto"/>
          <w:sz w:val="22"/>
          <w:lang w:val="en-US"/>
        </w:rPr>
        <w:t xml:space="preserve"> </w:t>
      </w:r>
    </w:p>
    <w:p w14:paraId="1ECA398A" w14:textId="1865969B" w:rsidR="00CB7C57" w:rsidRDefault="00CB7C57" w:rsidP="006F2769">
      <w:pPr>
        <w:pStyle w:val="ListParagraph"/>
        <w:numPr>
          <w:ilvl w:val="1"/>
          <w:numId w:val="115"/>
        </w:numPr>
        <w:jc w:val="both"/>
        <w:rPr>
          <w:rFonts w:ascii="Calibri" w:hAnsi="Calibri" w:cs="Calibri"/>
          <w:color w:val="auto"/>
          <w:sz w:val="22"/>
          <w:lang w:val="en-US"/>
        </w:rPr>
      </w:pPr>
      <w:r>
        <w:rPr>
          <w:rFonts w:ascii="Calibri" w:hAnsi="Calibri" w:cs="Calibri"/>
          <w:color w:val="auto"/>
          <w:sz w:val="22"/>
          <w:lang w:val="en-US"/>
        </w:rPr>
        <w:t xml:space="preserve">The </w:t>
      </w:r>
      <w:r w:rsidR="00B72D51">
        <w:rPr>
          <w:rFonts w:ascii="Calibri" w:hAnsi="Calibri" w:cs="Calibri"/>
          <w:color w:val="auto"/>
          <w:sz w:val="22"/>
          <w:lang w:val="en-US"/>
        </w:rPr>
        <w:t>LFMC</w:t>
      </w:r>
      <w:r>
        <w:rPr>
          <w:rFonts w:ascii="Calibri" w:hAnsi="Calibri" w:cs="Calibri"/>
          <w:color w:val="auto"/>
          <w:sz w:val="22"/>
          <w:lang w:val="en-US"/>
        </w:rPr>
        <w:t xml:space="preserve"> should disclose</w:t>
      </w:r>
      <w:r w:rsidR="00A11F59">
        <w:rPr>
          <w:rFonts w:ascii="Calibri" w:hAnsi="Calibri" w:cs="Calibri"/>
          <w:color w:val="auto"/>
          <w:sz w:val="22"/>
          <w:lang w:val="en-US"/>
        </w:rPr>
        <w:t xml:space="preserve"> (</w:t>
      </w:r>
      <w:proofErr w:type="spellStart"/>
      <w:r w:rsidR="00A11F59">
        <w:rPr>
          <w:rFonts w:ascii="Calibri" w:hAnsi="Calibri" w:cs="Calibri"/>
          <w:color w:val="auto"/>
          <w:sz w:val="22"/>
          <w:lang w:val="en-US"/>
        </w:rPr>
        <w:t>i</w:t>
      </w:r>
      <w:proofErr w:type="spellEnd"/>
      <w:r w:rsidR="00A11F59">
        <w:rPr>
          <w:rFonts w:ascii="Calibri" w:hAnsi="Calibri" w:cs="Calibri"/>
          <w:color w:val="auto"/>
          <w:sz w:val="22"/>
          <w:lang w:val="en-US"/>
        </w:rPr>
        <w:t>) t</w:t>
      </w:r>
      <w:r w:rsidR="0076323A" w:rsidRPr="00A11F59">
        <w:rPr>
          <w:rFonts w:ascii="Calibri" w:hAnsi="Calibri" w:cs="Calibri"/>
          <w:color w:val="auto"/>
          <w:sz w:val="22"/>
          <w:lang w:val="en-US"/>
        </w:rPr>
        <w:t xml:space="preserve">he </w:t>
      </w:r>
      <w:r w:rsidR="0076323A" w:rsidRPr="00757D69">
        <w:rPr>
          <w:rFonts w:ascii="Calibri" w:hAnsi="Calibri" w:cs="Calibri"/>
          <w:color w:val="auto"/>
          <w:sz w:val="22"/>
          <w:u w:val="single"/>
          <w:lang w:val="en-US"/>
        </w:rPr>
        <w:t>list of countries and assets that the fund intends to invest in</w:t>
      </w:r>
      <w:r w:rsidR="00A11F59">
        <w:rPr>
          <w:rFonts w:ascii="Calibri" w:hAnsi="Calibri" w:cs="Calibri"/>
          <w:color w:val="auto"/>
          <w:sz w:val="22"/>
          <w:lang w:val="en-US"/>
        </w:rPr>
        <w:t>, (ii) t</w:t>
      </w:r>
      <w:r w:rsidR="00FD67BF" w:rsidRPr="00A11F59">
        <w:rPr>
          <w:rFonts w:ascii="Calibri" w:hAnsi="Calibri" w:cs="Calibri"/>
          <w:color w:val="auto"/>
          <w:sz w:val="22"/>
          <w:lang w:val="en-US"/>
        </w:rPr>
        <w:t xml:space="preserve">he </w:t>
      </w:r>
      <w:r w:rsidR="00FD67BF" w:rsidRPr="00757D69">
        <w:rPr>
          <w:rFonts w:ascii="Calibri" w:hAnsi="Calibri" w:cs="Calibri"/>
          <w:color w:val="auto"/>
          <w:sz w:val="22"/>
          <w:u w:val="single"/>
          <w:lang w:val="en-US"/>
        </w:rPr>
        <w:t>benchmark to be measured against</w:t>
      </w:r>
      <w:r w:rsidR="00A11F59">
        <w:rPr>
          <w:rFonts w:ascii="Calibri" w:hAnsi="Calibri" w:cs="Calibri"/>
          <w:color w:val="auto"/>
          <w:sz w:val="22"/>
          <w:lang w:val="en-US"/>
        </w:rPr>
        <w:t>, (iii) t</w:t>
      </w:r>
      <w:r w:rsidRPr="00A11F59">
        <w:rPr>
          <w:rFonts w:ascii="Calibri" w:hAnsi="Calibri" w:cs="Calibri"/>
          <w:color w:val="auto"/>
          <w:sz w:val="22"/>
          <w:lang w:val="en-US"/>
        </w:rPr>
        <w:t xml:space="preserve">he </w:t>
      </w:r>
      <w:r w:rsidRPr="00757D69">
        <w:rPr>
          <w:rFonts w:ascii="Calibri" w:hAnsi="Calibri" w:cs="Calibri"/>
          <w:color w:val="auto"/>
          <w:sz w:val="22"/>
          <w:u w:val="single"/>
          <w:lang w:val="en-US"/>
        </w:rPr>
        <w:t>intention to</w:t>
      </w:r>
      <w:r w:rsidRPr="00A11F59">
        <w:rPr>
          <w:rFonts w:ascii="Calibri" w:hAnsi="Calibri" w:cs="Calibri"/>
          <w:color w:val="auto"/>
          <w:sz w:val="22"/>
          <w:lang w:val="en-US"/>
        </w:rPr>
        <w:t xml:space="preserve"> </w:t>
      </w:r>
      <w:r w:rsidRPr="00757D69">
        <w:rPr>
          <w:rFonts w:ascii="Calibri" w:hAnsi="Calibri" w:cs="Calibri"/>
          <w:color w:val="auto"/>
          <w:sz w:val="22"/>
          <w:u w:val="single"/>
          <w:lang w:val="en-US"/>
        </w:rPr>
        <w:t>invest in derivatives and/or securities lending</w:t>
      </w:r>
      <w:r w:rsidR="00747B0F">
        <w:rPr>
          <w:rFonts w:ascii="Calibri" w:hAnsi="Calibri" w:cs="Calibri"/>
          <w:color w:val="auto"/>
          <w:sz w:val="22"/>
          <w:lang w:val="en-US"/>
        </w:rPr>
        <w:t xml:space="preserve">, (iv) </w:t>
      </w:r>
      <w:r w:rsidR="00747B0F" w:rsidRPr="00757D69">
        <w:rPr>
          <w:rFonts w:ascii="Calibri" w:hAnsi="Calibri" w:cs="Calibri"/>
          <w:color w:val="auto"/>
          <w:sz w:val="22"/>
          <w:u w:val="single"/>
          <w:lang w:val="en-US"/>
        </w:rPr>
        <w:t>trailer fees</w:t>
      </w:r>
      <w:r w:rsidR="00747B0F">
        <w:rPr>
          <w:rFonts w:ascii="Calibri" w:hAnsi="Calibri" w:cs="Calibri"/>
          <w:color w:val="auto"/>
          <w:sz w:val="22"/>
          <w:lang w:val="en-US"/>
        </w:rPr>
        <w:t xml:space="preserve"> (range and median) that is payable to distributors.</w:t>
      </w:r>
    </w:p>
    <w:p w14:paraId="60057F09" w14:textId="626F4737" w:rsidR="00D12C37" w:rsidRPr="00D12C37" w:rsidRDefault="00D12C37" w:rsidP="006F2769">
      <w:pPr>
        <w:pStyle w:val="ListParagraph"/>
        <w:numPr>
          <w:ilvl w:val="1"/>
          <w:numId w:val="115"/>
        </w:numPr>
        <w:jc w:val="both"/>
        <w:rPr>
          <w:rFonts w:ascii="Calibri" w:hAnsi="Calibri" w:cs="Calibri"/>
          <w:color w:val="auto"/>
          <w:sz w:val="22"/>
          <w:lang w:val="en-US"/>
        </w:rPr>
      </w:pPr>
      <w:r w:rsidRPr="00D12C37">
        <w:rPr>
          <w:rFonts w:ascii="Calibri" w:hAnsi="Calibri" w:cs="Calibri"/>
          <w:color w:val="auto"/>
          <w:sz w:val="22"/>
          <w:lang w:val="en-US"/>
        </w:rPr>
        <w:t xml:space="preserve">Any prospectus updates </w:t>
      </w:r>
      <w:r w:rsidR="007B5DB3">
        <w:rPr>
          <w:rFonts w:ascii="Calibri" w:hAnsi="Calibri" w:cs="Calibri"/>
          <w:color w:val="auto"/>
          <w:sz w:val="22"/>
          <w:lang w:val="en-US"/>
        </w:rPr>
        <w:t xml:space="preserve">must be submitted within 10 working days. </w:t>
      </w:r>
      <w:r w:rsidR="00D02B05" w:rsidRPr="00D02B05">
        <w:rPr>
          <w:rFonts w:ascii="Calibri" w:hAnsi="Calibri" w:cs="Calibri"/>
          <w:color w:val="auto"/>
          <w:sz w:val="22"/>
          <w:u w:val="single"/>
          <w:lang w:val="en-US"/>
        </w:rPr>
        <w:t xml:space="preserve">If there are no changes to the prospectus, </w:t>
      </w:r>
      <w:r w:rsidR="00B72D51">
        <w:rPr>
          <w:rFonts w:ascii="Calibri" w:hAnsi="Calibri" w:cs="Calibri"/>
          <w:color w:val="auto"/>
          <w:sz w:val="22"/>
          <w:u w:val="single"/>
          <w:lang w:val="en-US"/>
        </w:rPr>
        <w:t>LFMC</w:t>
      </w:r>
      <w:r w:rsidR="00D02B05" w:rsidRPr="00D02B05">
        <w:rPr>
          <w:rFonts w:ascii="Calibri" w:hAnsi="Calibri" w:cs="Calibri"/>
          <w:color w:val="auto"/>
          <w:sz w:val="22"/>
          <w:u w:val="single"/>
          <w:lang w:val="en-US"/>
        </w:rPr>
        <w:t>s are required to email CPF Board within 10 working days after the end of June/December</w:t>
      </w:r>
      <w:r w:rsidR="00D02B05">
        <w:rPr>
          <w:rFonts w:ascii="Calibri" w:hAnsi="Calibri" w:cs="Calibri"/>
          <w:color w:val="auto"/>
          <w:sz w:val="22"/>
          <w:lang w:val="en-US"/>
        </w:rPr>
        <w:t>.</w:t>
      </w:r>
    </w:p>
    <w:p w14:paraId="574472AE" w14:textId="0136B3DB" w:rsidR="00B94B44" w:rsidRDefault="001E0A2B" w:rsidP="003530EE">
      <w:pPr>
        <w:pStyle w:val="ListParagraph"/>
        <w:numPr>
          <w:ilvl w:val="0"/>
          <w:numId w:val="115"/>
        </w:numPr>
        <w:jc w:val="both"/>
        <w:rPr>
          <w:rFonts w:ascii="Calibri" w:hAnsi="Calibri" w:cs="Calibri"/>
          <w:color w:val="auto"/>
          <w:sz w:val="22"/>
          <w:lang w:val="en-US"/>
        </w:rPr>
      </w:pPr>
      <w:r>
        <w:rPr>
          <w:rFonts w:ascii="Calibri" w:hAnsi="Calibri" w:cs="Calibri"/>
          <w:b/>
          <w:bCs/>
          <w:color w:val="auto"/>
          <w:sz w:val="22"/>
          <w:lang w:val="en-US"/>
        </w:rPr>
        <w:t>Disclosure Requirements for Performance and Risk Monitoring of CIS</w:t>
      </w:r>
      <w:r w:rsidRPr="001E0A2B">
        <w:rPr>
          <w:rFonts w:ascii="Calibri" w:hAnsi="Calibri" w:cs="Calibri"/>
          <w:color w:val="auto"/>
          <w:sz w:val="22"/>
          <w:lang w:val="en-US"/>
        </w:rPr>
        <w:t>:</w:t>
      </w:r>
      <w:r>
        <w:rPr>
          <w:rFonts w:ascii="Calibri" w:hAnsi="Calibri" w:cs="Calibri"/>
          <w:color w:val="auto"/>
          <w:sz w:val="22"/>
          <w:lang w:val="en-US"/>
        </w:rPr>
        <w:t xml:space="preserve"> </w:t>
      </w:r>
      <w:r w:rsidR="00B72D51">
        <w:rPr>
          <w:rFonts w:ascii="Calibri" w:hAnsi="Calibri" w:cs="Calibri"/>
          <w:color w:val="auto"/>
          <w:sz w:val="22"/>
          <w:u w:val="single"/>
          <w:lang w:val="en-US"/>
        </w:rPr>
        <w:t>LFMC</w:t>
      </w:r>
      <w:r w:rsidR="00967D83" w:rsidRPr="001358DC">
        <w:rPr>
          <w:rFonts w:ascii="Calibri" w:hAnsi="Calibri" w:cs="Calibri"/>
          <w:color w:val="auto"/>
          <w:sz w:val="22"/>
          <w:u w:val="single"/>
          <w:lang w:val="en-US"/>
        </w:rPr>
        <w:t xml:space="preserve">s are required to furnish analytical data </w:t>
      </w:r>
      <w:r w:rsidR="00757D69" w:rsidRPr="001358DC">
        <w:rPr>
          <w:rFonts w:ascii="Calibri" w:hAnsi="Calibri" w:cs="Calibri"/>
          <w:color w:val="auto"/>
          <w:sz w:val="22"/>
          <w:u w:val="single"/>
          <w:lang w:val="en-US"/>
        </w:rPr>
        <w:t xml:space="preserve">(i.e., </w:t>
      </w:r>
      <w:r w:rsidR="006D0898" w:rsidRPr="001358DC">
        <w:rPr>
          <w:rFonts w:ascii="Calibri" w:hAnsi="Calibri" w:cs="Calibri"/>
          <w:color w:val="auto"/>
          <w:sz w:val="22"/>
          <w:u w:val="single"/>
          <w:lang w:val="en-US"/>
        </w:rPr>
        <w:t xml:space="preserve">AUM, NAV per unit, </w:t>
      </w:r>
      <w:r w:rsidR="00757D69" w:rsidRPr="001358DC">
        <w:rPr>
          <w:rFonts w:ascii="Calibri" w:hAnsi="Calibri" w:cs="Calibri"/>
          <w:color w:val="auto"/>
          <w:sz w:val="22"/>
          <w:u w:val="single"/>
          <w:lang w:val="en-US"/>
        </w:rPr>
        <w:t>monthly benchmark returns</w:t>
      </w:r>
      <w:r w:rsidR="006D0898" w:rsidRPr="001358DC">
        <w:rPr>
          <w:rFonts w:ascii="Calibri" w:hAnsi="Calibri" w:cs="Calibri"/>
          <w:color w:val="auto"/>
          <w:sz w:val="22"/>
          <w:u w:val="single"/>
          <w:lang w:val="en-US"/>
        </w:rPr>
        <w:t xml:space="preserve">, </w:t>
      </w:r>
      <w:r w:rsidR="001358DC" w:rsidRPr="001358DC">
        <w:rPr>
          <w:rFonts w:ascii="Calibri" w:hAnsi="Calibri" w:cs="Calibri"/>
          <w:color w:val="auto"/>
          <w:sz w:val="22"/>
          <w:u w:val="single"/>
          <w:lang w:val="en-US"/>
        </w:rPr>
        <w:t xml:space="preserve">information on unit split or dividend, half-yearly expense ratios) </w:t>
      </w:r>
      <w:r w:rsidR="00967D83" w:rsidRPr="001358DC">
        <w:rPr>
          <w:rFonts w:ascii="Calibri" w:hAnsi="Calibri" w:cs="Calibri"/>
          <w:color w:val="auto"/>
          <w:sz w:val="22"/>
          <w:u w:val="single"/>
          <w:lang w:val="en-US"/>
        </w:rPr>
        <w:t>to selected Funds Tracking Companies</w:t>
      </w:r>
      <w:r w:rsidR="00967D83">
        <w:rPr>
          <w:rFonts w:ascii="Calibri" w:hAnsi="Calibri" w:cs="Calibri"/>
          <w:color w:val="auto"/>
          <w:sz w:val="22"/>
          <w:lang w:val="en-US"/>
        </w:rPr>
        <w:t xml:space="preserve"> </w:t>
      </w:r>
      <w:r w:rsidR="00757D69">
        <w:rPr>
          <w:rFonts w:ascii="Calibri" w:hAnsi="Calibri" w:cs="Calibri"/>
          <w:color w:val="auto"/>
          <w:sz w:val="22"/>
          <w:lang w:val="en-US"/>
        </w:rPr>
        <w:t>upon request by CPF Board</w:t>
      </w:r>
      <w:r w:rsidR="00967D83">
        <w:rPr>
          <w:rFonts w:ascii="Calibri" w:hAnsi="Calibri" w:cs="Calibri"/>
          <w:color w:val="auto"/>
          <w:sz w:val="22"/>
          <w:lang w:val="en-US"/>
        </w:rPr>
        <w:t>.</w:t>
      </w:r>
      <w:r w:rsidR="00757D69">
        <w:rPr>
          <w:rFonts w:ascii="Calibri" w:hAnsi="Calibri" w:cs="Calibri"/>
          <w:color w:val="auto"/>
          <w:sz w:val="22"/>
          <w:lang w:val="en-US"/>
        </w:rPr>
        <w:t xml:space="preserve"> Such requests must be </w:t>
      </w:r>
      <w:r w:rsidR="00757D69" w:rsidRPr="001358DC">
        <w:rPr>
          <w:rFonts w:ascii="Calibri" w:hAnsi="Calibri" w:cs="Calibri"/>
          <w:color w:val="auto"/>
          <w:sz w:val="22"/>
          <w:u w:val="single"/>
          <w:lang w:val="en-US"/>
        </w:rPr>
        <w:t>fulfilled within 1 week</w:t>
      </w:r>
      <w:r w:rsidR="00757D69">
        <w:rPr>
          <w:rFonts w:ascii="Calibri" w:hAnsi="Calibri" w:cs="Calibri"/>
          <w:color w:val="auto"/>
          <w:sz w:val="22"/>
          <w:lang w:val="en-US"/>
        </w:rPr>
        <w:t>.</w:t>
      </w:r>
      <w:r w:rsidR="00967D83">
        <w:rPr>
          <w:rFonts w:ascii="Calibri" w:hAnsi="Calibri" w:cs="Calibri"/>
          <w:color w:val="auto"/>
          <w:sz w:val="22"/>
          <w:lang w:val="en-US"/>
        </w:rPr>
        <w:t xml:space="preserve"> </w:t>
      </w:r>
    </w:p>
    <w:p w14:paraId="536F4EB0" w14:textId="6EC68899" w:rsidR="00D12C37" w:rsidRDefault="00D12C37" w:rsidP="003530EE">
      <w:pPr>
        <w:pStyle w:val="ListParagraph"/>
        <w:numPr>
          <w:ilvl w:val="0"/>
          <w:numId w:val="115"/>
        </w:numPr>
        <w:jc w:val="both"/>
        <w:rPr>
          <w:rFonts w:ascii="Calibri" w:hAnsi="Calibri" w:cs="Calibri"/>
          <w:color w:val="auto"/>
          <w:sz w:val="22"/>
          <w:lang w:val="en-US"/>
        </w:rPr>
      </w:pPr>
      <w:r>
        <w:rPr>
          <w:rFonts w:ascii="Calibri" w:hAnsi="Calibri" w:cs="Calibri"/>
          <w:b/>
          <w:bCs/>
          <w:color w:val="auto"/>
          <w:sz w:val="22"/>
          <w:lang w:val="en-US"/>
        </w:rPr>
        <w:t>Notification of any significant events</w:t>
      </w:r>
      <w:r w:rsidR="00D02B05" w:rsidRPr="00D02B05">
        <w:rPr>
          <w:rFonts w:ascii="Calibri" w:hAnsi="Calibri" w:cs="Calibri"/>
          <w:color w:val="auto"/>
          <w:sz w:val="22"/>
          <w:lang w:val="en-US"/>
        </w:rPr>
        <w:t>:</w:t>
      </w:r>
      <w:r w:rsidR="00D02B05">
        <w:rPr>
          <w:rFonts w:ascii="Calibri" w:hAnsi="Calibri" w:cs="Calibri"/>
          <w:color w:val="auto"/>
          <w:sz w:val="22"/>
          <w:lang w:val="en-US"/>
        </w:rPr>
        <w:t xml:space="preserve"> </w:t>
      </w:r>
      <w:r w:rsidR="00987E64" w:rsidRPr="006F2769">
        <w:rPr>
          <w:rFonts w:ascii="Calibri" w:hAnsi="Calibri" w:cs="Calibri"/>
          <w:color w:val="auto"/>
          <w:sz w:val="22"/>
          <w:u w:val="single"/>
          <w:lang w:val="en-US"/>
        </w:rPr>
        <w:t>Must be c</w:t>
      </w:r>
      <w:r w:rsidR="00D02B05" w:rsidRPr="006F2769">
        <w:rPr>
          <w:rFonts w:ascii="Calibri" w:hAnsi="Calibri" w:cs="Calibri"/>
          <w:color w:val="auto"/>
          <w:sz w:val="22"/>
          <w:u w:val="single"/>
          <w:lang w:val="en-US"/>
        </w:rPr>
        <w:t>ompleted within 5 working days</w:t>
      </w:r>
      <w:r w:rsidR="00D02B05">
        <w:rPr>
          <w:rFonts w:ascii="Calibri" w:hAnsi="Calibri" w:cs="Calibri"/>
          <w:color w:val="auto"/>
          <w:sz w:val="22"/>
          <w:lang w:val="en-US"/>
        </w:rPr>
        <w:t xml:space="preserve">. Events include </w:t>
      </w:r>
      <w:r w:rsidR="00987E64">
        <w:rPr>
          <w:rFonts w:ascii="Calibri" w:hAnsi="Calibri" w:cs="Calibri"/>
          <w:color w:val="auto"/>
          <w:sz w:val="22"/>
          <w:lang w:val="en-US"/>
        </w:rPr>
        <w:t>changes to investment processes, changes to organizational structure, regulatory violations, change of portfolio manager etc.</w:t>
      </w:r>
    </w:p>
    <w:p w14:paraId="5EC1108D" w14:textId="77777777" w:rsidR="00D26525" w:rsidRDefault="00D26525" w:rsidP="00D26525">
      <w:pPr>
        <w:pStyle w:val="ListParagraph"/>
        <w:ind w:left="360"/>
        <w:jc w:val="both"/>
        <w:rPr>
          <w:rFonts w:ascii="Calibri" w:hAnsi="Calibri" w:cs="Calibri"/>
          <w:color w:val="auto"/>
          <w:sz w:val="22"/>
          <w:lang w:val="en-US"/>
        </w:rPr>
      </w:pPr>
    </w:p>
    <w:p w14:paraId="49DB25CA" w14:textId="77777777" w:rsidR="00D26525" w:rsidRDefault="00D26525" w:rsidP="00D26525">
      <w:pPr>
        <w:pStyle w:val="Heading3"/>
        <w:numPr>
          <w:ilvl w:val="0"/>
          <w:numId w:val="110"/>
        </w:numPr>
        <w:jc w:val="both"/>
        <w:rPr>
          <w:rFonts w:ascii="Calibri" w:hAnsi="Calibri" w:cs="Calibri"/>
          <w:color w:val="auto"/>
          <w:lang w:val="en-US"/>
        </w:rPr>
      </w:pPr>
      <w:r>
        <w:rPr>
          <w:rFonts w:ascii="Calibri" w:hAnsi="Calibri" w:cs="Calibri"/>
          <w:color w:val="auto"/>
          <w:lang w:val="en-US"/>
        </w:rPr>
        <w:t>CPF Investment Guidelines (CPFIG)</w:t>
      </w:r>
    </w:p>
    <w:p w14:paraId="7745A3ED" w14:textId="77777777" w:rsidR="00D26525" w:rsidRPr="00D6565E" w:rsidRDefault="00D26525" w:rsidP="003530EE">
      <w:pPr>
        <w:pStyle w:val="ListParagraph"/>
        <w:numPr>
          <w:ilvl w:val="0"/>
          <w:numId w:val="116"/>
        </w:numPr>
        <w:jc w:val="both"/>
        <w:rPr>
          <w:rFonts w:ascii="Calibri" w:hAnsi="Calibri" w:cs="Calibri"/>
          <w:b/>
          <w:bCs/>
          <w:color w:val="auto"/>
          <w:sz w:val="22"/>
          <w:lang w:val="en-US"/>
        </w:rPr>
      </w:pPr>
      <w:r>
        <w:rPr>
          <w:rFonts w:ascii="Calibri" w:hAnsi="Calibri" w:cs="Calibri"/>
          <w:color w:val="auto"/>
          <w:sz w:val="22"/>
          <w:lang w:val="en-US"/>
        </w:rPr>
        <w:t xml:space="preserve">Note that any </w:t>
      </w:r>
      <w:r w:rsidRPr="00493FF4">
        <w:rPr>
          <w:rFonts w:ascii="Calibri" w:hAnsi="Calibri" w:cs="Calibri"/>
          <w:color w:val="auto"/>
          <w:sz w:val="22"/>
          <w:u w:val="single"/>
          <w:lang w:val="en-US"/>
        </w:rPr>
        <w:t>CIS enrolled into CPFIS would have to comply with CPFIG and Code on CIS</w:t>
      </w:r>
      <w:r>
        <w:rPr>
          <w:rFonts w:ascii="Calibri" w:hAnsi="Calibri" w:cs="Calibri"/>
          <w:color w:val="auto"/>
          <w:sz w:val="22"/>
          <w:lang w:val="en-US"/>
        </w:rPr>
        <w:t>.</w:t>
      </w:r>
    </w:p>
    <w:p w14:paraId="45AEAA5E" w14:textId="77777777" w:rsidR="00D26525" w:rsidRPr="002750AE" w:rsidRDefault="00D26525" w:rsidP="003530EE">
      <w:pPr>
        <w:pStyle w:val="ListParagraph"/>
        <w:numPr>
          <w:ilvl w:val="0"/>
          <w:numId w:val="116"/>
        </w:numPr>
        <w:jc w:val="both"/>
        <w:rPr>
          <w:rFonts w:ascii="Calibri" w:hAnsi="Calibri" w:cs="Calibri"/>
          <w:b/>
          <w:bCs/>
          <w:color w:val="auto"/>
          <w:sz w:val="22"/>
          <w:lang w:val="en-US"/>
        </w:rPr>
      </w:pPr>
      <w:r w:rsidRPr="002750AE">
        <w:rPr>
          <w:rFonts w:ascii="Calibri" w:hAnsi="Calibri" w:cs="Calibri"/>
          <w:b/>
          <w:bCs/>
          <w:color w:val="auto"/>
          <w:sz w:val="22"/>
          <w:lang w:val="en-US"/>
        </w:rPr>
        <w:t>List of permissible investments</w:t>
      </w:r>
      <w:r>
        <w:rPr>
          <w:rFonts w:ascii="Calibri" w:hAnsi="Calibri" w:cs="Calibri"/>
          <w:color w:val="auto"/>
          <w:sz w:val="22"/>
          <w:lang w:val="en-US"/>
        </w:rPr>
        <w:t xml:space="preserve">: </w:t>
      </w:r>
    </w:p>
    <w:p w14:paraId="58CAA7F2" w14:textId="77777777" w:rsidR="00D26525" w:rsidRPr="002750AE" w:rsidRDefault="00D26525" w:rsidP="003530EE">
      <w:pPr>
        <w:pStyle w:val="ListParagraph"/>
        <w:numPr>
          <w:ilvl w:val="1"/>
          <w:numId w:val="116"/>
        </w:numPr>
        <w:jc w:val="both"/>
        <w:rPr>
          <w:rFonts w:ascii="Calibri" w:hAnsi="Calibri" w:cs="Calibri"/>
          <w:b/>
          <w:bCs/>
          <w:color w:val="auto"/>
          <w:sz w:val="22"/>
          <w:lang w:val="en-US"/>
        </w:rPr>
      </w:pPr>
      <w:r w:rsidRPr="002750AE">
        <w:rPr>
          <w:rFonts w:ascii="Calibri" w:hAnsi="Calibri" w:cs="Calibri"/>
          <w:color w:val="auto"/>
          <w:sz w:val="22"/>
          <w:u w:val="single"/>
          <w:lang w:val="en-US"/>
        </w:rPr>
        <w:t xml:space="preserve">Listed </w:t>
      </w:r>
      <w:r>
        <w:rPr>
          <w:rFonts w:ascii="Calibri" w:hAnsi="Calibri" w:cs="Calibri"/>
          <w:color w:val="auto"/>
          <w:sz w:val="22"/>
          <w:u w:val="single"/>
          <w:lang w:val="en-US"/>
        </w:rPr>
        <w:t xml:space="preserve">and unlisted </w:t>
      </w:r>
      <w:r w:rsidRPr="002750AE">
        <w:rPr>
          <w:rFonts w:ascii="Calibri" w:hAnsi="Calibri" w:cs="Calibri"/>
          <w:color w:val="auto"/>
          <w:sz w:val="22"/>
          <w:u w:val="single"/>
          <w:lang w:val="en-US"/>
        </w:rPr>
        <w:t>shares, deposits with financial institutions, money market instruments, debt securities eligible under CPFIG</w:t>
      </w:r>
      <w:r>
        <w:rPr>
          <w:rFonts w:ascii="Calibri" w:hAnsi="Calibri" w:cs="Calibri"/>
          <w:color w:val="auto"/>
          <w:sz w:val="22"/>
          <w:u w:val="single"/>
          <w:lang w:val="en-US"/>
        </w:rPr>
        <w:t xml:space="preserve"> (i.e., convertible bonds, perpetual bonds, securitized debt)</w:t>
      </w:r>
      <w:r w:rsidRPr="002750AE">
        <w:rPr>
          <w:rFonts w:ascii="Calibri" w:hAnsi="Calibri" w:cs="Calibri"/>
          <w:color w:val="auto"/>
          <w:sz w:val="22"/>
          <w:u w:val="single"/>
          <w:lang w:val="en-US"/>
        </w:rPr>
        <w:t>, CIS units, cash</w:t>
      </w:r>
      <w:r>
        <w:rPr>
          <w:rFonts w:ascii="Calibri" w:hAnsi="Calibri" w:cs="Calibri"/>
          <w:color w:val="auto"/>
          <w:sz w:val="22"/>
          <w:lang w:val="en-US"/>
        </w:rPr>
        <w:t>.</w:t>
      </w:r>
    </w:p>
    <w:p w14:paraId="7199D9E9" w14:textId="77777777" w:rsidR="00D26525" w:rsidRPr="00BE34F6" w:rsidRDefault="00D26525" w:rsidP="003530EE">
      <w:pPr>
        <w:pStyle w:val="ListParagraph"/>
        <w:numPr>
          <w:ilvl w:val="2"/>
          <w:numId w:val="116"/>
        </w:numPr>
        <w:jc w:val="both"/>
        <w:rPr>
          <w:rFonts w:ascii="Calibri" w:hAnsi="Calibri" w:cs="Calibri"/>
          <w:b/>
          <w:bCs/>
          <w:color w:val="auto"/>
          <w:sz w:val="22"/>
          <w:lang w:val="en-US"/>
        </w:rPr>
      </w:pPr>
      <w:r w:rsidRPr="00BE34F6">
        <w:rPr>
          <w:rFonts w:ascii="Calibri" w:hAnsi="Calibri" w:cs="Calibri"/>
          <w:b/>
          <w:bCs/>
          <w:color w:val="auto"/>
          <w:sz w:val="22"/>
          <w:lang w:val="en-US"/>
        </w:rPr>
        <w:t>Deposits held with financial institutions</w:t>
      </w:r>
      <w:r>
        <w:rPr>
          <w:rFonts w:ascii="Calibri" w:hAnsi="Calibri" w:cs="Calibri"/>
          <w:color w:val="auto"/>
          <w:sz w:val="22"/>
          <w:lang w:val="en-US"/>
        </w:rPr>
        <w:t xml:space="preserve">: FI must have </w:t>
      </w:r>
      <w:r w:rsidRPr="002164DE">
        <w:rPr>
          <w:rFonts w:ascii="Calibri" w:hAnsi="Calibri" w:cs="Calibri"/>
          <w:color w:val="auto"/>
          <w:sz w:val="22"/>
          <w:u w:val="single"/>
          <w:lang w:val="en-US"/>
        </w:rPr>
        <w:t>either Baseline Credit Assessment of above a3 by Moody’s or viability ratings of above BBB by Fitch</w:t>
      </w:r>
      <w:r>
        <w:rPr>
          <w:rFonts w:ascii="Calibri" w:hAnsi="Calibri" w:cs="Calibri"/>
          <w:color w:val="auto"/>
          <w:sz w:val="22"/>
          <w:lang w:val="en-US"/>
        </w:rPr>
        <w:t xml:space="preserve">. Branches of financial institutions adopt the same rating as parent, but subsidiaries are required to have their own credit ratings. When FI’s credit ratings takes a hit, </w:t>
      </w:r>
      <w:r>
        <w:rPr>
          <w:rFonts w:ascii="Calibri" w:hAnsi="Calibri" w:cs="Calibri"/>
          <w:color w:val="auto"/>
          <w:sz w:val="22"/>
          <w:lang w:val="en-US"/>
        </w:rPr>
        <w:lastRenderedPageBreak/>
        <w:t xml:space="preserve">the placement would be classified as a prohibited investment and will fall under the deviation limit of 5%. </w:t>
      </w:r>
    </w:p>
    <w:p w14:paraId="3649A82C" w14:textId="77777777" w:rsidR="00D26525" w:rsidRDefault="00D26525" w:rsidP="003530EE">
      <w:pPr>
        <w:pStyle w:val="ListParagraph"/>
        <w:numPr>
          <w:ilvl w:val="2"/>
          <w:numId w:val="116"/>
        </w:numPr>
        <w:jc w:val="both"/>
        <w:rPr>
          <w:rFonts w:ascii="Calibri" w:hAnsi="Calibri" w:cs="Calibri"/>
          <w:b/>
          <w:bCs/>
          <w:color w:val="auto"/>
          <w:sz w:val="22"/>
          <w:lang w:val="en-US"/>
        </w:rPr>
      </w:pPr>
      <w:r>
        <w:rPr>
          <w:rFonts w:ascii="Calibri" w:hAnsi="Calibri" w:cs="Calibri"/>
          <w:b/>
          <w:bCs/>
          <w:color w:val="auto"/>
          <w:sz w:val="22"/>
          <w:lang w:val="en-US"/>
        </w:rPr>
        <w:t>Debt securities</w:t>
      </w:r>
      <w:r w:rsidRPr="00BE34F6">
        <w:rPr>
          <w:rFonts w:ascii="Calibri" w:hAnsi="Calibri" w:cs="Calibri"/>
          <w:color w:val="auto"/>
          <w:sz w:val="22"/>
          <w:lang w:val="en-US"/>
        </w:rPr>
        <w:t>:</w:t>
      </w:r>
      <w:r>
        <w:rPr>
          <w:rFonts w:ascii="Calibri" w:hAnsi="Calibri" w:cs="Calibri"/>
          <w:b/>
          <w:bCs/>
          <w:color w:val="auto"/>
          <w:sz w:val="22"/>
          <w:lang w:val="en-US"/>
        </w:rPr>
        <w:t xml:space="preserve"> </w:t>
      </w:r>
    </w:p>
    <w:p w14:paraId="42C56272" w14:textId="0FFD9EC4" w:rsidR="00D26525" w:rsidRPr="00F61F32" w:rsidRDefault="00B72D51" w:rsidP="003530EE">
      <w:pPr>
        <w:pStyle w:val="ListParagraph"/>
        <w:numPr>
          <w:ilvl w:val="3"/>
          <w:numId w:val="116"/>
        </w:numPr>
        <w:jc w:val="both"/>
        <w:rPr>
          <w:rFonts w:ascii="Calibri" w:hAnsi="Calibri" w:cs="Calibri"/>
          <w:b/>
          <w:bCs/>
          <w:color w:val="auto"/>
          <w:sz w:val="22"/>
          <w:lang w:val="en-US"/>
        </w:rPr>
      </w:pPr>
      <w:r>
        <w:rPr>
          <w:rFonts w:ascii="Calibri" w:hAnsi="Calibri" w:cs="Calibri"/>
          <w:color w:val="auto"/>
          <w:sz w:val="22"/>
          <w:u w:val="single"/>
          <w:lang w:val="en-US"/>
        </w:rPr>
        <w:t>LFMC</w:t>
      </w:r>
      <w:r w:rsidR="00D26525" w:rsidRPr="00893546">
        <w:rPr>
          <w:rFonts w:ascii="Calibri" w:hAnsi="Calibri" w:cs="Calibri"/>
          <w:color w:val="auto"/>
          <w:sz w:val="22"/>
          <w:u w:val="single"/>
          <w:lang w:val="en-US"/>
        </w:rPr>
        <w:t xml:space="preserve"> may invest in corporate and sovereign debt securities that are rated at least investment grade BBB</w:t>
      </w:r>
      <w:r w:rsidR="00D26525">
        <w:rPr>
          <w:rFonts w:ascii="Calibri" w:hAnsi="Calibri" w:cs="Calibri"/>
          <w:color w:val="auto"/>
          <w:sz w:val="22"/>
          <w:lang w:val="en-US"/>
        </w:rPr>
        <w:t xml:space="preserve">. When the entity’s credit ratings take a hit, then the placement would be classified as a prohibited investment and will fall under the deviation limit of 5%. However, for those bonds that are now rated as non-investment grade bonds arising from rating downgrade, there is a </w:t>
      </w:r>
      <w:r w:rsidR="00D26525" w:rsidRPr="001B5381">
        <w:rPr>
          <w:rFonts w:ascii="Calibri" w:hAnsi="Calibri" w:cs="Calibri"/>
          <w:color w:val="auto"/>
          <w:sz w:val="22"/>
          <w:u w:val="single"/>
          <w:lang w:val="en-US"/>
        </w:rPr>
        <w:t xml:space="preserve">special 5% sub-limit (i.e., outside of the 5% deviation limit) that </w:t>
      </w:r>
      <w:r>
        <w:rPr>
          <w:rFonts w:ascii="Calibri" w:hAnsi="Calibri" w:cs="Calibri"/>
          <w:color w:val="auto"/>
          <w:sz w:val="22"/>
          <w:u w:val="single"/>
          <w:lang w:val="en-US"/>
        </w:rPr>
        <w:t>LFMC</w:t>
      </w:r>
      <w:r w:rsidR="00D26525" w:rsidRPr="001B5381">
        <w:rPr>
          <w:rFonts w:ascii="Calibri" w:hAnsi="Calibri" w:cs="Calibri"/>
          <w:color w:val="auto"/>
          <w:sz w:val="22"/>
          <w:u w:val="single"/>
          <w:lang w:val="en-US"/>
        </w:rPr>
        <w:t xml:space="preserve"> can use for this purpose</w:t>
      </w:r>
      <w:r w:rsidR="00D26525">
        <w:rPr>
          <w:rFonts w:ascii="Calibri" w:hAnsi="Calibri" w:cs="Calibri"/>
          <w:color w:val="auto"/>
          <w:sz w:val="22"/>
          <w:lang w:val="en-US"/>
        </w:rPr>
        <w:t xml:space="preserve">. </w:t>
      </w:r>
    </w:p>
    <w:p w14:paraId="295E8DAD" w14:textId="77777777" w:rsidR="00D26525" w:rsidRPr="00EC0FF1" w:rsidRDefault="00D26525" w:rsidP="003530EE">
      <w:pPr>
        <w:pStyle w:val="ListParagraph"/>
        <w:numPr>
          <w:ilvl w:val="3"/>
          <w:numId w:val="116"/>
        </w:numPr>
        <w:jc w:val="both"/>
        <w:rPr>
          <w:rFonts w:ascii="Calibri" w:hAnsi="Calibri" w:cs="Calibri"/>
          <w:b/>
          <w:bCs/>
          <w:color w:val="auto"/>
          <w:sz w:val="22"/>
          <w:lang w:val="en-US"/>
        </w:rPr>
      </w:pPr>
      <w:r>
        <w:rPr>
          <w:rFonts w:ascii="Calibri" w:hAnsi="Calibri" w:cs="Calibri"/>
          <w:color w:val="auto"/>
          <w:sz w:val="22"/>
          <w:u w:val="single"/>
          <w:lang w:val="en-US"/>
        </w:rPr>
        <w:t>Unlisted debt securities do not fall under this 5% deviation limit</w:t>
      </w:r>
      <w:r w:rsidRPr="00F61F32">
        <w:rPr>
          <w:rFonts w:ascii="Calibri" w:hAnsi="Calibri" w:cs="Calibri"/>
          <w:color w:val="auto"/>
          <w:sz w:val="22"/>
          <w:lang w:val="en-US"/>
        </w:rPr>
        <w:t>.</w:t>
      </w:r>
    </w:p>
    <w:p w14:paraId="2B6DECA8" w14:textId="77777777" w:rsidR="00D26525" w:rsidRPr="00536530" w:rsidRDefault="00D26525" w:rsidP="003530EE">
      <w:pPr>
        <w:pStyle w:val="ListParagraph"/>
        <w:numPr>
          <w:ilvl w:val="2"/>
          <w:numId w:val="116"/>
        </w:numPr>
        <w:jc w:val="both"/>
        <w:rPr>
          <w:rFonts w:ascii="Calibri" w:hAnsi="Calibri" w:cs="Calibri"/>
          <w:b/>
          <w:bCs/>
          <w:color w:val="auto"/>
          <w:sz w:val="22"/>
          <w:lang w:val="en-US"/>
        </w:rPr>
      </w:pPr>
      <w:r>
        <w:rPr>
          <w:rFonts w:ascii="Calibri" w:hAnsi="Calibri" w:cs="Calibri"/>
          <w:b/>
          <w:bCs/>
          <w:color w:val="auto"/>
          <w:sz w:val="22"/>
          <w:lang w:val="en-US"/>
        </w:rPr>
        <w:t>Unlisted shares</w:t>
      </w:r>
      <w:r w:rsidRPr="006C085B">
        <w:rPr>
          <w:rFonts w:ascii="Calibri" w:hAnsi="Calibri" w:cs="Calibri"/>
          <w:color w:val="auto"/>
          <w:sz w:val="22"/>
          <w:lang w:val="en-US"/>
        </w:rPr>
        <w:t>:</w:t>
      </w:r>
      <w:r>
        <w:rPr>
          <w:rFonts w:ascii="Calibri" w:hAnsi="Calibri" w:cs="Calibri"/>
          <w:b/>
          <w:bCs/>
          <w:color w:val="auto"/>
          <w:sz w:val="22"/>
          <w:lang w:val="en-US"/>
        </w:rPr>
        <w:t xml:space="preserve"> </w:t>
      </w:r>
      <w:r>
        <w:rPr>
          <w:rFonts w:ascii="Calibri" w:hAnsi="Calibri" w:cs="Calibri"/>
          <w:color w:val="auto"/>
          <w:sz w:val="22"/>
          <w:lang w:val="en-US"/>
        </w:rPr>
        <w:t>Allowed within the 5% deviation limit.</w:t>
      </w:r>
    </w:p>
    <w:p w14:paraId="331CB576" w14:textId="77777777" w:rsidR="00D26525" w:rsidRPr="00311EB6" w:rsidRDefault="00D26525" w:rsidP="003530EE">
      <w:pPr>
        <w:pStyle w:val="ListParagraph"/>
        <w:numPr>
          <w:ilvl w:val="2"/>
          <w:numId w:val="116"/>
        </w:numPr>
        <w:jc w:val="both"/>
        <w:rPr>
          <w:rFonts w:ascii="Calibri" w:hAnsi="Calibri" w:cs="Calibri"/>
          <w:b/>
          <w:bCs/>
          <w:color w:val="auto"/>
          <w:sz w:val="22"/>
          <w:lang w:val="en-US"/>
        </w:rPr>
      </w:pPr>
      <w:r>
        <w:rPr>
          <w:rFonts w:ascii="Calibri" w:hAnsi="Calibri" w:cs="Calibri"/>
          <w:b/>
          <w:bCs/>
          <w:color w:val="auto"/>
          <w:sz w:val="22"/>
          <w:lang w:val="en-US"/>
        </w:rPr>
        <w:t>Financial Derivatives</w:t>
      </w:r>
      <w:r>
        <w:rPr>
          <w:rFonts w:ascii="Calibri" w:hAnsi="Calibri" w:cs="Calibri"/>
          <w:color w:val="auto"/>
          <w:sz w:val="22"/>
          <w:lang w:val="en-US"/>
        </w:rPr>
        <w:t>: Allowed for hedging and EPM. Otherwise, it will fall under the deviation limit of 5%.</w:t>
      </w:r>
    </w:p>
    <w:p w14:paraId="6F6A2DD5" w14:textId="77777777" w:rsidR="00D26525" w:rsidRPr="00C86E6C" w:rsidRDefault="00D26525" w:rsidP="003530EE">
      <w:pPr>
        <w:pStyle w:val="ListParagraph"/>
        <w:numPr>
          <w:ilvl w:val="2"/>
          <w:numId w:val="116"/>
        </w:numPr>
        <w:jc w:val="both"/>
        <w:rPr>
          <w:rFonts w:ascii="Calibri" w:hAnsi="Calibri" w:cs="Calibri"/>
          <w:b/>
          <w:bCs/>
          <w:color w:val="auto"/>
          <w:sz w:val="22"/>
          <w:lang w:val="en-US"/>
        </w:rPr>
      </w:pPr>
      <w:r>
        <w:rPr>
          <w:rFonts w:ascii="Calibri" w:hAnsi="Calibri" w:cs="Calibri"/>
          <w:b/>
          <w:bCs/>
          <w:color w:val="auto"/>
          <w:sz w:val="22"/>
          <w:lang w:val="en-US"/>
        </w:rPr>
        <w:t>Securities Lending</w:t>
      </w:r>
      <w:r w:rsidRPr="00311EB6">
        <w:rPr>
          <w:rFonts w:ascii="Calibri" w:hAnsi="Calibri" w:cs="Calibri"/>
          <w:color w:val="auto"/>
          <w:sz w:val="22"/>
          <w:lang w:val="en-US"/>
        </w:rPr>
        <w:t>:</w:t>
      </w:r>
      <w:r>
        <w:rPr>
          <w:rFonts w:ascii="Calibri" w:hAnsi="Calibri" w:cs="Calibri"/>
          <w:color w:val="auto"/>
          <w:sz w:val="22"/>
          <w:lang w:val="en-US"/>
        </w:rPr>
        <w:t xml:space="preserve"> Max. 50% of NAV may be lent at any time for the sole purpose of EPM.</w:t>
      </w:r>
    </w:p>
    <w:p w14:paraId="576D2689" w14:textId="77777777" w:rsidR="00D26525" w:rsidRPr="007C03FA" w:rsidRDefault="00D26525" w:rsidP="003530EE">
      <w:pPr>
        <w:pStyle w:val="ListParagraph"/>
        <w:numPr>
          <w:ilvl w:val="2"/>
          <w:numId w:val="116"/>
        </w:numPr>
        <w:jc w:val="both"/>
        <w:rPr>
          <w:rFonts w:ascii="Calibri" w:hAnsi="Calibri" w:cs="Calibri"/>
          <w:b/>
          <w:bCs/>
          <w:color w:val="auto"/>
          <w:sz w:val="22"/>
          <w:lang w:val="en-US"/>
        </w:rPr>
      </w:pPr>
      <w:r>
        <w:rPr>
          <w:rFonts w:ascii="Calibri" w:hAnsi="Calibri" w:cs="Calibri"/>
          <w:b/>
          <w:bCs/>
          <w:color w:val="auto"/>
          <w:sz w:val="22"/>
          <w:lang w:val="en-US"/>
        </w:rPr>
        <w:t>Borrowing Limit</w:t>
      </w:r>
      <w:r>
        <w:rPr>
          <w:rFonts w:ascii="Calibri" w:hAnsi="Calibri" w:cs="Calibri"/>
          <w:color w:val="auto"/>
          <w:sz w:val="22"/>
          <w:lang w:val="en-US"/>
        </w:rPr>
        <w:t>: Borrowing limit of 10% under MAS must be adhered to.</w:t>
      </w:r>
    </w:p>
    <w:p w14:paraId="116C2DD0" w14:textId="402D806C" w:rsidR="00D26525" w:rsidRPr="007C03FA" w:rsidRDefault="00D26525" w:rsidP="003530EE">
      <w:pPr>
        <w:pStyle w:val="ListParagraph"/>
        <w:numPr>
          <w:ilvl w:val="0"/>
          <w:numId w:val="116"/>
        </w:numPr>
        <w:jc w:val="both"/>
        <w:rPr>
          <w:rFonts w:ascii="Calibri" w:hAnsi="Calibri" w:cs="Calibri"/>
          <w:b/>
          <w:bCs/>
          <w:color w:val="auto"/>
          <w:sz w:val="22"/>
          <w:lang w:val="en-US"/>
        </w:rPr>
      </w:pPr>
      <w:r>
        <w:rPr>
          <w:rFonts w:ascii="Calibri" w:hAnsi="Calibri" w:cs="Calibri"/>
          <w:color w:val="auto"/>
          <w:sz w:val="22"/>
          <w:lang w:val="en-US"/>
        </w:rPr>
        <w:t xml:space="preserve"> </w:t>
      </w:r>
      <w:r w:rsidRPr="002164DE">
        <w:rPr>
          <w:rFonts w:ascii="Calibri" w:hAnsi="Calibri" w:cs="Calibri"/>
          <w:b/>
          <w:bCs/>
          <w:color w:val="auto"/>
          <w:sz w:val="22"/>
          <w:lang w:val="en-US"/>
        </w:rPr>
        <w:t>5%</w:t>
      </w:r>
      <w:r>
        <w:rPr>
          <w:rFonts w:ascii="Calibri" w:hAnsi="Calibri" w:cs="Calibri"/>
          <w:color w:val="auto"/>
          <w:sz w:val="22"/>
          <w:lang w:val="en-US"/>
        </w:rPr>
        <w:t xml:space="preserve"> </w:t>
      </w:r>
      <w:r>
        <w:rPr>
          <w:rFonts w:ascii="Calibri" w:hAnsi="Calibri" w:cs="Calibri"/>
          <w:b/>
          <w:bCs/>
          <w:color w:val="auto"/>
          <w:sz w:val="22"/>
          <w:lang w:val="en-US"/>
        </w:rPr>
        <w:t>Deviation Limit</w:t>
      </w:r>
      <w:r w:rsidR="007F7428">
        <w:rPr>
          <w:rFonts w:ascii="Calibri" w:hAnsi="Calibri" w:cs="Calibri"/>
          <w:b/>
          <w:bCs/>
          <w:color w:val="auto"/>
          <w:sz w:val="22"/>
          <w:lang w:val="en-US"/>
        </w:rPr>
        <w:t xml:space="preserve"> from CPFIG</w:t>
      </w:r>
      <w:r w:rsidRPr="007C03FA">
        <w:rPr>
          <w:rFonts w:ascii="Calibri" w:hAnsi="Calibri" w:cs="Calibri"/>
          <w:color w:val="auto"/>
          <w:sz w:val="22"/>
          <w:lang w:val="en-US"/>
        </w:rPr>
        <w:t>:</w:t>
      </w:r>
    </w:p>
    <w:p w14:paraId="7E264872" w14:textId="67F1F526" w:rsidR="00D26525" w:rsidRPr="001B1582" w:rsidRDefault="00D26525" w:rsidP="003530EE">
      <w:pPr>
        <w:pStyle w:val="ListParagraph"/>
        <w:numPr>
          <w:ilvl w:val="1"/>
          <w:numId w:val="116"/>
        </w:numPr>
        <w:jc w:val="both"/>
        <w:rPr>
          <w:rFonts w:ascii="Calibri" w:hAnsi="Calibri" w:cs="Calibri"/>
          <w:color w:val="auto"/>
          <w:sz w:val="22"/>
          <w:lang w:val="en-US"/>
        </w:rPr>
      </w:pPr>
      <w:r w:rsidRPr="00E4212A">
        <w:rPr>
          <w:rFonts w:ascii="Calibri" w:hAnsi="Calibri" w:cs="Calibri"/>
          <w:color w:val="auto"/>
          <w:sz w:val="22"/>
          <w:lang w:val="en-US"/>
        </w:rPr>
        <w:t xml:space="preserve">If the 5% </w:t>
      </w:r>
      <w:r>
        <w:rPr>
          <w:rFonts w:ascii="Calibri" w:hAnsi="Calibri" w:cs="Calibri"/>
          <w:color w:val="auto"/>
          <w:sz w:val="22"/>
          <w:lang w:val="en-US"/>
        </w:rPr>
        <w:t>d</w:t>
      </w:r>
      <w:r w:rsidRPr="00E4212A">
        <w:rPr>
          <w:rFonts w:ascii="Calibri" w:hAnsi="Calibri" w:cs="Calibri"/>
          <w:color w:val="auto"/>
          <w:sz w:val="22"/>
          <w:lang w:val="en-US"/>
        </w:rPr>
        <w:t xml:space="preserve">eviation </w:t>
      </w:r>
      <w:r>
        <w:rPr>
          <w:rFonts w:ascii="Calibri" w:hAnsi="Calibri" w:cs="Calibri"/>
          <w:color w:val="auto"/>
          <w:sz w:val="22"/>
          <w:lang w:val="en-US"/>
        </w:rPr>
        <w:t>l</w:t>
      </w:r>
      <w:r w:rsidRPr="00E4212A">
        <w:rPr>
          <w:rFonts w:ascii="Calibri" w:hAnsi="Calibri" w:cs="Calibri"/>
          <w:color w:val="auto"/>
          <w:sz w:val="22"/>
          <w:lang w:val="en-US"/>
        </w:rPr>
        <w:t>imit is exceeded</w:t>
      </w:r>
      <w:r>
        <w:rPr>
          <w:rFonts w:ascii="Calibri" w:hAnsi="Calibri" w:cs="Calibri"/>
          <w:color w:val="auto"/>
          <w:sz w:val="22"/>
          <w:lang w:val="en-US"/>
        </w:rPr>
        <w:t xml:space="preserve"> due to (</w:t>
      </w:r>
      <w:proofErr w:type="spellStart"/>
      <w:r>
        <w:rPr>
          <w:rFonts w:ascii="Calibri" w:hAnsi="Calibri" w:cs="Calibri"/>
          <w:color w:val="auto"/>
          <w:sz w:val="22"/>
          <w:lang w:val="en-US"/>
        </w:rPr>
        <w:t>i</w:t>
      </w:r>
      <w:proofErr w:type="spellEnd"/>
      <w:r>
        <w:rPr>
          <w:rFonts w:ascii="Calibri" w:hAnsi="Calibri" w:cs="Calibri"/>
          <w:color w:val="auto"/>
          <w:sz w:val="22"/>
          <w:lang w:val="en-US"/>
        </w:rPr>
        <w:t>) Fund NAV appreciation/depreciation, (ii) Changes in capital</w:t>
      </w:r>
      <w:r w:rsidRPr="00E4212A">
        <w:rPr>
          <w:rFonts w:ascii="Calibri" w:hAnsi="Calibri" w:cs="Calibri"/>
          <w:color w:val="auto"/>
          <w:sz w:val="22"/>
          <w:lang w:val="en-US"/>
        </w:rPr>
        <w:t xml:space="preserve">, </w:t>
      </w:r>
      <w:r>
        <w:rPr>
          <w:rFonts w:ascii="Calibri" w:hAnsi="Calibri" w:cs="Calibri"/>
          <w:color w:val="auto"/>
          <w:sz w:val="22"/>
          <w:lang w:val="en-US"/>
        </w:rPr>
        <w:t xml:space="preserve">(iii) Weight reduction in benchmark constituent, (iv) Downgrade of credit ratings, </w:t>
      </w:r>
      <w:r w:rsidR="00B72D51">
        <w:rPr>
          <w:rFonts w:ascii="Calibri" w:hAnsi="Calibri" w:cs="Calibri"/>
          <w:color w:val="auto"/>
          <w:sz w:val="22"/>
          <w:u w:val="single"/>
          <w:lang w:val="en-US"/>
        </w:rPr>
        <w:t>LFMC</w:t>
      </w:r>
      <w:r w:rsidRPr="0079675F">
        <w:rPr>
          <w:rFonts w:ascii="Calibri" w:hAnsi="Calibri" w:cs="Calibri"/>
          <w:color w:val="auto"/>
          <w:sz w:val="22"/>
          <w:u w:val="single"/>
          <w:lang w:val="en-US"/>
        </w:rPr>
        <w:t xml:space="preserve"> must sell securities / units to bring the fund back in compliance within 3 months</w:t>
      </w:r>
      <w:r w:rsidRPr="001B1582">
        <w:rPr>
          <w:rFonts w:ascii="Calibri" w:hAnsi="Calibri" w:cs="Calibri"/>
          <w:color w:val="auto"/>
          <w:sz w:val="22"/>
          <w:lang w:val="en-US"/>
        </w:rPr>
        <w:t>.</w:t>
      </w:r>
    </w:p>
    <w:p w14:paraId="1DB62CFC" w14:textId="3FD5043E" w:rsidR="00D26525" w:rsidRDefault="00D26525" w:rsidP="003530EE">
      <w:pPr>
        <w:pStyle w:val="ListParagraph"/>
        <w:numPr>
          <w:ilvl w:val="1"/>
          <w:numId w:val="116"/>
        </w:numPr>
        <w:jc w:val="both"/>
        <w:rPr>
          <w:rFonts w:ascii="Calibri" w:hAnsi="Calibri" w:cs="Calibri"/>
          <w:color w:val="auto"/>
          <w:sz w:val="22"/>
          <w:lang w:val="en-US"/>
        </w:rPr>
      </w:pPr>
      <w:r>
        <w:rPr>
          <w:rFonts w:ascii="Calibri" w:hAnsi="Calibri" w:cs="Calibri"/>
          <w:color w:val="auto"/>
          <w:sz w:val="22"/>
          <w:lang w:val="en-US"/>
        </w:rPr>
        <w:t xml:space="preserve">If the 5% deviation limit is exceeded </w:t>
      </w:r>
      <w:r w:rsidRPr="0079675F">
        <w:rPr>
          <w:rFonts w:ascii="Calibri" w:hAnsi="Calibri" w:cs="Calibri"/>
          <w:color w:val="auto"/>
          <w:sz w:val="22"/>
          <w:u w:val="single"/>
          <w:lang w:val="en-US"/>
        </w:rPr>
        <w:t>not due to the events above or is exceeded because of acquisitions of more prohibited investments</w:t>
      </w:r>
      <w:r>
        <w:rPr>
          <w:rFonts w:ascii="Calibri" w:hAnsi="Calibri" w:cs="Calibri"/>
          <w:color w:val="auto"/>
          <w:sz w:val="22"/>
          <w:lang w:val="en-US"/>
        </w:rPr>
        <w:t xml:space="preserve">, then </w:t>
      </w:r>
      <w:r w:rsidR="00B72D51">
        <w:rPr>
          <w:rFonts w:ascii="Calibri" w:hAnsi="Calibri" w:cs="Calibri"/>
          <w:color w:val="auto"/>
          <w:sz w:val="22"/>
          <w:u w:val="single"/>
          <w:lang w:val="en-US"/>
        </w:rPr>
        <w:t>LFMC</w:t>
      </w:r>
      <w:r w:rsidRPr="0079675F">
        <w:rPr>
          <w:rFonts w:ascii="Calibri" w:hAnsi="Calibri" w:cs="Calibri"/>
          <w:color w:val="auto"/>
          <w:sz w:val="22"/>
          <w:u w:val="single"/>
          <w:lang w:val="en-US"/>
        </w:rPr>
        <w:t xml:space="preserve"> must sell investments and/or reduce borrowings to bring the fund back in compliance immediately</w:t>
      </w:r>
      <w:r>
        <w:rPr>
          <w:rFonts w:ascii="Calibri" w:hAnsi="Calibri" w:cs="Calibri"/>
          <w:color w:val="auto"/>
          <w:sz w:val="22"/>
          <w:lang w:val="en-US"/>
        </w:rPr>
        <w:t>.</w:t>
      </w:r>
    </w:p>
    <w:p w14:paraId="53376E8E" w14:textId="1BDFA05F" w:rsidR="004E07E0" w:rsidRPr="004E07E0" w:rsidRDefault="00D26525" w:rsidP="003530EE">
      <w:pPr>
        <w:pStyle w:val="ListParagraph"/>
        <w:numPr>
          <w:ilvl w:val="1"/>
          <w:numId w:val="116"/>
        </w:numPr>
        <w:jc w:val="both"/>
        <w:rPr>
          <w:rFonts w:ascii="Calibri" w:hAnsi="Calibri" w:cs="Calibri"/>
          <w:color w:val="auto"/>
          <w:sz w:val="22"/>
          <w:lang w:val="en-US"/>
        </w:rPr>
      </w:pPr>
      <w:r>
        <w:rPr>
          <w:rFonts w:ascii="Calibri" w:hAnsi="Calibri" w:cs="Calibri"/>
          <w:color w:val="auto"/>
          <w:sz w:val="22"/>
          <w:lang w:val="en-US"/>
        </w:rPr>
        <w:t xml:space="preserve">For </w:t>
      </w:r>
      <w:r w:rsidR="00B72D51">
        <w:rPr>
          <w:rFonts w:ascii="Calibri" w:hAnsi="Calibri" w:cs="Calibri"/>
          <w:color w:val="auto"/>
          <w:sz w:val="22"/>
          <w:lang w:val="en-US"/>
        </w:rPr>
        <w:t>LFMC</w:t>
      </w:r>
      <w:r>
        <w:rPr>
          <w:rFonts w:ascii="Calibri" w:hAnsi="Calibri" w:cs="Calibri"/>
          <w:color w:val="auto"/>
          <w:sz w:val="22"/>
          <w:lang w:val="en-US"/>
        </w:rPr>
        <w:t xml:space="preserve">s that are not able to comply with </w:t>
      </w:r>
      <w:r w:rsidR="004E07E0">
        <w:rPr>
          <w:rFonts w:ascii="Calibri" w:hAnsi="Calibri" w:cs="Calibri"/>
          <w:color w:val="auto"/>
          <w:sz w:val="22"/>
          <w:lang w:val="en-US"/>
        </w:rPr>
        <w:t>the above, they must –</w:t>
      </w:r>
    </w:p>
    <w:p w14:paraId="61D801EB" w14:textId="5954D8E0" w:rsidR="00D26525" w:rsidRDefault="004E07E0" w:rsidP="003530EE">
      <w:pPr>
        <w:pStyle w:val="ListParagraph"/>
        <w:numPr>
          <w:ilvl w:val="2"/>
          <w:numId w:val="116"/>
        </w:numPr>
        <w:jc w:val="both"/>
        <w:rPr>
          <w:rFonts w:ascii="Calibri" w:hAnsi="Calibri" w:cs="Calibri"/>
          <w:color w:val="auto"/>
          <w:sz w:val="22"/>
          <w:lang w:val="en-US"/>
        </w:rPr>
      </w:pPr>
      <w:r>
        <w:rPr>
          <w:rFonts w:ascii="Calibri" w:hAnsi="Calibri" w:cs="Calibri"/>
          <w:color w:val="auto"/>
          <w:sz w:val="22"/>
          <w:lang w:val="en-US"/>
        </w:rPr>
        <w:t xml:space="preserve">Still </w:t>
      </w:r>
      <w:r w:rsidRPr="00850353">
        <w:rPr>
          <w:rFonts w:ascii="Calibri" w:hAnsi="Calibri" w:cs="Calibri"/>
          <w:color w:val="auto"/>
          <w:sz w:val="22"/>
          <w:u w:val="single"/>
          <w:lang w:val="en-US"/>
        </w:rPr>
        <w:t>report the breach within 14 calendar days</w:t>
      </w:r>
    </w:p>
    <w:p w14:paraId="36C8DDE1" w14:textId="711C7B28" w:rsidR="004E07E0" w:rsidRPr="00850353" w:rsidRDefault="004E07E0" w:rsidP="003530EE">
      <w:pPr>
        <w:pStyle w:val="ListParagraph"/>
        <w:numPr>
          <w:ilvl w:val="2"/>
          <w:numId w:val="116"/>
        </w:numPr>
        <w:jc w:val="both"/>
        <w:rPr>
          <w:rFonts w:ascii="Calibri" w:hAnsi="Calibri" w:cs="Calibri"/>
          <w:color w:val="auto"/>
          <w:sz w:val="22"/>
          <w:u w:val="single"/>
          <w:lang w:val="en-US"/>
        </w:rPr>
      </w:pPr>
      <w:r w:rsidRPr="00850353">
        <w:rPr>
          <w:rFonts w:ascii="Calibri" w:hAnsi="Calibri" w:cs="Calibri"/>
          <w:color w:val="auto"/>
          <w:sz w:val="22"/>
          <w:u w:val="single"/>
          <w:lang w:val="en-US"/>
        </w:rPr>
        <w:t xml:space="preserve">Cease to accept subscriptions </w:t>
      </w:r>
      <w:r w:rsidR="00C74416" w:rsidRPr="00850353">
        <w:rPr>
          <w:rFonts w:ascii="Calibri" w:hAnsi="Calibri" w:cs="Calibri"/>
          <w:color w:val="auto"/>
          <w:sz w:val="22"/>
          <w:u w:val="single"/>
          <w:lang w:val="en-US"/>
        </w:rPr>
        <w:t>from CPFIS-OA and CPFIS-SA with immediate effect</w:t>
      </w:r>
    </w:p>
    <w:p w14:paraId="5D118113" w14:textId="42A0D99D" w:rsidR="00C74416" w:rsidRDefault="00C74416" w:rsidP="003530EE">
      <w:pPr>
        <w:pStyle w:val="ListParagraph"/>
        <w:numPr>
          <w:ilvl w:val="2"/>
          <w:numId w:val="116"/>
        </w:numPr>
        <w:jc w:val="both"/>
        <w:rPr>
          <w:rFonts w:ascii="Calibri" w:hAnsi="Calibri" w:cs="Calibri"/>
          <w:color w:val="auto"/>
          <w:sz w:val="22"/>
          <w:lang w:val="en-US"/>
        </w:rPr>
      </w:pPr>
      <w:r w:rsidRPr="00850353">
        <w:rPr>
          <w:rFonts w:ascii="Calibri" w:hAnsi="Calibri" w:cs="Calibri"/>
          <w:color w:val="auto"/>
          <w:sz w:val="22"/>
          <w:u w:val="single"/>
          <w:lang w:val="en-US"/>
        </w:rPr>
        <w:t xml:space="preserve">Provide within 3 months the </w:t>
      </w:r>
      <w:r w:rsidR="004C0607" w:rsidRPr="00850353">
        <w:rPr>
          <w:rFonts w:ascii="Calibri" w:hAnsi="Calibri" w:cs="Calibri"/>
          <w:color w:val="auto"/>
          <w:sz w:val="22"/>
          <w:u w:val="single"/>
          <w:lang w:val="en-US"/>
        </w:rPr>
        <w:t>notice to each CPF member</w:t>
      </w:r>
      <w:r w:rsidR="004C0607">
        <w:rPr>
          <w:rFonts w:ascii="Calibri" w:hAnsi="Calibri" w:cs="Calibri"/>
          <w:color w:val="auto"/>
          <w:sz w:val="22"/>
          <w:lang w:val="en-US"/>
        </w:rPr>
        <w:t xml:space="preserve"> invested in the fund the </w:t>
      </w:r>
      <w:r w:rsidR="004C0607" w:rsidRPr="00850353">
        <w:rPr>
          <w:rFonts w:ascii="Calibri" w:hAnsi="Calibri" w:cs="Calibri"/>
          <w:color w:val="auto"/>
          <w:sz w:val="22"/>
          <w:u w:val="single"/>
          <w:lang w:val="en-US"/>
        </w:rPr>
        <w:t>impact of the breach</w:t>
      </w:r>
      <w:r w:rsidR="004C0607">
        <w:rPr>
          <w:rFonts w:ascii="Calibri" w:hAnsi="Calibri" w:cs="Calibri"/>
          <w:color w:val="auto"/>
          <w:sz w:val="22"/>
          <w:lang w:val="en-US"/>
        </w:rPr>
        <w:t xml:space="preserve"> and give </w:t>
      </w:r>
      <w:r w:rsidR="00850353">
        <w:rPr>
          <w:rFonts w:ascii="Calibri" w:hAnsi="Calibri" w:cs="Calibri"/>
          <w:color w:val="auto"/>
          <w:sz w:val="22"/>
          <w:lang w:val="en-US"/>
        </w:rPr>
        <w:t xml:space="preserve">them the option to </w:t>
      </w:r>
      <w:r w:rsidR="00850353" w:rsidRPr="00850353">
        <w:rPr>
          <w:rFonts w:ascii="Calibri" w:hAnsi="Calibri" w:cs="Calibri"/>
          <w:color w:val="auto"/>
          <w:sz w:val="22"/>
          <w:u w:val="single"/>
          <w:lang w:val="en-US"/>
        </w:rPr>
        <w:t xml:space="preserve">redeem or switch </w:t>
      </w:r>
      <w:r w:rsidR="00850353">
        <w:rPr>
          <w:rFonts w:ascii="Calibri" w:hAnsi="Calibri" w:cs="Calibri"/>
          <w:color w:val="auto"/>
          <w:sz w:val="22"/>
          <w:u w:val="single"/>
          <w:lang w:val="en-US"/>
        </w:rPr>
        <w:t xml:space="preserve">to </w:t>
      </w:r>
      <w:r w:rsidR="00850353" w:rsidRPr="00850353">
        <w:rPr>
          <w:rFonts w:ascii="Calibri" w:hAnsi="Calibri" w:cs="Calibri"/>
          <w:color w:val="auto"/>
          <w:sz w:val="22"/>
          <w:u w:val="single"/>
          <w:lang w:val="en-US"/>
        </w:rPr>
        <w:t>another fund</w:t>
      </w:r>
      <w:r w:rsidR="00850353">
        <w:rPr>
          <w:rFonts w:ascii="Calibri" w:hAnsi="Calibri" w:cs="Calibri"/>
          <w:color w:val="auto"/>
          <w:sz w:val="22"/>
          <w:lang w:val="en-US"/>
        </w:rPr>
        <w:t xml:space="preserve"> under CPFIS without any additional charges. </w:t>
      </w:r>
    </w:p>
    <w:p w14:paraId="7F3AE119" w14:textId="77777777" w:rsidR="00DC6F3D" w:rsidRDefault="00DC6F3D" w:rsidP="00DC6F3D">
      <w:pPr>
        <w:pStyle w:val="BodyText"/>
        <w:rPr>
          <w:lang w:val="en-US"/>
        </w:rPr>
      </w:pPr>
    </w:p>
    <w:p w14:paraId="6E6C3D17" w14:textId="29F5439B" w:rsidR="0006047C" w:rsidRPr="00B52D53" w:rsidRDefault="0006047C" w:rsidP="0006047C">
      <w:pPr>
        <w:pStyle w:val="Heading2"/>
        <w:jc w:val="both"/>
        <w:rPr>
          <w:rFonts w:ascii="Calibri" w:hAnsi="Calibri" w:cs="Calibri"/>
          <w:color w:val="auto"/>
          <w:lang w:val="en-US"/>
        </w:rPr>
      </w:pPr>
      <w:r w:rsidRPr="00B52D53">
        <w:rPr>
          <w:rFonts w:ascii="Calibri" w:hAnsi="Calibri" w:cs="Calibri"/>
          <w:color w:val="auto"/>
          <w:lang w:val="en-US"/>
        </w:rPr>
        <w:t xml:space="preserve">Chapter </w:t>
      </w:r>
      <w:r w:rsidR="00BD0E43">
        <w:rPr>
          <w:rFonts w:ascii="Calibri" w:hAnsi="Calibri" w:cs="Calibri"/>
          <w:color w:val="auto"/>
          <w:lang w:val="en-US"/>
        </w:rPr>
        <w:t>9</w:t>
      </w:r>
      <w:r>
        <w:rPr>
          <w:rFonts w:ascii="Calibri" w:hAnsi="Calibri" w:cs="Calibri"/>
          <w:color w:val="auto"/>
          <w:lang w:val="en-US"/>
        </w:rPr>
        <w:t xml:space="preserve"> </w:t>
      </w:r>
      <w:r w:rsidRPr="00B52D53">
        <w:rPr>
          <w:rFonts w:ascii="Calibri" w:hAnsi="Calibri" w:cs="Calibri"/>
          <w:color w:val="auto"/>
          <w:lang w:val="en-US"/>
        </w:rPr>
        <w:t xml:space="preserve">– </w:t>
      </w:r>
      <w:r w:rsidR="000C5B05">
        <w:rPr>
          <w:rFonts w:ascii="Calibri" w:hAnsi="Calibri" w:cs="Calibri"/>
          <w:color w:val="auto"/>
          <w:lang w:val="en-US"/>
        </w:rPr>
        <w:t>Ethics, Codes and Standards of Professional Conduct</w:t>
      </w:r>
    </w:p>
    <w:p w14:paraId="402B3A23" w14:textId="22DA4869" w:rsidR="00622D27" w:rsidRDefault="00CE08D8" w:rsidP="0006047C">
      <w:pPr>
        <w:pStyle w:val="ListParagraph"/>
        <w:numPr>
          <w:ilvl w:val="0"/>
          <w:numId w:val="109"/>
        </w:numPr>
        <w:jc w:val="both"/>
        <w:rPr>
          <w:rFonts w:ascii="Calibri" w:hAnsi="Calibri" w:cs="Calibri"/>
          <w:color w:val="auto"/>
          <w:sz w:val="22"/>
          <w:lang w:val="en-US"/>
        </w:rPr>
      </w:pPr>
      <w:r w:rsidRPr="00246AB2">
        <w:rPr>
          <w:rFonts w:ascii="Calibri" w:hAnsi="Calibri" w:cs="Calibri"/>
          <w:b/>
          <w:bCs/>
          <w:color w:val="auto"/>
          <w:sz w:val="22"/>
          <w:lang w:val="en-US"/>
        </w:rPr>
        <w:t>Ethical Framework</w:t>
      </w:r>
      <w:r w:rsidR="00622D27">
        <w:rPr>
          <w:rFonts w:ascii="Calibri" w:hAnsi="Calibri" w:cs="Calibri"/>
          <w:color w:val="auto"/>
          <w:sz w:val="22"/>
          <w:lang w:val="en-US"/>
        </w:rPr>
        <w:t>:</w:t>
      </w:r>
    </w:p>
    <w:p w14:paraId="39CFBB37" w14:textId="77777777" w:rsidR="005E0D54" w:rsidRDefault="00622D27" w:rsidP="00622D27">
      <w:pPr>
        <w:pStyle w:val="ListParagraph"/>
        <w:numPr>
          <w:ilvl w:val="1"/>
          <w:numId w:val="109"/>
        </w:numPr>
        <w:jc w:val="both"/>
        <w:rPr>
          <w:rFonts w:ascii="Calibri" w:hAnsi="Calibri" w:cs="Calibri"/>
          <w:color w:val="auto"/>
          <w:sz w:val="22"/>
          <w:lang w:val="en-US"/>
        </w:rPr>
      </w:pPr>
      <w:r w:rsidRPr="005E0D54">
        <w:rPr>
          <w:rFonts w:ascii="Calibri" w:hAnsi="Calibri" w:cs="Calibri"/>
          <w:color w:val="auto"/>
          <w:sz w:val="22"/>
          <w:u w:val="single"/>
          <w:lang w:val="en-US"/>
        </w:rPr>
        <w:t xml:space="preserve">Understanding and </w:t>
      </w:r>
      <w:r w:rsidR="005E0D54" w:rsidRPr="005E0D54">
        <w:rPr>
          <w:rFonts w:ascii="Calibri" w:hAnsi="Calibri" w:cs="Calibri"/>
          <w:color w:val="auto"/>
          <w:sz w:val="22"/>
          <w:u w:val="single"/>
          <w:lang w:val="en-US"/>
        </w:rPr>
        <w:t>c</w:t>
      </w:r>
      <w:r w:rsidRPr="005E0D54">
        <w:rPr>
          <w:rFonts w:ascii="Calibri" w:hAnsi="Calibri" w:cs="Calibri"/>
          <w:color w:val="auto"/>
          <w:sz w:val="22"/>
          <w:u w:val="single"/>
          <w:lang w:val="en-US"/>
        </w:rPr>
        <w:t>omprehension</w:t>
      </w:r>
      <w:r>
        <w:rPr>
          <w:rFonts w:ascii="Calibri" w:hAnsi="Calibri" w:cs="Calibri"/>
          <w:color w:val="auto"/>
          <w:sz w:val="22"/>
          <w:lang w:val="en-US"/>
        </w:rPr>
        <w:t xml:space="preserve"> of the products and servi</w:t>
      </w:r>
      <w:r w:rsidR="005E0D54">
        <w:rPr>
          <w:rFonts w:ascii="Calibri" w:hAnsi="Calibri" w:cs="Calibri"/>
          <w:color w:val="auto"/>
          <w:sz w:val="22"/>
          <w:lang w:val="en-US"/>
        </w:rPr>
        <w:t>c</w:t>
      </w:r>
      <w:r>
        <w:rPr>
          <w:rFonts w:ascii="Calibri" w:hAnsi="Calibri" w:cs="Calibri"/>
          <w:color w:val="auto"/>
          <w:sz w:val="22"/>
          <w:lang w:val="en-US"/>
        </w:rPr>
        <w:t>es</w:t>
      </w:r>
      <w:r w:rsidR="005E0D54">
        <w:rPr>
          <w:rFonts w:ascii="Calibri" w:hAnsi="Calibri" w:cs="Calibri"/>
          <w:color w:val="auto"/>
          <w:sz w:val="22"/>
          <w:lang w:val="en-US"/>
        </w:rPr>
        <w:t xml:space="preserve"> and their </w:t>
      </w:r>
      <w:r w:rsidR="005E0D54" w:rsidRPr="005E0D54">
        <w:rPr>
          <w:rFonts w:ascii="Calibri" w:hAnsi="Calibri" w:cs="Calibri"/>
          <w:color w:val="auto"/>
          <w:sz w:val="22"/>
          <w:u w:val="single"/>
          <w:lang w:val="en-US"/>
        </w:rPr>
        <w:t>risks</w:t>
      </w:r>
    </w:p>
    <w:p w14:paraId="60E3AEA0" w14:textId="77777777" w:rsidR="006536E2" w:rsidRDefault="005E0D54" w:rsidP="00622D27">
      <w:pPr>
        <w:pStyle w:val="ListParagraph"/>
        <w:numPr>
          <w:ilvl w:val="1"/>
          <w:numId w:val="109"/>
        </w:numPr>
        <w:jc w:val="both"/>
        <w:rPr>
          <w:rFonts w:ascii="Calibri" w:hAnsi="Calibri" w:cs="Calibri"/>
          <w:color w:val="auto"/>
          <w:sz w:val="22"/>
          <w:lang w:val="en-US"/>
        </w:rPr>
      </w:pPr>
      <w:r w:rsidRPr="006536E2">
        <w:rPr>
          <w:rFonts w:ascii="Calibri" w:hAnsi="Calibri" w:cs="Calibri"/>
          <w:color w:val="auto"/>
          <w:sz w:val="22"/>
          <w:u w:val="single"/>
          <w:lang w:val="en-US"/>
        </w:rPr>
        <w:t xml:space="preserve">Analyze </w:t>
      </w:r>
      <w:r w:rsidR="006536E2" w:rsidRPr="006536E2">
        <w:rPr>
          <w:rFonts w:ascii="Calibri" w:hAnsi="Calibri" w:cs="Calibri"/>
          <w:color w:val="auto"/>
          <w:sz w:val="22"/>
          <w:u w:val="single"/>
          <w:lang w:val="en-US"/>
        </w:rPr>
        <w:t>risks</w:t>
      </w:r>
      <w:r w:rsidR="006536E2">
        <w:rPr>
          <w:rFonts w:ascii="Calibri" w:hAnsi="Calibri" w:cs="Calibri"/>
          <w:color w:val="auto"/>
          <w:sz w:val="22"/>
          <w:lang w:val="en-US"/>
        </w:rPr>
        <w:t xml:space="preserve"> by taking into consideration </w:t>
      </w:r>
      <w:r w:rsidR="006536E2" w:rsidRPr="006536E2">
        <w:rPr>
          <w:rFonts w:ascii="Calibri" w:hAnsi="Calibri" w:cs="Calibri"/>
          <w:color w:val="auto"/>
          <w:sz w:val="22"/>
          <w:u w:val="single"/>
          <w:lang w:val="en-US"/>
        </w:rPr>
        <w:t>risk tolerance and financial capacity of clients</w:t>
      </w:r>
    </w:p>
    <w:p w14:paraId="579F6C86" w14:textId="01754B5D" w:rsidR="005E0D54" w:rsidRDefault="006536E2" w:rsidP="00622D27">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Execute solutions </w:t>
      </w:r>
      <w:r w:rsidR="002038C5">
        <w:rPr>
          <w:rFonts w:ascii="Calibri" w:hAnsi="Calibri" w:cs="Calibri"/>
          <w:color w:val="auto"/>
          <w:sz w:val="22"/>
          <w:lang w:val="en-US"/>
        </w:rPr>
        <w:t xml:space="preserve">in a </w:t>
      </w:r>
      <w:r w:rsidR="00B7154E" w:rsidRPr="00B7154E">
        <w:rPr>
          <w:rFonts w:ascii="Calibri" w:hAnsi="Calibri" w:cs="Calibri"/>
          <w:color w:val="auto"/>
          <w:sz w:val="22"/>
          <w:u w:val="single"/>
          <w:lang w:val="en-US"/>
        </w:rPr>
        <w:t xml:space="preserve">fair and </w:t>
      </w:r>
      <w:r w:rsidR="002038C5" w:rsidRPr="00B7154E">
        <w:rPr>
          <w:rFonts w:ascii="Calibri" w:hAnsi="Calibri" w:cs="Calibri"/>
          <w:color w:val="auto"/>
          <w:sz w:val="22"/>
          <w:u w:val="single"/>
          <w:lang w:val="en-US"/>
        </w:rPr>
        <w:t>transparent</w:t>
      </w:r>
      <w:r w:rsidR="00B7154E" w:rsidRPr="00B7154E">
        <w:rPr>
          <w:rFonts w:ascii="Calibri" w:hAnsi="Calibri" w:cs="Calibri"/>
          <w:color w:val="auto"/>
          <w:sz w:val="22"/>
          <w:lang w:val="en-US"/>
        </w:rPr>
        <w:t xml:space="preserve"> </w:t>
      </w:r>
      <w:r w:rsidR="00B7154E">
        <w:rPr>
          <w:rFonts w:ascii="Calibri" w:hAnsi="Calibri" w:cs="Calibri"/>
          <w:color w:val="auto"/>
          <w:sz w:val="22"/>
          <w:lang w:val="en-US"/>
        </w:rPr>
        <w:t>manner</w:t>
      </w:r>
    </w:p>
    <w:p w14:paraId="1B10CEA5" w14:textId="3BB7737A" w:rsidR="00B7154E" w:rsidRDefault="009A7D23" w:rsidP="00622D27">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Serving clients by </w:t>
      </w:r>
      <w:r w:rsidRPr="00246AB2">
        <w:rPr>
          <w:rFonts w:ascii="Calibri" w:hAnsi="Calibri" w:cs="Calibri"/>
          <w:color w:val="auto"/>
          <w:sz w:val="22"/>
          <w:u w:val="single"/>
          <w:lang w:val="en-US"/>
        </w:rPr>
        <w:t>prioritizing their needs and interests</w:t>
      </w:r>
    </w:p>
    <w:p w14:paraId="6CB8703D" w14:textId="7AB59321" w:rsidR="00246AB2" w:rsidRDefault="00246AB2" w:rsidP="00246AB2">
      <w:pPr>
        <w:pStyle w:val="ListParagraph"/>
        <w:numPr>
          <w:ilvl w:val="0"/>
          <w:numId w:val="109"/>
        </w:numPr>
        <w:jc w:val="both"/>
        <w:rPr>
          <w:rFonts w:ascii="Calibri" w:hAnsi="Calibri" w:cs="Calibri"/>
          <w:color w:val="auto"/>
          <w:sz w:val="22"/>
          <w:lang w:val="en-US"/>
        </w:rPr>
      </w:pPr>
      <w:r w:rsidRPr="00246AB2">
        <w:rPr>
          <w:rFonts w:ascii="Calibri" w:hAnsi="Calibri" w:cs="Calibri"/>
          <w:b/>
          <w:bCs/>
          <w:color w:val="auto"/>
          <w:sz w:val="22"/>
          <w:lang w:val="en-US"/>
        </w:rPr>
        <w:t>Application</w:t>
      </w:r>
      <w:r>
        <w:rPr>
          <w:rFonts w:ascii="Calibri" w:hAnsi="Calibri" w:cs="Calibri"/>
          <w:color w:val="auto"/>
          <w:sz w:val="22"/>
          <w:lang w:val="en-US"/>
        </w:rPr>
        <w:t>:</w:t>
      </w:r>
    </w:p>
    <w:p w14:paraId="6A12F9B5" w14:textId="06CF05BB" w:rsidR="00246AB2" w:rsidRPr="00565527" w:rsidRDefault="004249BA" w:rsidP="00246AB2">
      <w:pPr>
        <w:pStyle w:val="ListParagraph"/>
        <w:numPr>
          <w:ilvl w:val="1"/>
          <w:numId w:val="109"/>
        </w:numPr>
        <w:jc w:val="both"/>
        <w:rPr>
          <w:rFonts w:ascii="Calibri" w:hAnsi="Calibri" w:cs="Calibri"/>
          <w:color w:val="auto"/>
          <w:sz w:val="22"/>
          <w:u w:val="single"/>
          <w:lang w:val="en-US"/>
        </w:rPr>
      </w:pPr>
      <w:r w:rsidRPr="00565527">
        <w:rPr>
          <w:rFonts w:ascii="Calibri" w:hAnsi="Calibri" w:cs="Calibri"/>
          <w:color w:val="auto"/>
          <w:sz w:val="22"/>
          <w:u w:val="single"/>
          <w:lang w:val="en-US"/>
        </w:rPr>
        <w:t>Prioritizing client needs first</w:t>
      </w:r>
    </w:p>
    <w:p w14:paraId="6CD0A460" w14:textId="5A6BA688" w:rsidR="004249BA" w:rsidRDefault="004249BA" w:rsidP="00246AB2">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Earning </w:t>
      </w:r>
      <w:r w:rsidRPr="00565527">
        <w:rPr>
          <w:rFonts w:ascii="Calibri" w:hAnsi="Calibri" w:cs="Calibri"/>
          <w:color w:val="auto"/>
          <w:sz w:val="22"/>
          <w:u w:val="single"/>
          <w:lang w:val="en-US"/>
        </w:rPr>
        <w:t>integrity, competence, diligence and respect</w:t>
      </w:r>
    </w:p>
    <w:p w14:paraId="33F5C06D" w14:textId="6CD5BF07" w:rsidR="00BC7188" w:rsidRPr="00565527" w:rsidRDefault="00BC7188" w:rsidP="00246AB2">
      <w:pPr>
        <w:pStyle w:val="ListParagraph"/>
        <w:numPr>
          <w:ilvl w:val="1"/>
          <w:numId w:val="109"/>
        </w:numPr>
        <w:jc w:val="both"/>
        <w:rPr>
          <w:rFonts w:ascii="Calibri" w:hAnsi="Calibri" w:cs="Calibri"/>
          <w:color w:val="auto"/>
          <w:sz w:val="22"/>
          <w:u w:val="single"/>
          <w:lang w:val="en-US"/>
        </w:rPr>
      </w:pPr>
      <w:r w:rsidRPr="00565527">
        <w:rPr>
          <w:rFonts w:ascii="Calibri" w:hAnsi="Calibri" w:cs="Calibri"/>
          <w:color w:val="auto"/>
          <w:sz w:val="22"/>
          <w:u w:val="single"/>
          <w:lang w:val="en-US"/>
        </w:rPr>
        <w:lastRenderedPageBreak/>
        <w:t>Exercise care and independent professional judgment</w:t>
      </w:r>
    </w:p>
    <w:p w14:paraId="37E3FD37" w14:textId="015027C6" w:rsidR="004249BA" w:rsidRPr="00565527" w:rsidRDefault="00FF3265" w:rsidP="00246AB2">
      <w:pPr>
        <w:pStyle w:val="ListParagraph"/>
        <w:numPr>
          <w:ilvl w:val="1"/>
          <w:numId w:val="109"/>
        </w:numPr>
        <w:jc w:val="both"/>
        <w:rPr>
          <w:rFonts w:ascii="Calibri" w:hAnsi="Calibri" w:cs="Calibri"/>
          <w:color w:val="auto"/>
          <w:sz w:val="22"/>
          <w:u w:val="single"/>
          <w:lang w:val="en-US"/>
        </w:rPr>
      </w:pPr>
      <w:r w:rsidRPr="00565527">
        <w:rPr>
          <w:rFonts w:ascii="Calibri" w:hAnsi="Calibri" w:cs="Calibri"/>
          <w:color w:val="auto"/>
          <w:sz w:val="22"/>
          <w:u w:val="single"/>
          <w:lang w:val="en-US"/>
        </w:rPr>
        <w:t>Building trust in clients and following market conduct</w:t>
      </w:r>
    </w:p>
    <w:p w14:paraId="10F88D99" w14:textId="1B9E39CF" w:rsidR="00FF3265" w:rsidRPr="00565527" w:rsidRDefault="00523C99" w:rsidP="00246AB2">
      <w:pPr>
        <w:pStyle w:val="ListParagraph"/>
        <w:numPr>
          <w:ilvl w:val="1"/>
          <w:numId w:val="109"/>
        </w:numPr>
        <w:jc w:val="both"/>
        <w:rPr>
          <w:rFonts w:ascii="Calibri" w:hAnsi="Calibri" w:cs="Calibri"/>
          <w:color w:val="auto"/>
          <w:sz w:val="22"/>
          <w:u w:val="single"/>
          <w:lang w:val="en-US"/>
        </w:rPr>
      </w:pPr>
      <w:r w:rsidRPr="00565527">
        <w:rPr>
          <w:rFonts w:ascii="Calibri" w:hAnsi="Calibri" w:cs="Calibri"/>
          <w:color w:val="auto"/>
          <w:sz w:val="22"/>
          <w:u w:val="single"/>
          <w:lang w:val="en-US"/>
        </w:rPr>
        <w:t>Disassociating oneself from transactions</w:t>
      </w:r>
    </w:p>
    <w:p w14:paraId="7E888D6E" w14:textId="47C1BCBC" w:rsidR="00523C99" w:rsidRPr="004249BA" w:rsidRDefault="00523C99" w:rsidP="00246AB2">
      <w:pPr>
        <w:pStyle w:val="ListParagraph"/>
        <w:numPr>
          <w:ilvl w:val="1"/>
          <w:numId w:val="109"/>
        </w:numPr>
        <w:jc w:val="both"/>
        <w:rPr>
          <w:rFonts w:ascii="Calibri" w:hAnsi="Calibri" w:cs="Calibri"/>
          <w:color w:val="auto"/>
          <w:sz w:val="22"/>
          <w:lang w:val="en-US"/>
        </w:rPr>
      </w:pPr>
      <w:r w:rsidRPr="00565527">
        <w:rPr>
          <w:rFonts w:ascii="Calibri" w:hAnsi="Calibri" w:cs="Calibri"/>
          <w:color w:val="auto"/>
          <w:sz w:val="22"/>
          <w:u w:val="single"/>
          <w:lang w:val="en-US"/>
        </w:rPr>
        <w:t>Consult compliance and legal</w:t>
      </w:r>
      <w:r>
        <w:rPr>
          <w:rFonts w:ascii="Calibri" w:hAnsi="Calibri" w:cs="Calibri"/>
          <w:color w:val="auto"/>
          <w:sz w:val="22"/>
          <w:lang w:val="en-US"/>
        </w:rPr>
        <w:t xml:space="preserve"> when in doubt</w:t>
      </w:r>
    </w:p>
    <w:p w14:paraId="53AFE372" w14:textId="77777777" w:rsidR="00FB6869" w:rsidRDefault="00FB6869" w:rsidP="0006047C">
      <w:pPr>
        <w:pStyle w:val="ListParagraph"/>
        <w:numPr>
          <w:ilvl w:val="0"/>
          <w:numId w:val="109"/>
        </w:numPr>
        <w:jc w:val="both"/>
        <w:rPr>
          <w:rFonts w:ascii="Calibri" w:hAnsi="Calibri" w:cs="Calibri"/>
          <w:color w:val="auto"/>
          <w:sz w:val="22"/>
          <w:lang w:val="en-US"/>
        </w:rPr>
      </w:pPr>
      <w:r w:rsidRPr="00FB6869">
        <w:rPr>
          <w:rFonts w:ascii="Calibri" w:hAnsi="Calibri" w:cs="Calibri"/>
          <w:b/>
          <w:bCs/>
          <w:color w:val="auto"/>
          <w:sz w:val="22"/>
          <w:lang w:val="en-US"/>
        </w:rPr>
        <w:t>Identifying Potential Ethical Dilemmas</w:t>
      </w:r>
      <w:r>
        <w:rPr>
          <w:rFonts w:ascii="Calibri" w:hAnsi="Calibri" w:cs="Calibri"/>
          <w:color w:val="auto"/>
          <w:sz w:val="22"/>
          <w:lang w:val="en-US"/>
        </w:rPr>
        <w:t>:</w:t>
      </w:r>
    </w:p>
    <w:p w14:paraId="3CF8B5D4" w14:textId="77777777" w:rsidR="00556154" w:rsidRDefault="00556154" w:rsidP="00FB6869">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Self-Interest</w:t>
      </w:r>
      <w:r>
        <w:rPr>
          <w:rFonts w:ascii="Calibri" w:hAnsi="Calibri" w:cs="Calibri"/>
          <w:color w:val="auto"/>
          <w:sz w:val="22"/>
          <w:lang w:val="en-US"/>
        </w:rPr>
        <w:t>: A personal interest could negatively affect the behavior and judgment</w:t>
      </w:r>
    </w:p>
    <w:p w14:paraId="0F1DC654" w14:textId="77777777" w:rsidR="009262B1" w:rsidRDefault="00556154" w:rsidP="00FB6869">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Self</w:t>
      </w:r>
      <w:r w:rsidRPr="00556154">
        <w:rPr>
          <w:rFonts w:ascii="Calibri" w:hAnsi="Calibri" w:cs="Calibri"/>
          <w:b/>
          <w:bCs/>
          <w:color w:val="auto"/>
          <w:sz w:val="22"/>
          <w:lang w:val="en-US"/>
        </w:rPr>
        <w:t>-Review</w:t>
      </w:r>
      <w:r>
        <w:rPr>
          <w:rFonts w:ascii="Calibri" w:hAnsi="Calibri" w:cs="Calibri"/>
          <w:color w:val="auto"/>
          <w:sz w:val="22"/>
          <w:lang w:val="en-US"/>
        </w:rPr>
        <w:t xml:space="preserve">: </w:t>
      </w:r>
      <w:r w:rsidR="009262B1">
        <w:rPr>
          <w:rFonts w:ascii="Calibri" w:hAnsi="Calibri" w:cs="Calibri"/>
          <w:color w:val="auto"/>
          <w:sz w:val="22"/>
          <w:lang w:val="en-US"/>
        </w:rPr>
        <w:t>Inherent bias in favoring and approving work done by oneself</w:t>
      </w:r>
    </w:p>
    <w:p w14:paraId="26732637" w14:textId="77777777" w:rsidR="009262B1" w:rsidRDefault="009262B1" w:rsidP="00FB6869">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Influence</w:t>
      </w:r>
      <w:r>
        <w:rPr>
          <w:rFonts w:ascii="Calibri" w:hAnsi="Calibri" w:cs="Calibri"/>
          <w:color w:val="auto"/>
          <w:sz w:val="22"/>
          <w:lang w:val="en-US"/>
        </w:rPr>
        <w:t>: Influence from other individuals / group might impair personal judgment and decision-making.</w:t>
      </w:r>
    </w:p>
    <w:p w14:paraId="4DBDA9DB" w14:textId="77777777" w:rsidR="0048763D" w:rsidRDefault="00845D3C" w:rsidP="00845D3C">
      <w:pPr>
        <w:pStyle w:val="ListParagraph"/>
        <w:numPr>
          <w:ilvl w:val="0"/>
          <w:numId w:val="109"/>
        </w:numPr>
        <w:jc w:val="both"/>
        <w:rPr>
          <w:rFonts w:ascii="Calibri" w:hAnsi="Calibri" w:cs="Calibri"/>
          <w:color w:val="auto"/>
          <w:sz w:val="22"/>
          <w:lang w:val="en-US"/>
        </w:rPr>
      </w:pPr>
      <w:r w:rsidRPr="00845D3C">
        <w:rPr>
          <w:rFonts w:ascii="Calibri" w:hAnsi="Calibri" w:cs="Calibri"/>
          <w:b/>
          <w:bCs/>
          <w:color w:val="auto"/>
          <w:sz w:val="22"/>
          <w:lang w:val="en-US"/>
        </w:rPr>
        <w:t>Preservation of confidentiality</w:t>
      </w:r>
      <w:r>
        <w:rPr>
          <w:rFonts w:ascii="Calibri" w:hAnsi="Calibri" w:cs="Calibri"/>
          <w:color w:val="auto"/>
          <w:sz w:val="22"/>
          <w:lang w:val="en-US"/>
        </w:rPr>
        <w:t xml:space="preserve">: Representatives should </w:t>
      </w:r>
      <w:r w:rsidRPr="005309A4">
        <w:rPr>
          <w:rFonts w:ascii="Calibri" w:hAnsi="Calibri" w:cs="Calibri"/>
          <w:color w:val="auto"/>
          <w:sz w:val="22"/>
          <w:u w:val="single"/>
          <w:lang w:val="en-US"/>
        </w:rPr>
        <w:t xml:space="preserve">keep information about current, former, and prospective clients </w:t>
      </w:r>
      <w:r w:rsidR="0048763D" w:rsidRPr="005309A4">
        <w:rPr>
          <w:rFonts w:ascii="Calibri" w:hAnsi="Calibri" w:cs="Calibri"/>
          <w:color w:val="auto"/>
          <w:sz w:val="22"/>
          <w:u w:val="single"/>
          <w:lang w:val="en-US"/>
        </w:rPr>
        <w:t>confidential unless</w:t>
      </w:r>
      <w:r w:rsidR="0048763D">
        <w:rPr>
          <w:rFonts w:ascii="Calibri" w:hAnsi="Calibri" w:cs="Calibri"/>
          <w:color w:val="auto"/>
          <w:sz w:val="22"/>
          <w:lang w:val="en-US"/>
        </w:rPr>
        <w:t xml:space="preserve">: </w:t>
      </w:r>
    </w:p>
    <w:p w14:paraId="4EB0739C" w14:textId="77777777" w:rsidR="005309A4" w:rsidRDefault="0048763D" w:rsidP="0048763D">
      <w:pPr>
        <w:pStyle w:val="ListParagraph"/>
        <w:numPr>
          <w:ilvl w:val="1"/>
          <w:numId w:val="109"/>
        </w:numPr>
        <w:jc w:val="both"/>
        <w:rPr>
          <w:rFonts w:ascii="Calibri" w:hAnsi="Calibri" w:cs="Calibri"/>
          <w:color w:val="auto"/>
          <w:sz w:val="22"/>
          <w:lang w:val="en-US"/>
        </w:rPr>
      </w:pPr>
      <w:r w:rsidRPr="005309A4">
        <w:rPr>
          <w:rFonts w:ascii="Calibri" w:hAnsi="Calibri" w:cs="Calibri"/>
          <w:color w:val="auto"/>
          <w:sz w:val="22"/>
          <w:lang w:val="en-US"/>
        </w:rPr>
        <w:t xml:space="preserve">Information </w:t>
      </w:r>
      <w:r w:rsidRPr="005309A4">
        <w:rPr>
          <w:rFonts w:ascii="Calibri" w:hAnsi="Calibri" w:cs="Calibri"/>
          <w:color w:val="auto"/>
          <w:sz w:val="22"/>
          <w:u w:val="single"/>
          <w:lang w:val="en-US"/>
        </w:rPr>
        <w:t>concerns illegal activities</w:t>
      </w:r>
      <w:r w:rsidR="005309A4">
        <w:rPr>
          <w:rFonts w:ascii="Calibri" w:hAnsi="Calibri" w:cs="Calibri"/>
          <w:b/>
          <w:bCs/>
          <w:color w:val="auto"/>
          <w:sz w:val="22"/>
          <w:lang w:val="en-US"/>
        </w:rPr>
        <w:t xml:space="preserve"> </w:t>
      </w:r>
      <w:r w:rsidR="005309A4">
        <w:rPr>
          <w:rFonts w:ascii="Calibri" w:hAnsi="Calibri" w:cs="Calibri"/>
          <w:color w:val="auto"/>
          <w:sz w:val="22"/>
          <w:lang w:val="en-US"/>
        </w:rPr>
        <w:t>by the existing or prospective client</w:t>
      </w:r>
    </w:p>
    <w:p w14:paraId="13D1A7D5" w14:textId="1849B55D" w:rsidR="00853C20" w:rsidRDefault="005309A4" w:rsidP="0048763D">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Disclosure is </w:t>
      </w:r>
      <w:r w:rsidR="00853C20">
        <w:rPr>
          <w:rFonts w:ascii="Calibri" w:hAnsi="Calibri" w:cs="Calibri"/>
          <w:color w:val="auto"/>
          <w:sz w:val="22"/>
          <w:lang w:val="en-US"/>
        </w:rPr>
        <w:t>required by law</w:t>
      </w:r>
    </w:p>
    <w:p w14:paraId="38482314" w14:textId="6E33D80D" w:rsidR="0006047C" w:rsidRDefault="00853C20" w:rsidP="0048763D">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Client permits disclosure of the information</w:t>
      </w:r>
      <w:r w:rsidR="0048763D">
        <w:rPr>
          <w:rFonts w:ascii="Calibri" w:hAnsi="Calibri" w:cs="Calibri"/>
          <w:b/>
          <w:bCs/>
          <w:color w:val="auto"/>
          <w:sz w:val="22"/>
          <w:lang w:val="en-US"/>
        </w:rPr>
        <w:t xml:space="preserve"> </w:t>
      </w:r>
      <w:r w:rsidR="0048763D">
        <w:rPr>
          <w:rFonts w:ascii="Calibri" w:hAnsi="Calibri" w:cs="Calibri"/>
          <w:color w:val="auto"/>
          <w:sz w:val="22"/>
          <w:lang w:val="en-US"/>
        </w:rPr>
        <w:t xml:space="preserve"> </w:t>
      </w:r>
      <w:r w:rsidR="0006047C">
        <w:rPr>
          <w:rFonts w:ascii="Calibri" w:hAnsi="Calibri" w:cs="Calibri"/>
          <w:color w:val="auto"/>
          <w:sz w:val="22"/>
          <w:lang w:val="en-US"/>
        </w:rPr>
        <w:t xml:space="preserve"> </w:t>
      </w:r>
    </w:p>
    <w:p w14:paraId="12D28D9A" w14:textId="32EAA297" w:rsidR="0006047C" w:rsidRDefault="0006047C" w:rsidP="00DC6F3D">
      <w:pPr>
        <w:pStyle w:val="BodyText"/>
        <w:rPr>
          <w:lang w:val="en-US"/>
        </w:rPr>
      </w:pPr>
    </w:p>
    <w:p w14:paraId="35F8C0DA" w14:textId="5CB872C7" w:rsidR="00BD0E43" w:rsidRPr="00B52D53" w:rsidRDefault="00BD0E43" w:rsidP="00BD0E43">
      <w:pPr>
        <w:pStyle w:val="Heading2"/>
        <w:jc w:val="both"/>
        <w:rPr>
          <w:rFonts w:ascii="Calibri" w:hAnsi="Calibri" w:cs="Calibri"/>
          <w:color w:val="auto"/>
          <w:lang w:val="en-US"/>
        </w:rPr>
      </w:pPr>
      <w:r w:rsidRPr="00B52D53">
        <w:rPr>
          <w:rFonts w:ascii="Calibri" w:hAnsi="Calibri" w:cs="Calibri"/>
          <w:color w:val="auto"/>
          <w:lang w:val="en-US"/>
        </w:rPr>
        <w:t xml:space="preserve">Chapter </w:t>
      </w:r>
      <w:r w:rsidR="000C5B05">
        <w:rPr>
          <w:rFonts w:ascii="Calibri" w:hAnsi="Calibri" w:cs="Calibri"/>
          <w:color w:val="auto"/>
          <w:lang w:val="en-US"/>
        </w:rPr>
        <w:t>10</w:t>
      </w:r>
      <w:r>
        <w:rPr>
          <w:rFonts w:ascii="Calibri" w:hAnsi="Calibri" w:cs="Calibri"/>
          <w:color w:val="auto"/>
          <w:lang w:val="en-US"/>
        </w:rPr>
        <w:t xml:space="preserve"> </w:t>
      </w:r>
      <w:r w:rsidRPr="00B52D53">
        <w:rPr>
          <w:rFonts w:ascii="Calibri" w:hAnsi="Calibri" w:cs="Calibri"/>
          <w:color w:val="auto"/>
          <w:lang w:val="en-US"/>
        </w:rPr>
        <w:t xml:space="preserve">– </w:t>
      </w:r>
      <w:r w:rsidR="00EC2BE7">
        <w:rPr>
          <w:rFonts w:ascii="Calibri" w:hAnsi="Calibri" w:cs="Calibri"/>
          <w:color w:val="auto"/>
          <w:lang w:val="en-US"/>
        </w:rPr>
        <w:t xml:space="preserve">Fund Management Practice </w:t>
      </w:r>
      <w:r w:rsidR="00BB4863">
        <w:rPr>
          <w:rFonts w:ascii="Calibri" w:hAnsi="Calibri" w:cs="Calibri"/>
          <w:color w:val="auto"/>
          <w:lang w:val="en-US"/>
        </w:rPr>
        <w:t>&amp;</w:t>
      </w:r>
      <w:r w:rsidR="00EC2BE7">
        <w:rPr>
          <w:rFonts w:ascii="Calibri" w:hAnsi="Calibri" w:cs="Calibri"/>
          <w:color w:val="auto"/>
          <w:lang w:val="en-US"/>
        </w:rPr>
        <w:t xml:space="preserve"> Skills</w:t>
      </w:r>
    </w:p>
    <w:p w14:paraId="230B3E71" w14:textId="62EBCE1E" w:rsidR="00BD0E43" w:rsidRDefault="00BD0E43" w:rsidP="003530EE">
      <w:pPr>
        <w:pStyle w:val="Heading3"/>
        <w:numPr>
          <w:ilvl w:val="0"/>
          <w:numId w:val="118"/>
        </w:numPr>
        <w:jc w:val="both"/>
        <w:rPr>
          <w:rFonts w:ascii="Calibri" w:hAnsi="Calibri" w:cs="Calibri"/>
          <w:color w:val="auto"/>
          <w:lang w:val="en-US"/>
        </w:rPr>
      </w:pPr>
      <w:r>
        <w:rPr>
          <w:rFonts w:ascii="Calibri" w:hAnsi="Calibri" w:cs="Calibri"/>
          <w:color w:val="auto"/>
          <w:lang w:val="en-US"/>
        </w:rPr>
        <w:t>Overview</w:t>
      </w:r>
      <w:r w:rsidR="00DC6901">
        <w:rPr>
          <w:rFonts w:ascii="Calibri" w:hAnsi="Calibri" w:cs="Calibri"/>
          <w:color w:val="auto"/>
          <w:lang w:val="en-US"/>
        </w:rPr>
        <w:t xml:space="preserve"> of Investment Management Process</w:t>
      </w:r>
    </w:p>
    <w:p w14:paraId="6ED4ECBB" w14:textId="6949CE2F" w:rsidR="0053088F" w:rsidRPr="0053088F" w:rsidRDefault="0053088F" w:rsidP="00BD0E43">
      <w:pPr>
        <w:pStyle w:val="ListParagraph"/>
        <w:numPr>
          <w:ilvl w:val="0"/>
          <w:numId w:val="109"/>
        </w:numPr>
        <w:jc w:val="both"/>
        <w:rPr>
          <w:rFonts w:ascii="Calibri" w:hAnsi="Calibri" w:cs="Calibri"/>
          <w:b/>
          <w:bCs/>
          <w:color w:val="auto"/>
          <w:sz w:val="22"/>
          <w:lang w:val="en-US"/>
        </w:rPr>
      </w:pPr>
      <w:r w:rsidRPr="0053088F">
        <w:rPr>
          <w:rFonts w:ascii="Calibri" w:hAnsi="Calibri" w:cs="Calibri"/>
          <w:b/>
          <w:bCs/>
          <w:color w:val="auto"/>
          <w:sz w:val="22"/>
          <w:lang w:val="en-US"/>
        </w:rPr>
        <w:t>Planning</w:t>
      </w:r>
      <w:r>
        <w:rPr>
          <w:rFonts w:ascii="Calibri" w:hAnsi="Calibri" w:cs="Calibri"/>
          <w:color w:val="auto"/>
          <w:sz w:val="22"/>
          <w:lang w:val="en-US"/>
        </w:rPr>
        <w:t>:</w:t>
      </w:r>
    </w:p>
    <w:p w14:paraId="1F18B0B2" w14:textId="37E7DCD2" w:rsidR="0053088F" w:rsidRDefault="00BB0B93" w:rsidP="0053088F">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The </w:t>
      </w:r>
      <w:r w:rsidRPr="004D094A">
        <w:rPr>
          <w:rFonts w:ascii="Calibri" w:hAnsi="Calibri" w:cs="Calibri"/>
          <w:color w:val="auto"/>
          <w:sz w:val="22"/>
          <w:u w:val="single"/>
          <w:lang w:val="en-US"/>
        </w:rPr>
        <w:t>Investment Policy Statement</w:t>
      </w:r>
      <w:r>
        <w:rPr>
          <w:rFonts w:ascii="Calibri" w:hAnsi="Calibri" w:cs="Calibri"/>
          <w:color w:val="auto"/>
          <w:sz w:val="22"/>
          <w:lang w:val="en-US"/>
        </w:rPr>
        <w:t xml:space="preserve"> (IPS) serves as a strategic guide to the </w:t>
      </w:r>
      <w:r w:rsidRPr="004D094A">
        <w:rPr>
          <w:rFonts w:ascii="Calibri" w:hAnsi="Calibri" w:cs="Calibri"/>
          <w:color w:val="auto"/>
          <w:sz w:val="22"/>
          <w:u w:val="single"/>
          <w:lang w:val="en-US"/>
        </w:rPr>
        <w:t>planning and implementation of an investment program</w:t>
      </w:r>
      <w:r w:rsidR="00061227">
        <w:rPr>
          <w:rFonts w:ascii="Calibri" w:hAnsi="Calibri" w:cs="Calibri"/>
          <w:color w:val="auto"/>
          <w:sz w:val="22"/>
          <w:lang w:val="en-US"/>
        </w:rPr>
        <w:t xml:space="preserve">. It is </w:t>
      </w:r>
      <w:r w:rsidR="00061227" w:rsidRPr="004D094A">
        <w:rPr>
          <w:rFonts w:ascii="Calibri" w:hAnsi="Calibri" w:cs="Calibri"/>
          <w:color w:val="auto"/>
          <w:sz w:val="22"/>
          <w:u w:val="single"/>
          <w:lang w:val="en-US"/>
        </w:rPr>
        <w:t>tailored for each client</w:t>
      </w:r>
      <w:r w:rsidR="00061227">
        <w:rPr>
          <w:rFonts w:ascii="Calibri" w:hAnsi="Calibri" w:cs="Calibri"/>
          <w:color w:val="auto"/>
          <w:sz w:val="22"/>
          <w:lang w:val="en-US"/>
        </w:rPr>
        <w:t xml:space="preserve"> based on their </w:t>
      </w:r>
      <w:r w:rsidR="006C3E27">
        <w:rPr>
          <w:rFonts w:ascii="Calibri" w:hAnsi="Calibri" w:cs="Calibri"/>
          <w:color w:val="auto"/>
          <w:sz w:val="22"/>
          <w:lang w:val="en-US"/>
        </w:rPr>
        <w:t>needs (</w:t>
      </w:r>
      <w:r w:rsidR="003374E8">
        <w:rPr>
          <w:rFonts w:ascii="Calibri" w:hAnsi="Calibri" w:cs="Calibri"/>
          <w:color w:val="auto"/>
          <w:sz w:val="22"/>
          <w:lang w:val="en-US"/>
        </w:rPr>
        <w:t>objectives, restrictions, tolerances etc.</w:t>
      </w:r>
      <w:r w:rsidR="006C3E27">
        <w:rPr>
          <w:rFonts w:ascii="Calibri" w:hAnsi="Calibri" w:cs="Calibri"/>
          <w:color w:val="auto"/>
          <w:sz w:val="22"/>
          <w:lang w:val="en-US"/>
        </w:rPr>
        <w:t xml:space="preserve">) and </w:t>
      </w:r>
      <w:r w:rsidR="006C3E27" w:rsidRPr="006C3E27">
        <w:rPr>
          <w:rFonts w:ascii="Calibri" w:hAnsi="Calibri" w:cs="Calibri"/>
          <w:color w:val="auto"/>
          <w:sz w:val="22"/>
          <w:u w:val="single"/>
          <w:lang w:val="en-US"/>
        </w:rPr>
        <w:t>reviewed on an annual basis</w:t>
      </w:r>
      <w:r w:rsidR="00061227">
        <w:rPr>
          <w:rFonts w:ascii="Calibri" w:hAnsi="Calibri" w:cs="Calibri"/>
          <w:color w:val="auto"/>
          <w:sz w:val="22"/>
          <w:lang w:val="en-US"/>
        </w:rPr>
        <w:t>.</w:t>
      </w:r>
      <w:r w:rsidR="00181A68">
        <w:rPr>
          <w:rFonts w:ascii="Calibri" w:hAnsi="Calibri" w:cs="Calibri"/>
          <w:color w:val="auto"/>
          <w:sz w:val="22"/>
          <w:lang w:val="en-US"/>
        </w:rPr>
        <w:t xml:space="preserve"> The </w:t>
      </w:r>
      <w:r w:rsidR="00BC5A7F">
        <w:rPr>
          <w:rFonts w:ascii="Calibri" w:hAnsi="Calibri" w:cs="Calibri"/>
          <w:color w:val="auto"/>
          <w:sz w:val="22"/>
          <w:lang w:val="en-US"/>
        </w:rPr>
        <w:t xml:space="preserve">client </w:t>
      </w:r>
      <w:r w:rsidR="00181A68">
        <w:rPr>
          <w:rFonts w:ascii="Calibri" w:hAnsi="Calibri" w:cs="Calibri"/>
          <w:color w:val="auto"/>
          <w:sz w:val="22"/>
          <w:lang w:val="en-US"/>
        </w:rPr>
        <w:t xml:space="preserve">needs </w:t>
      </w:r>
      <w:r w:rsidR="0053088F">
        <w:rPr>
          <w:rFonts w:ascii="Calibri" w:hAnsi="Calibri" w:cs="Calibri"/>
          <w:color w:val="auto"/>
          <w:sz w:val="22"/>
          <w:lang w:val="en-US"/>
        </w:rPr>
        <w:t>can be solicited through questionnaires.</w:t>
      </w:r>
    </w:p>
    <w:p w14:paraId="3C8B62B1" w14:textId="113F596F" w:rsidR="004D094A" w:rsidRDefault="00061227" w:rsidP="0053088F">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A good IPS </w:t>
      </w:r>
      <w:r w:rsidR="004D094A">
        <w:rPr>
          <w:rFonts w:ascii="Calibri" w:hAnsi="Calibri" w:cs="Calibri"/>
          <w:color w:val="auto"/>
          <w:sz w:val="22"/>
          <w:lang w:val="en-US"/>
        </w:rPr>
        <w:t>contains the following –</w:t>
      </w:r>
    </w:p>
    <w:p w14:paraId="14536FD9" w14:textId="77777777" w:rsidR="004D094A" w:rsidRPr="00B01575" w:rsidRDefault="004D094A" w:rsidP="0053088F">
      <w:pPr>
        <w:pStyle w:val="ListParagraph"/>
        <w:numPr>
          <w:ilvl w:val="2"/>
          <w:numId w:val="109"/>
        </w:numPr>
        <w:jc w:val="both"/>
        <w:rPr>
          <w:rFonts w:ascii="Calibri" w:hAnsi="Calibri" w:cs="Calibri"/>
          <w:color w:val="auto"/>
          <w:sz w:val="22"/>
          <w:u w:val="single"/>
          <w:lang w:val="en-US"/>
        </w:rPr>
      </w:pPr>
      <w:r w:rsidRPr="00B01575">
        <w:rPr>
          <w:rFonts w:ascii="Calibri" w:hAnsi="Calibri" w:cs="Calibri"/>
          <w:color w:val="auto"/>
          <w:sz w:val="22"/>
          <w:u w:val="single"/>
          <w:lang w:val="en-US"/>
        </w:rPr>
        <w:t>Confirming portfolio objectives</w:t>
      </w:r>
    </w:p>
    <w:p w14:paraId="2DD3EB36" w14:textId="77777777" w:rsidR="00AB65A8" w:rsidRPr="00B01575" w:rsidRDefault="00AB65A8" w:rsidP="00BC5A7F">
      <w:pPr>
        <w:pStyle w:val="ListParagraph"/>
        <w:numPr>
          <w:ilvl w:val="2"/>
          <w:numId w:val="109"/>
        </w:numPr>
        <w:jc w:val="both"/>
        <w:rPr>
          <w:rFonts w:ascii="Calibri" w:hAnsi="Calibri" w:cs="Calibri"/>
          <w:color w:val="auto"/>
          <w:sz w:val="22"/>
          <w:u w:val="single"/>
          <w:lang w:val="en-US"/>
        </w:rPr>
      </w:pPr>
      <w:r w:rsidRPr="00B01575">
        <w:rPr>
          <w:rFonts w:ascii="Calibri" w:hAnsi="Calibri" w:cs="Calibri"/>
          <w:color w:val="auto"/>
          <w:sz w:val="22"/>
          <w:u w:val="single"/>
          <w:lang w:val="en-US"/>
        </w:rPr>
        <w:t>Protecting the portfolio from ad-hoc changes</w:t>
      </w:r>
    </w:p>
    <w:p w14:paraId="54909150" w14:textId="77777777" w:rsidR="00AB65A8" w:rsidRPr="00B01575" w:rsidRDefault="00AB65A8" w:rsidP="00BC5A7F">
      <w:pPr>
        <w:pStyle w:val="ListParagraph"/>
        <w:numPr>
          <w:ilvl w:val="2"/>
          <w:numId w:val="109"/>
        </w:numPr>
        <w:jc w:val="both"/>
        <w:rPr>
          <w:rFonts w:ascii="Calibri" w:hAnsi="Calibri" w:cs="Calibri"/>
          <w:color w:val="auto"/>
          <w:sz w:val="22"/>
          <w:u w:val="single"/>
          <w:lang w:val="en-US"/>
        </w:rPr>
      </w:pPr>
      <w:r w:rsidRPr="00B01575">
        <w:rPr>
          <w:rFonts w:ascii="Calibri" w:hAnsi="Calibri" w:cs="Calibri"/>
          <w:color w:val="auto"/>
          <w:sz w:val="22"/>
          <w:u w:val="single"/>
          <w:lang w:val="en-US"/>
        </w:rPr>
        <w:t>Staying on track in achieving long-term performance</w:t>
      </w:r>
    </w:p>
    <w:p w14:paraId="45A2A537" w14:textId="40CCB6A7" w:rsidR="004D094A" w:rsidRPr="00B01575" w:rsidRDefault="006F71F5" w:rsidP="00BC5A7F">
      <w:pPr>
        <w:pStyle w:val="ListParagraph"/>
        <w:numPr>
          <w:ilvl w:val="2"/>
          <w:numId w:val="109"/>
        </w:numPr>
        <w:jc w:val="both"/>
        <w:rPr>
          <w:rFonts w:ascii="Calibri" w:hAnsi="Calibri" w:cs="Calibri"/>
          <w:color w:val="auto"/>
          <w:sz w:val="22"/>
          <w:u w:val="single"/>
          <w:lang w:val="en-US"/>
        </w:rPr>
      </w:pPr>
      <w:r w:rsidRPr="00B01575">
        <w:rPr>
          <w:rFonts w:ascii="Calibri" w:hAnsi="Calibri" w:cs="Calibri"/>
          <w:color w:val="auto"/>
          <w:sz w:val="22"/>
          <w:u w:val="single"/>
          <w:lang w:val="en-US"/>
        </w:rPr>
        <w:t xml:space="preserve">Distancing from inappropriate short-term strategies </w:t>
      </w:r>
      <w:r w:rsidR="00BB0B93" w:rsidRPr="00B01575">
        <w:rPr>
          <w:rFonts w:ascii="Calibri" w:hAnsi="Calibri" w:cs="Calibri"/>
          <w:color w:val="auto"/>
          <w:sz w:val="22"/>
          <w:u w:val="single"/>
          <w:lang w:val="en-US"/>
        </w:rPr>
        <w:t xml:space="preserve"> </w:t>
      </w:r>
    </w:p>
    <w:p w14:paraId="01674754" w14:textId="724A9074" w:rsidR="00BD0E43" w:rsidRDefault="00571D9D" w:rsidP="004D094A">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As </w:t>
      </w:r>
      <w:r w:rsidR="000F236E">
        <w:rPr>
          <w:rFonts w:ascii="Calibri" w:hAnsi="Calibri" w:cs="Calibri"/>
          <w:color w:val="auto"/>
          <w:sz w:val="22"/>
          <w:lang w:val="en-US"/>
        </w:rPr>
        <w:t xml:space="preserve">clients </w:t>
      </w:r>
      <w:r w:rsidR="00B01575">
        <w:rPr>
          <w:rFonts w:ascii="Calibri" w:hAnsi="Calibri" w:cs="Calibri"/>
          <w:color w:val="auto"/>
          <w:sz w:val="22"/>
          <w:lang w:val="en-US"/>
        </w:rPr>
        <w:t>might solicit</w:t>
      </w:r>
      <w:r>
        <w:rPr>
          <w:rFonts w:ascii="Calibri" w:hAnsi="Calibri" w:cs="Calibri"/>
          <w:color w:val="auto"/>
          <w:sz w:val="22"/>
          <w:lang w:val="en-US"/>
        </w:rPr>
        <w:t xml:space="preserve"> inputs from a variety of other professionals, it is prudent for managers to </w:t>
      </w:r>
      <w:r w:rsidR="00B01575">
        <w:rPr>
          <w:rFonts w:ascii="Calibri" w:hAnsi="Calibri" w:cs="Calibri"/>
          <w:color w:val="auto"/>
          <w:sz w:val="22"/>
          <w:lang w:val="en-US"/>
        </w:rPr>
        <w:t>develop relationships with these people so that they do not undermine the investment policy</w:t>
      </w:r>
      <w:r w:rsidR="00BD0E43">
        <w:rPr>
          <w:rFonts w:ascii="Calibri" w:hAnsi="Calibri" w:cs="Calibri"/>
          <w:color w:val="auto"/>
          <w:sz w:val="22"/>
          <w:lang w:val="en-US"/>
        </w:rPr>
        <w:t xml:space="preserve">. </w:t>
      </w:r>
    </w:p>
    <w:p w14:paraId="46E6273A" w14:textId="77777777" w:rsidR="001F2191" w:rsidRDefault="001F2191" w:rsidP="00BD0E43">
      <w:pPr>
        <w:pStyle w:val="ListParagraph"/>
        <w:numPr>
          <w:ilvl w:val="0"/>
          <w:numId w:val="109"/>
        </w:numPr>
        <w:jc w:val="both"/>
        <w:rPr>
          <w:rFonts w:ascii="Calibri" w:hAnsi="Calibri" w:cs="Calibri"/>
          <w:color w:val="auto"/>
          <w:sz w:val="22"/>
          <w:lang w:val="en-US"/>
        </w:rPr>
      </w:pPr>
      <w:r w:rsidRPr="001F2191">
        <w:rPr>
          <w:rFonts w:ascii="Calibri" w:hAnsi="Calibri" w:cs="Calibri"/>
          <w:b/>
          <w:bCs/>
          <w:color w:val="auto"/>
          <w:sz w:val="22"/>
          <w:lang w:val="en-US"/>
        </w:rPr>
        <w:t>Investor Management Selection</w:t>
      </w:r>
      <w:r>
        <w:rPr>
          <w:rFonts w:ascii="Calibri" w:hAnsi="Calibri" w:cs="Calibri"/>
          <w:color w:val="auto"/>
          <w:sz w:val="22"/>
          <w:lang w:val="en-US"/>
        </w:rPr>
        <w:t>:</w:t>
      </w:r>
    </w:p>
    <w:p w14:paraId="7227FF8F" w14:textId="526EF871" w:rsidR="00BD0E43" w:rsidRDefault="00527C4A" w:rsidP="001F2191">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 xml:space="preserve">Skills </w:t>
      </w:r>
      <w:r w:rsidRPr="00527C4A">
        <w:rPr>
          <w:rFonts w:ascii="Calibri" w:hAnsi="Calibri" w:cs="Calibri"/>
          <w:b/>
          <w:bCs/>
          <w:color w:val="auto"/>
          <w:sz w:val="22"/>
          <w:lang w:val="en-US"/>
        </w:rPr>
        <w:t>Depth</w:t>
      </w:r>
      <w:r>
        <w:rPr>
          <w:rFonts w:ascii="Calibri" w:hAnsi="Calibri" w:cs="Calibri"/>
          <w:b/>
          <w:bCs/>
          <w:color w:val="auto"/>
          <w:sz w:val="22"/>
          <w:lang w:val="en-US"/>
        </w:rPr>
        <w:t xml:space="preserve"> and Ethics</w:t>
      </w:r>
      <w:r>
        <w:rPr>
          <w:rFonts w:ascii="Calibri" w:hAnsi="Calibri" w:cs="Calibri"/>
          <w:color w:val="auto"/>
          <w:sz w:val="22"/>
          <w:lang w:val="en-US"/>
        </w:rPr>
        <w:t xml:space="preserve">: </w:t>
      </w:r>
      <w:r w:rsidR="00E33472" w:rsidRPr="00E33472">
        <w:rPr>
          <w:rFonts w:ascii="Calibri" w:hAnsi="Calibri" w:cs="Calibri"/>
          <w:color w:val="auto"/>
          <w:sz w:val="22"/>
          <w:lang w:val="en-US"/>
        </w:rPr>
        <w:t>Besides professional qualifications and experience,</w:t>
      </w:r>
      <w:r w:rsidR="00BD0E43" w:rsidRPr="00E33472">
        <w:rPr>
          <w:rFonts w:ascii="Calibri" w:hAnsi="Calibri" w:cs="Calibri"/>
          <w:color w:val="auto"/>
          <w:sz w:val="22"/>
          <w:lang w:val="en-US"/>
        </w:rPr>
        <w:t xml:space="preserve"> </w:t>
      </w:r>
      <w:r w:rsidR="00E33472">
        <w:rPr>
          <w:rFonts w:ascii="Calibri" w:hAnsi="Calibri" w:cs="Calibri"/>
          <w:color w:val="auto"/>
          <w:sz w:val="22"/>
          <w:lang w:val="en-US"/>
        </w:rPr>
        <w:t>it is als</w:t>
      </w:r>
      <w:r w:rsidR="00D31E75">
        <w:rPr>
          <w:rFonts w:ascii="Calibri" w:hAnsi="Calibri" w:cs="Calibri"/>
          <w:color w:val="auto"/>
          <w:sz w:val="22"/>
          <w:lang w:val="en-US"/>
        </w:rPr>
        <w:t xml:space="preserve">o important to assess the manager’s integrity, objectivity and professionalism. </w:t>
      </w:r>
    </w:p>
    <w:p w14:paraId="20B6A6DE" w14:textId="5004A4C1" w:rsidR="00942559" w:rsidRDefault="00B72D51" w:rsidP="001F2191">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LFMC</w:t>
      </w:r>
      <w:r w:rsidR="00527C4A" w:rsidRPr="00CA1660">
        <w:rPr>
          <w:rFonts w:ascii="Calibri" w:hAnsi="Calibri" w:cs="Calibri"/>
          <w:b/>
          <w:bCs/>
          <w:color w:val="auto"/>
          <w:sz w:val="22"/>
          <w:lang w:val="en-US"/>
        </w:rPr>
        <w:t xml:space="preserve">’s </w:t>
      </w:r>
      <w:r w:rsidR="00CA1660" w:rsidRPr="00CA1660">
        <w:rPr>
          <w:rFonts w:ascii="Calibri" w:hAnsi="Calibri" w:cs="Calibri"/>
          <w:b/>
          <w:bCs/>
          <w:color w:val="auto"/>
          <w:sz w:val="22"/>
          <w:lang w:val="en-US"/>
        </w:rPr>
        <w:t xml:space="preserve">Investment </w:t>
      </w:r>
      <w:r w:rsidR="00CA1660">
        <w:rPr>
          <w:rFonts w:ascii="Calibri" w:hAnsi="Calibri" w:cs="Calibri"/>
          <w:b/>
          <w:bCs/>
          <w:color w:val="auto"/>
          <w:sz w:val="22"/>
          <w:lang w:val="en-US"/>
        </w:rPr>
        <w:t>Philosophy</w:t>
      </w:r>
      <w:r w:rsidR="00CA1660">
        <w:rPr>
          <w:rFonts w:ascii="Calibri" w:hAnsi="Calibri" w:cs="Calibri"/>
          <w:color w:val="auto"/>
          <w:sz w:val="22"/>
          <w:lang w:val="en-US"/>
        </w:rPr>
        <w:t xml:space="preserve">: </w:t>
      </w:r>
      <w:r w:rsidR="00942559">
        <w:rPr>
          <w:rFonts w:ascii="Calibri" w:hAnsi="Calibri" w:cs="Calibri"/>
          <w:color w:val="auto"/>
          <w:sz w:val="22"/>
          <w:lang w:val="en-US"/>
        </w:rPr>
        <w:t xml:space="preserve">The firm’s </w:t>
      </w:r>
      <w:r w:rsidR="00942559" w:rsidRPr="00586619">
        <w:rPr>
          <w:rFonts w:ascii="Calibri" w:hAnsi="Calibri" w:cs="Calibri"/>
          <w:color w:val="auto"/>
          <w:sz w:val="22"/>
          <w:u w:val="single"/>
          <w:lang w:val="en-US"/>
        </w:rPr>
        <w:t>investment philosophy</w:t>
      </w:r>
      <w:r w:rsidR="007F2967" w:rsidRPr="00586619">
        <w:rPr>
          <w:rFonts w:ascii="Calibri" w:hAnsi="Calibri" w:cs="Calibri"/>
          <w:color w:val="auto"/>
          <w:sz w:val="22"/>
          <w:u w:val="single"/>
          <w:lang w:val="en-US"/>
        </w:rPr>
        <w:t xml:space="preserve">, risk management function, </w:t>
      </w:r>
      <w:r w:rsidR="00527C4A" w:rsidRPr="00586619">
        <w:rPr>
          <w:rFonts w:ascii="Calibri" w:hAnsi="Calibri" w:cs="Calibri"/>
          <w:color w:val="auto"/>
          <w:sz w:val="22"/>
          <w:u w:val="single"/>
          <w:lang w:val="en-US"/>
        </w:rPr>
        <w:t xml:space="preserve">stock selection process and </w:t>
      </w:r>
      <w:r w:rsidR="007F2967" w:rsidRPr="00586619">
        <w:rPr>
          <w:rFonts w:ascii="Calibri" w:hAnsi="Calibri" w:cs="Calibri"/>
          <w:color w:val="auto"/>
          <w:sz w:val="22"/>
          <w:u w:val="single"/>
          <w:lang w:val="en-US"/>
        </w:rPr>
        <w:t>portfolio</w:t>
      </w:r>
      <w:r w:rsidR="00527C4A" w:rsidRPr="00586619">
        <w:rPr>
          <w:rFonts w:ascii="Calibri" w:hAnsi="Calibri" w:cs="Calibri"/>
          <w:color w:val="auto"/>
          <w:sz w:val="22"/>
          <w:u w:val="single"/>
          <w:lang w:val="en-US"/>
        </w:rPr>
        <w:t xml:space="preserve"> construction process</w:t>
      </w:r>
      <w:r w:rsidR="00527C4A">
        <w:rPr>
          <w:rFonts w:ascii="Calibri" w:hAnsi="Calibri" w:cs="Calibri"/>
          <w:color w:val="auto"/>
          <w:sz w:val="22"/>
          <w:lang w:val="en-US"/>
        </w:rPr>
        <w:t xml:space="preserve"> are also important considerations. </w:t>
      </w:r>
    </w:p>
    <w:p w14:paraId="117B6FBF" w14:textId="2C2482E3" w:rsidR="00CA1660" w:rsidRDefault="00CA1660" w:rsidP="001F2191">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Performance and Fees</w:t>
      </w:r>
      <w:r w:rsidR="007355DB">
        <w:rPr>
          <w:rFonts w:ascii="Calibri" w:hAnsi="Calibri" w:cs="Calibri"/>
          <w:color w:val="auto"/>
          <w:sz w:val="22"/>
          <w:lang w:val="en-US"/>
        </w:rPr>
        <w:t xml:space="preserve">: </w:t>
      </w:r>
      <w:r w:rsidR="00E05FAD">
        <w:rPr>
          <w:rFonts w:ascii="Calibri" w:hAnsi="Calibri" w:cs="Calibri"/>
          <w:color w:val="auto"/>
          <w:sz w:val="22"/>
          <w:lang w:val="en-US"/>
        </w:rPr>
        <w:t>A f</w:t>
      </w:r>
      <w:r w:rsidR="007355DB">
        <w:rPr>
          <w:rFonts w:ascii="Calibri" w:hAnsi="Calibri" w:cs="Calibri"/>
          <w:color w:val="auto"/>
          <w:sz w:val="22"/>
          <w:lang w:val="en-US"/>
        </w:rPr>
        <w:t>und</w:t>
      </w:r>
      <w:r w:rsidR="00E05FAD">
        <w:rPr>
          <w:rFonts w:ascii="Calibri" w:hAnsi="Calibri" w:cs="Calibri"/>
          <w:color w:val="auto"/>
          <w:sz w:val="22"/>
          <w:lang w:val="en-US"/>
        </w:rPr>
        <w:t>’s</w:t>
      </w:r>
      <w:r w:rsidR="007355DB">
        <w:rPr>
          <w:rFonts w:ascii="Calibri" w:hAnsi="Calibri" w:cs="Calibri"/>
          <w:color w:val="auto"/>
          <w:sz w:val="22"/>
          <w:lang w:val="en-US"/>
        </w:rPr>
        <w:t xml:space="preserve"> overperform</w:t>
      </w:r>
      <w:r w:rsidR="00E05FAD">
        <w:rPr>
          <w:rFonts w:ascii="Calibri" w:hAnsi="Calibri" w:cs="Calibri"/>
          <w:color w:val="auto"/>
          <w:sz w:val="22"/>
          <w:lang w:val="en-US"/>
        </w:rPr>
        <w:t>ance over</w:t>
      </w:r>
      <w:r w:rsidR="007355DB">
        <w:rPr>
          <w:rFonts w:ascii="Calibri" w:hAnsi="Calibri" w:cs="Calibri"/>
          <w:color w:val="auto"/>
          <w:sz w:val="22"/>
          <w:lang w:val="en-US"/>
        </w:rPr>
        <w:t xml:space="preserve"> </w:t>
      </w:r>
      <w:r w:rsidR="00F4665D">
        <w:rPr>
          <w:rFonts w:ascii="Calibri" w:hAnsi="Calibri" w:cs="Calibri"/>
          <w:color w:val="auto"/>
          <w:sz w:val="22"/>
          <w:lang w:val="en-US"/>
        </w:rPr>
        <w:t>its</w:t>
      </w:r>
      <w:r w:rsidR="007355DB">
        <w:rPr>
          <w:rFonts w:ascii="Calibri" w:hAnsi="Calibri" w:cs="Calibri"/>
          <w:color w:val="auto"/>
          <w:sz w:val="22"/>
          <w:lang w:val="en-US"/>
        </w:rPr>
        <w:t xml:space="preserve"> target benchmark</w:t>
      </w:r>
      <w:r w:rsidR="00F4665D">
        <w:rPr>
          <w:rFonts w:ascii="Calibri" w:hAnsi="Calibri" w:cs="Calibri"/>
          <w:color w:val="auto"/>
          <w:sz w:val="22"/>
          <w:lang w:val="en-US"/>
        </w:rPr>
        <w:t xml:space="preserve"> (consistently)</w:t>
      </w:r>
      <w:r w:rsidR="007355DB">
        <w:rPr>
          <w:rFonts w:ascii="Calibri" w:hAnsi="Calibri" w:cs="Calibri"/>
          <w:color w:val="auto"/>
          <w:sz w:val="22"/>
          <w:lang w:val="en-US"/>
        </w:rPr>
        <w:t xml:space="preserve"> </w:t>
      </w:r>
      <w:r w:rsidR="00F4665D">
        <w:rPr>
          <w:rFonts w:ascii="Calibri" w:hAnsi="Calibri" w:cs="Calibri"/>
          <w:color w:val="auto"/>
          <w:sz w:val="22"/>
          <w:lang w:val="en-US"/>
        </w:rPr>
        <w:t xml:space="preserve">has a high correlation with </w:t>
      </w:r>
      <w:r w:rsidR="007355DB">
        <w:rPr>
          <w:rFonts w:ascii="Calibri" w:hAnsi="Calibri" w:cs="Calibri"/>
          <w:color w:val="auto"/>
          <w:sz w:val="22"/>
          <w:lang w:val="en-US"/>
        </w:rPr>
        <w:t xml:space="preserve">the </w:t>
      </w:r>
      <w:r w:rsidR="00E05FAD">
        <w:rPr>
          <w:rFonts w:ascii="Calibri" w:hAnsi="Calibri" w:cs="Calibri"/>
          <w:color w:val="auto"/>
          <w:sz w:val="22"/>
          <w:lang w:val="en-US"/>
        </w:rPr>
        <w:t xml:space="preserve">reasonableness of the </w:t>
      </w:r>
      <w:r w:rsidR="007355DB">
        <w:rPr>
          <w:rFonts w:ascii="Calibri" w:hAnsi="Calibri" w:cs="Calibri"/>
          <w:color w:val="auto"/>
          <w:sz w:val="22"/>
          <w:lang w:val="en-US"/>
        </w:rPr>
        <w:t>fees charged</w:t>
      </w:r>
      <w:r w:rsidR="00F4665D">
        <w:rPr>
          <w:rFonts w:ascii="Calibri" w:hAnsi="Calibri" w:cs="Calibri"/>
          <w:color w:val="auto"/>
          <w:sz w:val="22"/>
          <w:lang w:val="en-US"/>
        </w:rPr>
        <w:t>.</w:t>
      </w:r>
      <w:r w:rsidR="00CA717C">
        <w:rPr>
          <w:rFonts w:ascii="Calibri" w:hAnsi="Calibri" w:cs="Calibri"/>
          <w:color w:val="auto"/>
          <w:sz w:val="22"/>
          <w:lang w:val="en-US"/>
        </w:rPr>
        <w:t xml:space="preserve"> The competitiveness of the market might yield better manager alternatives</w:t>
      </w:r>
      <w:r w:rsidR="004E2224">
        <w:rPr>
          <w:rFonts w:ascii="Calibri" w:hAnsi="Calibri" w:cs="Calibri"/>
          <w:color w:val="auto"/>
          <w:sz w:val="22"/>
          <w:lang w:val="en-US"/>
        </w:rPr>
        <w:t xml:space="preserve"> in terms of performance and fees</w:t>
      </w:r>
      <w:r w:rsidR="00CA717C">
        <w:rPr>
          <w:rFonts w:ascii="Calibri" w:hAnsi="Calibri" w:cs="Calibri"/>
          <w:color w:val="auto"/>
          <w:sz w:val="22"/>
          <w:lang w:val="en-US"/>
        </w:rPr>
        <w:t xml:space="preserve">. </w:t>
      </w:r>
      <w:r w:rsidR="007355DB">
        <w:rPr>
          <w:rFonts w:ascii="Calibri" w:hAnsi="Calibri" w:cs="Calibri"/>
          <w:color w:val="auto"/>
          <w:sz w:val="22"/>
          <w:lang w:val="en-US"/>
        </w:rPr>
        <w:t xml:space="preserve"> </w:t>
      </w:r>
    </w:p>
    <w:p w14:paraId="4806B8DA" w14:textId="393D8DBC" w:rsidR="00A1786D" w:rsidRDefault="00A1786D" w:rsidP="00A1786D">
      <w:pPr>
        <w:pStyle w:val="ListParagraph"/>
        <w:numPr>
          <w:ilvl w:val="0"/>
          <w:numId w:val="109"/>
        </w:numPr>
        <w:jc w:val="both"/>
        <w:rPr>
          <w:rFonts w:ascii="Calibri" w:hAnsi="Calibri" w:cs="Calibri"/>
          <w:color w:val="auto"/>
          <w:sz w:val="22"/>
          <w:lang w:val="en-US"/>
        </w:rPr>
      </w:pPr>
      <w:r>
        <w:rPr>
          <w:rFonts w:ascii="Calibri" w:hAnsi="Calibri" w:cs="Calibri"/>
          <w:b/>
          <w:bCs/>
          <w:color w:val="auto"/>
          <w:sz w:val="22"/>
          <w:lang w:val="en-US"/>
        </w:rPr>
        <w:lastRenderedPageBreak/>
        <w:t>Trade Execution</w:t>
      </w:r>
      <w:r w:rsidR="00442DB5">
        <w:rPr>
          <w:rFonts w:ascii="Calibri" w:hAnsi="Calibri" w:cs="Calibri"/>
          <w:color w:val="auto"/>
          <w:sz w:val="22"/>
          <w:lang w:val="en-US"/>
        </w:rPr>
        <w:t>:</w:t>
      </w:r>
    </w:p>
    <w:p w14:paraId="23476A8A" w14:textId="007D3B52" w:rsidR="00442DB5" w:rsidRDefault="00442DB5" w:rsidP="00442DB5">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Buy-side traders are employed by managers to place trades that execute the decisions of fund managers</w:t>
      </w:r>
      <w:r w:rsidR="00DB123D">
        <w:rPr>
          <w:rFonts w:ascii="Calibri" w:hAnsi="Calibri" w:cs="Calibri"/>
          <w:color w:val="auto"/>
          <w:sz w:val="22"/>
          <w:lang w:val="en-US"/>
        </w:rPr>
        <w:t>.</w:t>
      </w:r>
      <w:r w:rsidR="00FB0043">
        <w:rPr>
          <w:rFonts w:ascii="Calibri" w:hAnsi="Calibri" w:cs="Calibri"/>
          <w:color w:val="auto"/>
          <w:sz w:val="22"/>
          <w:lang w:val="en-US"/>
        </w:rPr>
        <w:t xml:space="preserve"> Trades can be fulfilled using – </w:t>
      </w:r>
    </w:p>
    <w:p w14:paraId="7E22CC20" w14:textId="6541B749" w:rsidR="00FB0043" w:rsidRDefault="00FB0043" w:rsidP="00FB0043">
      <w:pPr>
        <w:pStyle w:val="ListParagraph"/>
        <w:numPr>
          <w:ilvl w:val="2"/>
          <w:numId w:val="109"/>
        </w:numPr>
        <w:jc w:val="both"/>
        <w:rPr>
          <w:rFonts w:ascii="Calibri" w:hAnsi="Calibri" w:cs="Calibri"/>
          <w:color w:val="auto"/>
          <w:sz w:val="22"/>
          <w:lang w:val="en-US"/>
        </w:rPr>
      </w:pPr>
      <w:r w:rsidRPr="0097672A">
        <w:rPr>
          <w:rFonts w:ascii="Calibri" w:hAnsi="Calibri" w:cs="Calibri"/>
          <w:b/>
          <w:bCs/>
          <w:color w:val="auto"/>
          <w:sz w:val="22"/>
          <w:lang w:val="en-US"/>
        </w:rPr>
        <w:t>Market order</w:t>
      </w:r>
      <w:r w:rsidR="0097672A">
        <w:rPr>
          <w:rFonts w:ascii="Calibri" w:hAnsi="Calibri" w:cs="Calibri"/>
          <w:color w:val="auto"/>
          <w:sz w:val="22"/>
          <w:lang w:val="en-US"/>
        </w:rPr>
        <w:t xml:space="preserve">: </w:t>
      </w:r>
      <w:r w:rsidR="00571FCB">
        <w:rPr>
          <w:rFonts w:ascii="Calibri" w:hAnsi="Calibri" w:cs="Calibri"/>
          <w:color w:val="auto"/>
          <w:sz w:val="22"/>
          <w:lang w:val="en-US"/>
        </w:rPr>
        <w:t>C</w:t>
      </w:r>
      <w:r w:rsidR="00E431F4">
        <w:rPr>
          <w:rFonts w:ascii="Calibri" w:hAnsi="Calibri" w:cs="Calibri"/>
          <w:color w:val="auto"/>
          <w:sz w:val="22"/>
          <w:lang w:val="en-US"/>
        </w:rPr>
        <w:t>urrent available prices</w:t>
      </w:r>
    </w:p>
    <w:p w14:paraId="7D3D86AC" w14:textId="399E879F" w:rsidR="00E431F4" w:rsidRDefault="00E431F4" w:rsidP="00FB0043">
      <w:pPr>
        <w:pStyle w:val="ListParagraph"/>
        <w:numPr>
          <w:ilvl w:val="2"/>
          <w:numId w:val="109"/>
        </w:numPr>
        <w:jc w:val="both"/>
        <w:rPr>
          <w:rFonts w:ascii="Calibri" w:hAnsi="Calibri" w:cs="Calibri"/>
          <w:color w:val="auto"/>
          <w:sz w:val="22"/>
          <w:lang w:val="en-US"/>
        </w:rPr>
      </w:pPr>
      <w:r w:rsidRPr="0097672A">
        <w:rPr>
          <w:rFonts w:ascii="Calibri" w:hAnsi="Calibri" w:cs="Calibri"/>
          <w:b/>
          <w:bCs/>
          <w:color w:val="auto"/>
          <w:sz w:val="22"/>
          <w:lang w:val="en-US"/>
        </w:rPr>
        <w:t>Limit order</w:t>
      </w:r>
      <w:r w:rsidR="0097672A">
        <w:rPr>
          <w:rFonts w:ascii="Calibri" w:hAnsi="Calibri" w:cs="Calibri"/>
          <w:color w:val="auto"/>
          <w:sz w:val="22"/>
          <w:lang w:val="en-US"/>
        </w:rPr>
        <w:t>:</w:t>
      </w:r>
      <w:r>
        <w:rPr>
          <w:rFonts w:ascii="Calibri" w:hAnsi="Calibri" w:cs="Calibri"/>
          <w:color w:val="auto"/>
          <w:sz w:val="22"/>
          <w:lang w:val="en-US"/>
        </w:rPr>
        <w:t xml:space="preserve"> </w:t>
      </w:r>
      <w:r w:rsidR="00571FCB">
        <w:rPr>
          <w:rFonts w:ascii="Calibri" w:hAnsi="Calibri" w:cs="Calibri"/>
          <w:color w:val="auto"/>
          <w:sz w:val="22"/>
          <w:lang w:val="en-US"/>
        </w:rPr>
        <w:t>D</w:t>
      </w:r>
      <w:r>
        <w:rPr>
          <w:rFonts w:ascii="Calibri" w:hAnsi="Calibri" w:cs="Calibri"/>
          <w:color w:val="auto"/>
          <w:sz w:val="22"/>
          <w:lang w:val="en-US"/>
        </w:rPr>
        <w:t>etermined by price levels set</w:t>
      </w:r>
    </w:p>
    <w:p w14:paraId="6F5E5021" w14:textId="49A006E3" w:rsidR="00E431F4" w:rsidRDefault="00E431F4" w:rsidP="00FB0043">
      <w:pPr>
        <w:pStyle w:val="ListParagraph"/>
        <w:numPr>
          <w:ilvl w:val="2"/>
          <w:numId w:val="109"/>
        </w:numPr>
        <w:jc w:val="both"/>
        <w:rPr>
          <w:rFonts w:ascii="Calibri" w:hAnsi="Calibri" w:cs="Calibri"/>
          <w:color w:val="auto"/>
          <w:sz w:val="22"/>
          <w:lang w:val="en-US"/>
        </w:rPr>
      </w:pPr>
      <w:r w:rsidRPr="0097672A">
        <w:rPr>
          <w:rFonts w:ascii="Calibri" w:hAnsi="Calibri" w:cs="Calibri"/>
          <w:b/>
          <w:bCs/>
          <w:color w:val="auto"/>
          <w:sz w:val="22"/>
          <w:lang w:val="en-US"/>
        </w:rPr>
        <w:t>Stop losses</w:t>
      </w:r>
      <w:r w:rsidR="0097672A">
        <w:rPr>
          <w:rFonts w:ascii="Calibri" w:hAnsi="Calibri" w:cs="Calibri"/>
          <w:color w:val="auto"/>
          <w:sz w:val="22"/>
          <w:lang w:val="en-US"/>
        </w:rPr>
        <w:t>:</w:t>
      </w:r>
      <w:r>
        <w:rPr>
          <w:rFonts w:ascii="Calibri" w:hAnsi="Calibri" w:cs="Calibri"/>
          <w:color w:val="auto"/>
          <w:sz w:val="22"/>
          <w:lang w:val="en-US"/>
        </w:rPr>
        <w:t xml:space="preserve"> </w:t>
      </w:r>
      <w:r w:rsidR="00571FCB">
        <w:rPr>
          <w:rFonts w:ascii="Calibri" w:hAnsi="Calibri" w:cs="Calibri"/>
          <w:color w:val="auto"/>
          <w:sz w:val="22"/>
          <w:lang w:val="en-US"/>
        </w:rPr>
        <w:t>A target price set to</w:t>
      </w:r>
      <w:r w:rsidR="00BC4DFE">
        <w:rPr>
          <w:rFonts w:ascii="Calibri" w:hAnsi="Calibri" w:cs="Calibri"/>
          <w:color w:val="auto"/>
          <w:sz w:val="22"/>
          <w:lang w:val="en-US"/>
        </w:rPr>
        <w:t xml:space="preserve"> sell shares to</w:t>
      </w:r>
      <w:r w:rsidR="00571FCB">
        <w:rPr>
          <w:rFonts w:ascii="Calibri" w:hAnsi="Calibri" w:cs="Calibri"/>
          <w:color w:val="auto"/>
          <w:sz w:val="22"/>
          <w:lang w:val="en-US"/>
        </w:rPr>
        <w:t xml:space="preserve"> </w:t>
      </w:r>
      <w:r w:rsidR="004C74D2">
        <w:rPr>
          <w:rFonts w:ascii="Calibri" w:hAnsi="Calibri" w:cs="Calibri"/>
          <w:color w:val="auto"/>
          <w:sz w:val="22"/>
          <w:lang w:val="en-US"/>
        </w:rPr>
        <w:t>cut losses due to selling activities</w:t>
      </w:r>
    </w:p>
    <w:p w14:paraId="579C8D0D" w14:textId="5AB8F9F1" w:rsidR="004C74D2" w:rsidRDefault="00CE2A84" w:rsidP="00FB0043">
      <w:pPr>
        <w:pStyle w:val="ListParagraph"/>
        <w:numPr>
          <w:ilvl w:val="2"/>
          <w:numId w:val="109"/>
        </w:numPr>
        <w:jc w:val="both"/>
        <w:rPr>
          <w:rFonts w:ascii="Calibri" w:hAnsi="Calibri" w:cs="Calibri"/>
          <w:color w:val="auto"/>
          <w:sz w:val="22"/>
          <w:lang w:val="en-US"/>
        </w:rPr>
      </w:pPr>
      <w:r w:rsidRPr="0097672A">
        <w:rPr>
          <w:rFonts w:ascii="Calibri" w:hAnsi="Calibri" w:cs="Calibri"/>
          <w:b/>
          <w:bCs/>
          <w:color w:val="auto"/>
          <w:sz w:val="22"/>
          <w:lang w:val="en-US"/>
        </w:rPr>
        <w:t>Stop buys</w:t>
      </w:r>
      <w:r w:rsidR="0097672A">
        <w:rPr>
          <w:rFonts w:ascii="Calibri" w:hAnsi="Calibri" w:cs="Calibri"/>
          <w:color w:val="auto"/>
          <w:sz w:val="22"/>
          <w:lang w:val="en-US"/>
        </w:rPr>
        <w:t>:</w:t>
      </w:r>
      <w:r>
        <w:rPr>
          <w:rFonts w:ascii="Calibri" w:hAnsi="Calibri" w:cs="Calibri"/>
          <w:color w:val="auto"/>
          <w:sz w:val="22"/>
          <w:lang w:val="en-US"/>
        </w:rPr>
        <w:t xml:space="preserve"> A target price set to </w:t>
      </w:r>
      <w:r w:rsidR="00E911A8">
        <w:rPr>
          <w:rFonts w:ascii="Calibri" w:hAnsi="Calibri" w:cs="Calibri"/>
          <w:color w:val="auto"/>
          <w:sz w:val="22"/>
          <w:lang w:val="en-US"/>
        </w:rPr>
        <w:t xml:space="preserve">buy shares </w:t>
      </w:r>
    </w:p>
    <w:p w14:paraId="0B0F1A9B" w14:textId="5C6F0B0B" w:rsidR="00A55CC3" w:rsidRDefault="00AF0AD3" w:rsidP="00A55CC3">
      <w:pPr>
        <w:pStyle w:val="ListParagraph"/>
        <w:numPr>
          <w:ilvl w:val="1"/>
          <w:numId w:val="109"/>
        </w:numPr>
        <w:jc w:val="both"/>
        <w:rPr>
          <w:rFonts w:ascii="Calibri" w:hAnsi="Calibri" w:cs="Calibri"/>
          <w:color w:val="auto"/>
          <w:sz w:val="22"/>
          <w:lang w:val="en-US"/>
        </w:rPr>
      </w:pPr>
      <w:r w:rsidRPr="00AF0AD3">
        <w:rPr>
          <w:rFonts w:ascii="Calibri" w:hAnsi="Calibri" w:cs="Calibri"/>
          <w:b/>
          <w:bCs/>
          <w:color w:val="auto"/>
          <w:sz w:val="22"/>
          <w:lang w:val="en-US"/>
        </w:rPr>
        <w:t>Costs of trading</w:t>
      </w:r>
      <w:r>
        <w:rPr>
          <w:rFonts w:ascii="Calibri" w:hAnsi="Calibri" w:cs="Calibri"/>
          <w:color w:val="auto"/>
          <w:sz w:val="22"/>
          <w:lang w:val="en-US"/>
        </w:rPr>
        <w:t>:</w:t>
      </w:r>
    </w:p>
    <w:p w14:paraId="1B98BF6D" w14:textId="77777777" w:rsidR="00E958DD" w:rsidRDefault="00AF0AD3" w:rsidP="00AF0AD3">
      <w:pPr>
        <w:pStyle w:val="ListParagraph"/>
        <w:numPr>
          <w:ilvl w:val="2"/>
          <w:numId w:val="109"/>
        </w:numPr>
        <w:jc w:val="both"/>
        <w:rPr>
          <w:rFonts w:ascii="Calibri" w:hAnsi="Calibri" w:cs="Calibri"/>
          <w:color w:val="auto"/>
          <w:sz w:val="22"/>
          <w:lang w:val="en-US"/>
        </w:rPr>
      </w:pPr>
      <w:r w:rsidRPr="00AF0AD3">
        <w:rPr>
          <w:rFonts w:ascii="Calibri" w:hAnsi="Calibri" w:cs="Calibri"/>
          <w:b/>
          <w:bCs/>
          <w:color w:val="auto"/>
          <w:sz w:val="22"/>
          <w:lang w:val="en-US"/>
        </w:rPr>
        <w:t>Explicit</w:t>
      </w:r>
      <w:r>
        <w:rPr>
          <w:rFonts w:ascii="Calibri" w:hAnsi="Calibri" w:cs="Calibri"/>
          <w:color w:val="auto"/>
          <w:sz w:val="22"/>
          <w:lang w:val="en-US"/>
        </w:rPr>
        <w:t xml:space="preserve">: </w:t>
      </w:r>
      <w:r w:rsidR="00E958DD">
        <w:rPr>
          <w:rFonts w:ascii="Calibri" w:hAnsi="Calibri" w:cs="Calibri"/>
          <w:color w:val="auto"/>
          <w:sz w:val="22"/>
          <w:lang w:val="en-US"/>
        </w:rPr>
        <w:t>Broker commission costs, taxes, stamp duties, exchange fees</w:t>
      </w:r>
    </w:p>
    <w:p w14:paraId="5CCCE48E" w14:textId="78FBCF87" w:rsidR="00AF0AD3" w:rsidRPr="000A0DCF" w:rsidRDefault="00E958DD" w:rsidP="00AF0AD3">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Implicit</w:t>
      </w:r>
      <w:r>
        <w:rPr>
          <w:rFonts w:ascii="Calibri" w:hAnsi="Calibri" w:cs="Calibri"/>
          <w:color w:val="auto"/>
          <w:sz w:val="22"/>
          <w:lang w:val="en-US"/>
        </w:rPr>
        <w:t xml:space="preserve">: </w:t>
      </w:r>
      <w:r w:rsidR="004A40FC" w:rsidRPr="00CC4917">
        <w:rPr>
          <w:rFonts w:ascii="Calibri" w:hAnsi="Calibri" w:cs="Calibri"/>
          <w:color w:val="auto"/>
          <w:sz w:val="22"/>
          <w:u w:val="single"/>
          <w:lang w:val="en-US"/>
        </w:rPr>
        <w:t>Bid-ask spread, missed trade opportunity cost due to failure to execute trade in a timely manner</w:t>
      </w:r>
      <w:r w:rsidR="00586619" w:rsidRPr="00CC4917">
        <w:rPr>
          <w:rFonts w:ascii="Calibri" w:hAnsi="Calibri" w:cs="Calibri"/>
          <w:color w:val="auto"/>
          <w:sz w:val="22"/>
          <w:u w:val="single"/>
          <w:lang w:val="en-US"/>
        </w:rPr>
        <w:t>, slippage due to size and liquidity of markets</w:t>
      </w:r>
      <w:r w:rsidR="000A0DCF" w:rsidRPr="000A0DCF">
        <w:rPr>
          <w:rFonts w:ascii="Calibri" w:hAnsi="Calibri" w:cs="Calibri"/>
          <w:color w:val="auto"/>
          <w:sz w:val="22"/>
          <w:lang w:val="en-US"/>
        </w:rPr>
        <w:t>.</w:t>
      </w:r>
    </w:p>
    <w:p w14:paraId="0562F981" w14:textId="77777777" w:rsidR="00E62DD5" w:rsidRDefault="000A0DCF" w:rsidP="00AF0AD3">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 xml:space="preserve">The implicit costs can be measured using </w:t>
      </w:r>
      <w:r w:rsidR="0092242C">
        <w:rPr>
          <w:rFonts w:ascii="Calibri" w:hAnsi="Calibri" w:cs="Calibri"/>
          <w:color w:val="auto"/>
          <w:sz w:val="22"/>
          <w:lang w:val="en-US"/>
        </w:rPr>
        <w:t xml:space="preserve">either </w:t>
      </w:r>
      <w:r w:rsidRPr="00672480">
        <w:rPr>
          <w:rFonts w:ascii="Calibri" w:hAnsi="Calibri" w:cs="Calibri"/>
          <w:color w:val="auto"/>
          <w:sz w:val="22"/>
          <w:u w:val="single"/>
          <w:lang w:val="en-US"/>
        </w:rPr>
        <w:t>Volume-Weighted Average Price</w:t>
      </w:r>
      <w:r>
        <w:rPr>
          <w:rFonts w:ascii="Calibri" w:hAnsi="Calibri" w:cs="Calibri"/>
          <w:color w:val="auto"/>
          <w:sz w:val="22"/>
          <w:lang w:val="en-US"/>
        </w:rPr>
        <w:t xml:space="preserve"> (VWAP; </w:t>
      </w:r>
      <w:r w:rsidR="0092242C">
        <w:rPr>
          <w:rFonts w:ascii="Calibri" w:hAnsi="Calibri" w:cs="Calibri"/>
          <w:color w:val="auto"/>
          <w:sz w:val="22"/>
          <w:lang w:val="en-US"/>
        </w:rPr>
        <w:t xml:space="preserve">where trade price is weighted by the day’s volume) or </w:t>
      </w:r>
      <w:r w:rsidR="0092242C" w:rsidRPr="00672480">
        <w:rPr>
          <w:rFonts w:ascii="Calibri" w:hAnsi="Calibri" w:cs="Calibri"/>
          <w:color w:val="auto"/>
          <w:sz w:val="22"/>
          <w:u w:val="single"/>
          <w:lang w:val="en-US"/>
        </w:rPr>
        <w:t>Implementation Shortfall</w:t>
      </w:r>
      <w:r w:rsidR="0092242C">
        <w:rPr>
          <w:rFonts w:ascii="Calibri" w:hAnsi="Calibri" w:cs="Calibri"/>
          <w:color w:val="auto"/>
          <w:sz w:val="22"/>
          <w:lang w:val="en-US"/>
        </w:rPr>
        <w:t xml:space="preserve"> (</w:t>
      </w:r>
      <w:r w:rsidR="00300724">
        <w:rPr>
          <w:rFonts w:ascii="Calibri" w:hAnsi="Calibri" w:cs="Calibri"/>
          <w:color w:val="auto"/>
          <w:sz w:val="22"/>
          <w:lang w:val="en-US"/>
        </w:rPr>
        <w:t xml:space="preserve">i.e., difference between </w:t>
      </w:r>
      <w:r w:rsidR="00230D59">
        <w:rPr>
          <w:rFonts w:ascii="Calibri" w:hAnsi="Calibri" w:cs="Calibri"/>
          <w:color w:val="auto"/>
          <w:sz w:val="22"/>
          <w:lang w:val="en-US"/>
        </w:rPr>
        <w:t>the return using investment decision price</w:t>
      </w:r>
      <w:r w:rsidR="00300724">
        <w:rPr>
          <w:rFonts w:ascii="Calibri" w:hAnsi="Calibri" w:cs="Calibri"/>
          <w:color w:val="auto"/>
          <w:sz w:val="22"/>
          <w:lang w:val="en-US"/>
        </w:rPr>
        <w:t xml:space="preserve"> </w:t>
      </w:r>
      <w:r w:rsidR="00D81921">
        <w:rPr>
          <w:rFonts w:ascii="Calibri" w:hAnsi="Calibri" w:cs="Calibri"/>
          <w:color w:val="auto"/>
          <w:sz w:val="22"/>
          <w:lang w:val="en-US"/>
        </w:rPr>
        <w:t>vs.</w:t>
      </w:r>
      <w:r w:rsidR="00230D59">
        <w:rPr>
          <w:rFonts w:ascii="Calibri" w:hAnsi="Calibri" w:cs="Calibri"/>
          <w:color w:val="auto"/>
          <w:sz w:val="22"/>
          <w:lang w:val="en-US"/>
        </w:rPr>
        <w:t xml:space="preserve"> actual return)</w:t>
      </w:r>
      <w:r w:rsidR="00672480">
        <w:rPr>
          <w:rFonts w:ascii="Calibri" w:hAnsi="Calibri" w:cs="Calibri"/>
          <w:color w:val="auto"/>
          <w:sz w:val="22"/>
          <w:lang w:val="en-US"/>
        </w:rPr>
        <w:t xml:space="preserve">. </w:t>
      </w:r>
    </w:p>
    <w:p w14:paraId="61BBB42B" w14:textId="2A32380A" w:rsidR="000A0DCF" w:rsidRDefault="00672480" w:rsidP="00E62DD5">
      <w:pPr>
        <w:pStyle w:val="ListParagraph"/>
        <w:numPr>
          <w:ilvl w:val="3"/>
          <w:numId w:val="109"/>
        </w:numPr>
        <w:jc w:val="both"/>
        <w:rPr>
          <w:rFonts w:ascii="Calibri" w:hAnsi="Calibri" w:cs="Calibri"/>
          <w:color w:val="auto"/>
          <w:sz w:val="22"/>
          <w:lang w:val="en-US"/>
        </w:rPr>
      </w:pPr>
      <w:r>
        <w:rPr>
          <w:rFonts w:ascii="Calibri" w:hAnsi="Calibri" w:cs="Calibri"/>
          <w:color w:val="auto"/>
          <w:sz w:val="22"/>
          <w:lang w:val="en-US"/>
        </w:rPr>
        <w:t xml:space="preserve">Implementation </w:t>
      </w:r>
      <w:r w:rsidR="00E62DD5">
        <w:rPr>
          <w:rFonts w:ascii="Calibri" w:hAnsi="Calibri" w:cs="Calibri"/>
          <w:color w:val="auto"/>
          <w:sz w:val="22"/>
          <w:lang w:val="en-US"/>
        </w:rPr>
        <w:t>S</w:t>
      </w:r>
      <w:r>
        <w:rPr>
          <w:rFonts w:ascii="Calibri" w:hAnsi="Calibri" w:cs="Calibri"/>
          <w:color w:val="auto"/>
          <w:sz w:val="22"/>
          <w:lang w:val="en-US"/>
        </w:rPr>
        <w:t xml:space="preserve">hortfall is </w:t>
      </w:r>
      <w:r w:rsidRPr="009005D3">
        <w:rPr>
          <w:rFonts w:ascii="Calibri" w:hAnsi="Calibri" w:cs="Calibri"/>
          <w:color w:val="auto"/>
          <w:sz w:val="22"/>
          <w:u w:val="single"/>
          <w:lang w:val="en-US"/>
        </w:rPr>
        <w:t>not vulnerable to gaming</w:t>
      </w:r>
      <w:r>
        <w:rPr>
          <w:rFonts w:ascii="Calibri" w:hAnsi="Calibri" w:cs="Calibri"/>
          <w:color w:val="auto"/>
          <w:sz w:val="22"/>
          <w:lang w:val="en-US"/>
        </w:rPr>
        <w:t xml:space="preserve"> and </w:t>
      </w:r>
      <w:r w:rsidRPr="009005D3">
        <w:rPr>
          <w:rFonts w:ascii="Calibri" w:hAnsi="Calibri" w:cs="Calibri"/>
          <w:color w:val="auto"/>
          <w:sz w:val="22"/>
          <w:u w:val="single"/>
          <w:lang w:val="en-US"/>
        </w:rPr>
        <w:t xml:space="preserve">captures all </w:t>
      </w:r>
      <w:r w:rsidR="006E572C" w:rsidRPr="009005D3">
        <w:rPr>
          <w:rFonts w:ascii="Calibri" w:hAnsi="Calibri" w:cs="Calibri"/>
          <w:color w:val="auto"/>
          <w:sz w:val="22"/>
          <w:u w:val="single"/>
          <w:lang w:val="en-US"/>
        </w:rPr>
        <w:t>transaction costs</w:t>
      </w:r>
      <w:r w:rsidR="006E572C">
        <w:rPr>
          <w:rFonts w:ascii="Calibri" w:hAnsi="Calibri" w:cs="Calibri"/>
          <w:color w:val="auto"/>
          <w:sz w:val="22"/>
          <w:lang w:val="en-US"/>
        </w:rPr>
        <w:t xml:space="preserve"> (i.e., both implicit and explicit).</w:t>
      </w:r>
      <w:r w:rsidR="00E62DD5">
        <w:rPr>
          <w:rFonts w:ascii="Calibri" w:hAnsi="Calibri" w:cs="Calibri"/>
          <w:color w:val="auto"/>
          <w:sz w:val="22"/>
          <w:lang w:val="en-US"/>
        </w:rPr>
        <w:t xml:space="preserve"> Implementation Shortfall </w:t>
      </w:r>
      <w:r w:rsidR="009005D3">
        <w:rPr>
          <w:rFonts w:ascii="Calibri" w:hAnsi="Calibri" w:cs="Calibri"/>
          <w:color w:val="auto"/>
          <w:sz w:val="22"/>
          <w:lang w:val="en-US"/>
        </w:rPr>
        <w:t xml:space="preserve">is “front-loaded” by attempting to </w:t>
      </w:r>
      <w:r w:rsidR="009005D3" w:rsidRPr="004B5A46">
        <w:rPr>
          <w:rFonts w:ascii="Calibri" w:hAnsi="Calibri" w:cs="Calibri"/>
          <w:color w:val="auto"/>
          <w:sz w:val="22"/>
          <w:u w:val="single"/>
          <w:lang w:val="en-US"/>
        </w:rPr>
        <w:t>exploit market liquidity in the trading day</w:t>
      </w:r>
      <w:r w:rsidR="009005D3">
        <w:rPr>
          <w:rFonts w:ascii="Calibri" w:hAnsi="Calibri" w:cs="Calibri"/>
          <w:color w:val="auto"/>
          <w:sz w:val="22"/>
          <w:lang w:val="en-US"/>
        </w:rPr>
        <w:t>.</w:t>
      </w:r>
    </w:p>
    <w:p w14:paraId="4AC6BF25" w14:textId="080787B0" w:rsidR="00DC6901" w:rsidRDefault="004B5A46" w:rsidP="00DC6F3D">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 xml:space="preserve">Sometimes a large </w:t>
      </w:r>
      <w:r w:rsidR="003D1396">
        <w:rPr>
          <w:rFonts w:ascii="Calibri" w:hAnsi="Calibri" w:cs="Calibri"/>
          <w:color w:val="auto"/>
          <w:sz w:val="22"/>
          <w:lang w:val="en-US"/>
        </w:rPr>
        <w:t xml:space="preserve">buy </w:t>
      </w:r>
      <w:r>
        <w:rPr>
          <w:rFonts w:ascii="Calibri" w:hAnsi="Calibri" w:cs="Calibri"/>
          <w:color w:val="auto"/>
          <w:sz w:val="22"/>
          <w:lang w:val="en-US"/>
        </w:rPr>
        <w:t xml:space="preserve">order might </w:t>
      </w:r>
      <w:r w:rsidR="003D1396">
        <w:rPr>
          <w:rFonts w:ascii="Calibri" w:hAnsi="Calibri" w:cs="Calibri"/>
          <w:color w:val="auto"/>
          <w:sz w:val="22"/>
          <w:lang w:val="en-US"/>
        </w:rPr>
        <w:t xml:space="preserve">create </w:t>
      </w:r>
      <w:proofErr w:type="gramStart"/>
      <w:r w:rsidR="003D1396">
        <w:rPr>
          <w:rFonts w:ascii="Calibri" w:hAnsi="Calibri" w:cs="Calibri"/>
          <w:color w:val="auto"/>
          <w:sz w:val="22"/>
          <w:lang w:val="en-US"/>
        </w:rPr>
        <w:t>a</w:t>
      </w:r>
      <w:proofErr w:type="gramEnd"/>
      <w:r w:rsidR="003D1396">
        <w:rPr>
          <w:rFonts w:ascii="Calibri" w:hAnsi="Calibri" w:cs="Calibri"/>
          <w:color w:val="auto"/>
          <w:sz w:val="22"/>
          <w:lang w:val="en-US"/>
        </w:rPr>
        <w:t xml:space="preserve"> upward impact on prices. Breaking the order into smaller chunks may therefore yield a lower average price.</w:t>
      </w:r>
    </w:p>
    <w:p w14:paraId="597E2825" w14:textId="77777777" w:rsidR="008F16C2" w:rsidRPr="008F16C2" w:rsidRDefault="008F16C2" w:rsidP="008F16C2">
      <w:pPr>
        <w:pStyle w:val="ListParagraph"/>
        <w:ind w:left="1080"/>
        <w:jc w:val="both"/>
        <w:rPr>
          <w:rFonts w:ascii="Calibri" w:hAnsi="Calibri" w:cs="Calibri"/>
          <w:color w:val="auto"/>
          <w:sz w:val="22"/>
          <w:lang w:val="en-US"/>
        </w:rPr>
      </w:pPr>
    </w:p>
    <w:p w14:paraId="5E84DAAB" w14:textId="23F28678" w:rsidR="00DC6901" w:rsidRDefault="004D795D" w:rsidP="003530EE">
      <w:pPr>
        <w:pStyle w:val="Heading3"/>
        <w:numPr>
          <w:ilvl w:val="0"/>
          <w:numId w:val="118"/>
        </w:numPr>
        <w:jc w:val="both"/>
        <w:rPr>
          <w:rFonts w:ascii="Calibri" w:hAnsi="Calibri" w:cs="Calibri"/>
          <w:color w:val="auto"/>
          <w:lang w:val="en-US"/>
        </w:rPr>
      </w:pPr>
      <w:r>
        <w:rPr>
          <w:rFonts w:ascii="Calibri" w:hAnsi="Calibri" w:cs="Calibri"/>
          <w:color w:val="auto"/>
          <w:lang w:val="en-US"/>
        </w:rPr>
        <w:t>P</w:t>
      </w:r>
      <w:r w:rsidR="00F431F6">
        <w:rPr>
          <w:rFonts w:ascii="Calibri" w:hAnsi="Calibri" w:cs="Calibri"/>
          <w:color w:val="auto"/>
          <w:lang w:val="en-US"/>
        </w:rPr>
        <w:t xml:space="preserve">erformance </w:t>
      </w:r>
      <w:r>
        <w:rPr>
          <w:rFonts w:ascii="Calibri" w:hAnsi="Calibri" w:cs="Calibri"/>
          <w:color w:val="auto"/>
          <w:lang w:val="en-US"/>
        </w:rPr>
        <w:t xml:space="preserve">Measurement, Attribution </w:t>
      </w:r>
      <w:r w:rsidR="00BB4863">
        <w:rPr>
          <w:rFonts w:ascii="Calibri" w:hAnsi="Calibri" w:cs="Calibri"/>
          <w:color w:val="auto"/>
          <w:lang w:val="en-US"/>
        </w:rPr>
        <w:t>&amp;</w:t>
      </w:r>
      <w:r>
        <w:rPr>
          <w:rFonts w:ascii="Calibri" w:hAnsi="Calibri" w:cs="Calibri"/>
          <w:color w:val="auto"/>
          <w:lang w:val="en-US"/>
        </w:rPr>
        <w:t xml:space="preserve"> Appraisal</w:t>
      </w:r>
      <w:r w:rsidR="00DC6901">
        <w:rPr>
          <w:rFonts w:ascii="Calibri" w:hAnsi="Calibri" w:cs="Calibri"/>
          <w:color w:val="auto"/>
          <w:lang w:val="en-US"/>
        </w:rPr>
        <w:t xml:space="preserve"> Process</w:t>
      </w:r>
    </w:p>
    <w:p w14:paraId="48555A54" w14:textId="38C4D0F4" w:rsidR="001A0751" w:rsidRDefault="00F431F6" w:rsidP="003530EE">
      <w:pPr>
        <w:pStyle w:val="ListParagraph"/>
        <w:numPr>
          <w:ilvl w:val="0"/>
          <w:numId w:val="119"/>
        </w:numPr>
        <w:jc w:val="both"/>
        <w:rPr>
          <w:rFonts w:ascii="Calibri" w:hAnsi="Calibri" w:cs="Calibri"/>
          <w:color w:val="auto"/>
          <w:sz w:val="22"/>
          <w:lang w:val="en-US"/>
        </w:rPr>
      </w:pPr>
      <w:r>
        <w:rPr>
          <w:rFonts w:ascii="Calibri" w:hAnsi="Calibri" w:cs="Calibri"/>
          <w:b/>
          <w:bCs/>
          <w:color w:val="auto"/>
          <w:sz w:val="22"/>
          <w:lang w:val="en-US"/>
        </w:rPr>
        <w:t>Performance Measurement</w:t>
      </w:r>
      <w:r w:rsidRPr="00F431F6">
        <w:rPr>
          <w:rFonts w:ascii="Calibri" w:hAnsi="Calibri" w:cs="Calibri"/>
          <w:color w:val="auto"/>
          <w:sz w:val="22"/>
          <w:lang w:val="en-US"/>
        </w:rPr>
        <w:t>:</w:t>
      </w:r>
      <w:r w:rsidR="001A0751">
        <w:rPr>
          <w:rFonts w:ascii="Calibri" w:hAnsi="Calibri" w:cs="Calibri"/>
          <w:color w:val="auto"/>
          <w:sz w:val="22"/>
          <w:lang w:val="en-US"/>
        </w:rPr>
        <w:t xml:space="preserve"> Calculation of returns for an account</w:t>
      </w:r>
      <w:r w:rsidR="00CA169E">
        <w:rPr>
          <w:rFonts w:ascii="Calibri" w:hAnsi="Calibri" w:cs="Calibri"/>
          <w:color w:val="auto"/>
          <w:sz w:val="22"/>
          <w:lang w:val="en-US"/>
        </w:rPr>
        <w:t>. Usually, a time</w:t>
      </w:r>
      <w:r w:rsidR="00A50492">
        <w:rPr>
          <w:rFonts w:ascii="Calibri" w:hAnsi="Calibri" w:cs="Calibri"/>
          <w:color w:val="auto"/>
          <w:sz w:val="22"/>
          <w:lang w:val="en-US"/>
        </w:rPr>
        <w:t xml:space="preserve">-weighted rate of return </w:t>
      </w:r>
      <w:r w:rsidR="00F10234">
        <w:rPr>
          <w:rFonts w:ascii="Calibri" w:hAnsi="Calibri" w:cs="Calibri"/>
          <w:color w:val="auto"/>
          <w:sz w:val="22"/>
          <w:lang w:val="en-US"/>
        </w:rPr>
        <w:t>[(1+r</w:t>
      </w:r>
      <w:proofErr w:type="gramStart"/>
      <w:r w:rsidR="00F10234" w:rsidRPr="00F10234">
        <w:rPr>
          <w:rFonts w:ascii="Calibri" w:hAnsi="Calibri" w:cs="Calibri"/>
          <w:color w:val="auto"/>
          <w:sz w:val="22"/>
          <w:vertAlign w:val="subscript"/>
          <w:lang w:val="en-US"/>
        </w:rPr>
        <w:t>1</w:t>
      </w:r>
      <w:r w:rsidR="00F10234">
        <w:rPr>
          <w:rFonts w:ascii="Calibri" w:hAnsi="Calibri" w:cs="Calibri"/>
          <w:color w:val="auto"/>
          <w:sz w:val="22"/>
          <w:lang w:val="en-US"/>
        </w:rPr>
        <w:t>)(…)(</w:t>
      </w:r>
      <w:proofErr w:type="gramEnd"/>
      <w:r w:rsidR="00F10234">
        <w:rPr>
          <w:rFonts w:ascii="Calibri" w:hAnsi="Calibri" w:cs="Calibri"/>
          <w:color w:val="auto"/>
          <w:sz w:val="22"/>
          <w:lang w:val="en-US"/>
        </w:rPr>
        <w:t>1+r</w:t>
      </w:r>
      <w:r w:rsidR="00F10234" w:rsidRPr="00F10234">
        <w:rPr>
          <w:rFonts w:ascii="Calibri" w:hAnsi="Calibri" w:cs="Calibri"/>
          <w:color w:val="auto"/>
          <w:sz w:val="22"/>
          <w:vertAlign w:val="subscript"/>
          <w:lang w:val="en-US"/>
        </w:rPr>
        <w:t>n</w:t>
      </w:r>
      <w:r w:rsidR="00F10234">
        <w:rPr>
          <w:rFonts w:ascii="Calibri" w:hAnsi="Calibri" w:cs="Calibri"/>
          <w:color w:val="auto"/>
          <w:sz w:val="22"/>
          <w:lang w:val="en-US"/>
        </w:rPr>
        <w:t xml:space="preserve">)-1] </w:t>
      </w:r>
      <w:r w:rsidR="00A50492">
        <w:rPr>
          <w:rFonts w:ascii="Calibri" w:hAnsi="Calibri" w:cs="Calibri"/>
          <w:color w:val="auto"/>
          <w:sz w:val="22"/>
          <w:lang w:val="en-US"/>
        </w:rPr>
        <w:t xml:space="preserve">is preferred to </w:t>
      </w:r>
      <w:r w:rsidR="00341060">
        <w:rPr>
          <w:rFonts w:ascii="Calibri" w:hAnsi="Calibri" w:cs="Calibri"/>
          <w:color w:val="auto"/>
          <w:sz w:val="22"/>
          <w:lang w:val="en-US"/>
        </w:rPr>
        <w:t xml:space="preserve">money-weighted rate of return (aka IRR), because </w:t>
      </w:r>
      <w:r w:rsidR="007160E3">
        <w:rPr>
          <w:rFonts w:ascii="Calibri" w:hAnsi="Calibri" w:cs="Calibri"/>
          <w:color w:val="auto"/>
          <w:sz w:val="22"/>
          <w:lang w:val="en-US"/>
        </w:rPr>
        <w:t>the former</w:t>
      </w:r>
      <w:r w:rsidR="00341060">
        <w:rPr>
          <w:rFonts w:ascii="Calibri" w:hAnsi="Calibri" w:cs="Calibri"/>
          <w:color w:val="auto"/>
          <w:sz w:val="22"/>
          <w:lang w:val="en-US"/>
        </w:rPr>
        <w:t xml:space="preserve"> </w:t>
      </w:r>
      <w:r w:rsidR="007160E3">
        <w:rPr>
          <w:rFonts w:ascii="Calibri" w:hAnsi="Calibri" w:cs="Calibri"/>
          <w:color w:val="auto"/>
          <w:sz w:val="22"/>
          <w:lang w:val="en-US"/>
        </w:rPr>
        <w:t>removes the impact of external cash flows.</w:t>
      </w:r>
    </w:p>
    <w:p w14:paraId="33B4D322" w14:textId="77777777" w:rsidR="004025C5" w:rsidRDefault="00341060" w:rsidP="003530EE">
      <w:pPr>
        <w:pStyle w:val="ListParagraph"/>
        <w:numPr>
          <w:ilvl w:val="0"/>
          <w:numId w:val="119"/>
        </w:numPr>
        <w:jc w:val="both"/>
        <w:rPr>
          <w:rFonts w:ascii="Calibri" w:hAnsi="Calibri" w:cs="Calibri"/>
          <w:color w:val="auto"/>
          <w:sz w:val="22"/>
          <w:lang w:val="en-US"/>
        </w:rPr>
      </w:pPr>
      <w:r>
        <w:rPr>
          <w:rFonts w:ascii="Calibri" w:hAnsi="Calibri" w:cs="Calibri"/>
          <w:b/>
          <w:bCs/>
          <w:color w:val="auto"/>
          <w:sz w:val="22"/>
          <w:lang w:val="en-US"/>
        </w:rPr>
        <w:t xml:space="preserve">Performance </w:t>
      </w:r>
      <w:r w:rsidR="008123C3">
        <w:rPr>
          <w:rFonts w:ascii="Calibri" w:hAnsi="Calibri" w:cs="Calibri"/>
          <w:b/>
          <w:bCs/>
          <w:color w:val="auto"/>
          <w:sz w:val="22"/>
          <w:lang w:val="en-US"/>
        </w:rPr>
        <w:t>A</w:t>
      </w:r>
      <w:r>
        <w:rPr>
          <w:rFonts w:ascii="Calibri" w:hAnsi="Calibri" w:cs="Calibri"/>
          <w:b/>
          <w:bCs/>
          <w:color w:val="auto"/>
          <w:sz w:val="22"/>
          <w:lang w:val="en-US"/>
        </w:rPr>
        <w:t>ttribution</w:t>
      </w:r>
      <w:r w:rsidR="007160E3">
        <w:rPr>
          <w:rFonts w:ascii="Calibri" w:hAnsi="Calibri" w:cs="Calibri"/>
          <w:color w:val="auto"/>
          <w:sz w:val="22"/>
          <w:lang w:val="en-US"/>
        </w:rPr>
        <w:t xml:space="preserve">: </w:t>
      </w:r>
      <w:r w:rsidR="007A1A5F">
        <w:rPr>
          <w:rFonts w:ascii="Calibri" w:hAnsi="Calibri" w:cs="Calibri"/>
          <w:color w:val="auto"/>
          <w:sz w:val="22"/>
          <w:lang w:val="en-US"/>
        </w:rPr>
        <w:t>Identifies the sources of variation from benchmarks returns and their impacts on an account’s performance.</w:t>
      </w:r>
      <w:r w:rsidR="00EC65E0">
        <w:rPr>
          <w:rFonts w:ascii="Calibri" w:hAnsi="Calibri" w:cs="Calibri"/>
          <w:color w:val="auto"/>
          <w:sz w:val="22"/>
          <w:lang w:val="en-US"/>
        </w:rPr>
        <w:t xml:space="preserve"> </w:t>
      </w:r>
    </w:p>
    <w:p w14:paraId="5CE845F9" w14:textId="77777777" w:rsidR="004025C5" w:rsidRDefault="004025C5" w:rsidP="003530EE">
      <w:pPr>
        <w:pStyle w:val="ListParagraph"/>
        <w:numPr>
          <w:ilvl w:val="1"/>
          <w:numId w:val="119"/>
        </w:numPr>
        <w:jc w:val="both"/>
        <w:rPr>
          <w:rFonts w:ascii="Calibri" w:hAnsi="Calibri" w:cs="Calibri"/>
          <w:color w:val="auto"/>
          <w:sz w:val="22"/>
          <w:lang w:val="en-US"/>
        </w:rPr>
      </w:pPr>
      <w:r>
        <w:rPr>
          <w:rFonts w:ascii="Calibri" w:hAnsi="Calibri" w:cs="Calibri"/>
          <w:b/>
          <w:bCs/>
          <w:color w:val="auto"/>
          <w:sz w:val="22"/>
          <w:lang w:val="en-US"/>
        </w:rPr>
        <w:t>Macro Attribution Analysis</w:t>
      </w:r>
      <w:r w:rsidRPr="004025C5">
        <w:rPr>
          <w:rFonts w:ascii="Calibri" w:hAnsi="Calibri" w:cs="Calibri"/>
          <w:color w:val="auto"/>
          <w:sz w:val="22"/>
          <w:lang w:val="en-US"/>
        </w:rPr>
        <w:t>:</w:t>
      </w:r>
      <w:r>
        <w:rPr>
          <w:rFonts w:ascii="Calibri" w:hAnsi="Calibri" w:cs="Calibri"/>
          <w:color w:val="auto"/>
          <w:sz w:val="22"/>
          <w:lang w:val="en-US"/>
        </w:rPr>
        <w:t xml:space="preserve"> </w:t>
      </w:r>
      <w:r w:rsidR="00EC65E0">
        <w:rPr>
          <w:rFonts w:ascii="Calibri" w:hAnsi="Calibri" w:cs="Calibri"/>
          <w:color w:val="auto"/>
          <w:sz w:val="22"/>
          <w:lang w:val="en-US"/>
        </w:rPr>
        <w:t>Attribution involves</w:t>
      </w:r>
      <w:r w:rsidR="00AC4A49">
        <w:rPr>
          <w:rFonts w:ascii="Calibri" w:hAnsi="Calibri" w:cs="Calibri"/>
          <w:color w:val="auto"/>
          <w:sz w:val="22"/>
          <w:lang w:val="en-US"/>
        </w:rPr>
        <w:t xml:space="preserve"> assigning / calculating the returns</w:t>
      </w:r>
      <w:r w:rsidR="00EC65E0">
        <w:rPr>
          <w:rFonts w:ascii="Calibri" w:hAnsi="Calibri" w:cs="Calibri"/>
          <w:color w:val="auto"/>
          <w:sz w:val="22"/>
          <w:lang w:val="en-US"/>
        </w:rPr>
        <w:t xml:space="preserve"> in these buckets:</w:t>
      </w:r>
      <w:r w:rsidR="00AC4A49">
        <w:rPr>
          <w:rFonts w:ascii="Calibri" w:hAnsi="Calibri" w:cs="Calibri"/>
          <w:color w:val="auto"/>
          <w:sz w:val="22"/>
          <w:lang w:val="en-US"/>
        </w:rPr>
        <w:t xml:space="preserve"> </w:t>
      </w:r>
      <w:r w:rsidR="00AC4A49" w:rsidRPr="00680F0B">
        <w:rPr>
          <w:rFonts w:ascii="Calibri" w:hAnsi="Calibri" w:cs="Calibri"/>
          <w:color w:val="auto"/>
          <w:sz w:val="22"/>
          <w:u w:val="single"/>
          <w:lang w:val="en-US"/>
        </w:rPr>
        <w:t>(</w:t>
      </w:r>
      <w:proofErr w:type="spellStart"/>
      <w:r w:rsidR="00AC4A49" w:rsidRPr="00680F0B">
        <w:rPr>
          <w:rFonts w:ascii="Calibri" w:hAnsi="Calibri" w:cs="Calibri"/>
          <w:color w:val="auto"/>
          <w:sz w:val="22"/>
          <w:u w:val="single"/>
          <w:lang w:val="en-US"/>
        </w:rPr>
        <w:t>i</w:t>
      </w:r>
      <w:proofErr w:type="spellEnd"/>
      <w:r w:rsidR="00AC4A49" w:rsidRPr="00680F0B">
        <w:rPr>
          <w:rFonts w:ascii="Calibri" w:hAnsi="Calibri" w:cs="Calibri"/>
          <w:color w:val="auto"/>
          <w:sz w:val="22"/>
          <w:u w:val="single"/>
          <w:lang w:val="en-US"/>
        </w:rPr>
        <w:t xml:space="preserve">) Net Contribution, (ii) </w:t>
      </w:r>
      <w:r w:rsidR="005C7852" w:rsidRPr="00680F0B">
        <w:rPr>
          <w:rFonts w:ascii="Calibri" w:hAnsi="Calibri" w:cs="Calibri"/>
          <w:color w:val="auto"/>
          <w:sz w:val="22"/>
          <w:u w:val="single"/>
          <w:lang w:val="en-US"/>
        </w:rPr>
        <w:t xml:space="preserve">Risk-Free Rate, (iii) Asset Class Benchmarks, (iv) Manager Benchmarks, (v) </w:t>
      </w:r>
      <w:r w:rsidR="006F12EB" w:rsidRPr="00680F0B">
        <w:rPr>
          <w:rFonts w:ascii="Calibri" w:hAnsi="Calibri" w:cs="Calibri"/>
          <w:color w:val="auto"/>
          <w:sz w:val="22"/>
          <w:u w:val="single"/>
          <w:lang w:val="en-US"/>
        </w:rPr>
        <w:t xml:space="preserve">Actual </w:t>
      </w:r>
      <w:r w:rsidR="005C7852" w:rsidRPr="00680F0B">
        <w:rPr>
          <w:rFonts w:ascii="Calibri" w:hAnsi="Calibri" w:cs="Calibri"/>
          <w:color w:val="auto"/>
          <w:sz w:val="22"/>
          <w:u w:val="single"/>
          <w:lang w:val="en-US"/>
        </w:rPr>
        <w:t>Manager Performance</w:t>
      </w:r>
      <w:r w:rsidR="001866B2" w:rsidRPr="00680F0B">
        <w:rPr>
          <w:rFonts w:ascii="Calibri" w:hAnsi="Calibri" w:cs="Calibri"/>
          <w:color w:val="auto"/>
          <w:sz w:val="22"/>
          <w:u w:val="single"/>
          <w:lang w:val="en-US"/>
        </w:rPr>
        <w:t xml:space="preserve"> (i.e., excess returns over manager benchmark)</w:t>
      </w:r>
      <w:r w:rsidR="005C7852" w:rsidRPr="00680F0B">
        <w:rPr>
          <w:rFonts w:ascii="Calibri" w:hAnsi="Calibri" w:cs="Calibri"/>
          <w:color w:val="auto"/>
          <w:sz w:val="22"/>
          <w:u w:val="single"/>
          <w:lang w:val="en-US"/>
        </w:rPr>
        <w:t xml:space="preserve">, (vi) </w:t>
      </w:r>
      <w:r w:rsidR="006F12EB" w:rsidRPr="00680F0B">
        <w:rPr>
          <w:rFonts w:ascii="Calibri" w:hAnsi="Calibri" w:cs="Calibri"/>
          <w:color w:val="auto"/>
          <w:sz w:val="22"/>
          <w:u w:val="single"/>
          <w:lang w:val="en-US"/>
        </w:rPr>
        <w:t>Allocation Effects</w:t>
      </w:r>
      <w:r w:rsidR="00680F0B">
        <w:rPr>
          <w:rFonts w:ascii="Calibri" w:hAnsi="Calibri" w:cs="Calibri"/>
          <w:color w:val="auto"/>
          <w:sz w:val="22"/>
          <w:lang w:val="en-US"/>
        </w:rPr>
        <w:t>.</w:t>
      </w:r>
      <w:r>
        <w:rPr>
          <w:rFonts w:ascii="Calibri" w:hAnsi="Calibri" w:cs="Calibri"/>
          <w:color w:val="auto"/>
          <w:sz w:val="22"/>
          <w:lang w:val="en-US"/>
        </w:rPr>
        <w:t xml:space="preserve"> </w:t>
      </w:r>
    </w:p>
    <w:p w14:paraId="37B57D5B" w14:textId="56D0A92D" w:rsidR="00341060" w:rsidRDefault="001F4D3C" w:rsidP="003530EE">
      <w:pPr>
        <w:pStyle w:val="ListParagraph"/>
        <w:numPr>
          <w:ilvl w:val="1"/>
          <w:numId w:val="119"/>
        </w:numPr>
        <w:jc w:val="both"/>
        <w:rPr>
          <w:rFonts w:ascii="Calibri" w:hAnsi="Calibri" w:cs="Calibri"/>
          <w:color w:val="auto"/>
          <w:sz w:val="22"/>
          <w:lang w:val="en-US"/>
        </w:rPr>
      </w:pPr>
      <w:r>
        <w:rPr>
          <w:rFonts w:ascii="Calibri" w:hAnsi="Calibri" w:cs="Calibri"/>
          <w:b/>
          <w:bCs/>
          <w:color w:val="auto"/>
          <w:sz w:val="22"/>
          <w:lang w:val="en-US"/>
        </w:rPr>
        <w:t>Fixed Income Attribution</w:t>
      </w:r>
      <w:r w:rsidRPr="001F4D3C">
        <w:rPr>
          <w:rFonts w:ascii="Calibri" w:hAnsi="Calibri" w:cs="Calibri"/>
          <w:color w:val="auto"/>
          <w:sz w:val="22"/>
          <w:lang w:val="en-US"/>
        </w:rPr>
        <w:t>:</w:t>
      </w:r>
    </w:p>
    <w:p w14:paraId="4DA59C9F" w14:textId="3EFCED55" w:rsidR="00CD1365" w:rsidRDefault="00CD1365" w:rsidP="001F4D3C">
      <w:pPr>
        <w:pStyle w:val="ListParagraph"/>
        <w:jc w:val="both"/>
        <w:rPr>
          <w:rFonts w:ascii="Calibri" w:hAnsi="Calibri" w:cs="Calibri"/>
          <w:color w:val="auto"/>
          <w:sz w:val="22"/>
          <w:lang w:val="en-US"/>
        </w:rPr>
      </w:pPr>
      <w:r w:rsidRPr="00CD1365">
        <w:rPr>
          <w:rFonts w:ascii="Calibri" w:hAnsi="Calibri" w:cs="Calibri"/>
          <w:noProof/>
          <w:color w:val="auto"/>
          <w:sz w:val="22"/>
          <w:lang w:val="en-US"/>
        </w:rPr>
        <w:drawing>
          <wp:inline distT="0" distB="0" distL="0" distR="0" wp14:anchorId="0829ADA0" wp14:editId="0F83A322">
            <wp:extent cx="4282440" cy="1899809"/>
            <wp:effectExtent l="0" t="0" r="3810" b="5715"/>
            <wp:docPr id="36511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18909" name=""/>
                    <pic:cNvPicPr/>
                  </pic:nvPicPr>
                  <pic:blipFill>
                    <a:blip r:embed="rId11"/>
                    <a:stretch>
                      <a:fillRect/>
                    </a:stretch>
                  </pic:blipFill>
                  <pic:spPr>
                    <a:xfrm>
                      <a:off x="0" y="0"/>
                      <a:ext cx="4296828" cy="1906192"/>
                    </a:xfrm>
                    <a:prstGeom prst="rect">
                      <a:avLst/>
                    </a:prstGeom>
                  </pic:spPr>
                </pic:pic>
              </a:graphicData>
            </a:graphic>
          </wp:inline>
        </w:drawing>
      </w:r>
    </w:p>
    <w:p w14:paraId="420A975D" w14:textId="34D314F6" w:rsidR="008123C3" w:rsidRDefault="008123C3" w:rsidP="003530EE">
      <w:pPr>
        <w:pStyle w:val="ListParagraph"/>
        <w:numPr>
          <w:ilvl w:val="0"/>
          <w:numId w:val="119"/>
        </w:numPr>
        <w:jc w:val="both"/>
        <w:rPr>
          <w:rFonts w:ascii="Calibri" w:hAnsi="Calibri" w:cs="Calibri"/>
          <w:color w:val="auto"/>
          <w:sz w:val="22"/>
          <w:lang w:val="en-US"/>
        </w:rPr>
      </w:pPr>
      <w:r>
        <w:rPr>
          <w:rFonts w:ascii="Calibri" w:hAnsi="Calibri" w:cs="Calibri"/>
          <w:b/>
          <w:bCs/>
          <w:color w:val="auto"/>
          <w:sz w:val="22"/>
          <w:lang w:val="en-US"/>
        </w:rPr>
        <w:lastRenderedPageBreak/>
        <w:t>Performance Appraisal</w:t>
      </w:r>
      <w:r w:rsidRPr="008123C3">
        <w:rPr>
          <w:rFonts w:ascii="Calibri" w:hAnsi="Calibri" w:cs="Calibri"/>
          <w:color w:val="auto"/>
          <w:sz w:val="22"/>
          <w:lang w:val="en-US"/>
        </w:rPr>
        <w:t>:</w:t>
      </w:r>
      <w:r>
        <w:rPr>
          <w:rFonts w:ascii="Calibri" w:hAnsi="Calibri" w:cs="Calibri"/>
          <w:color w:val="auto"/>
          <w:sz w:val="22"/>
          <w:lang w:val="en-US"/>
        </w:rPr>
        <w:t xml:space="preserve"> </w:t>
      </w:r>
      <w:r w:rsidR="00D54462">
        <w:rPr>
          <w:rFonts w:ascii="Calibri" w:hAnsi="Calibri" w:cs="Calibri"/>
          <w:color w:val="auto"/>
          <w:sz w:val="22"/>
          <w:lang w:val="en-US"/>
        </w:rPr>
        <w:t xml:space="preserve">The ability of the manager to </w:t>
      </w:r>
      <w:r w:rsidR="00434C2F">
        <w:rPr>
          <w:rFonts w:ascii="Calibri" w:hAnsi="Calibri" w:cs="Calibri"/>
          <w:color w:val="auto"/>
          <w:sz w:val="22"/>
          <w:lang w:val="en-US"/>
        </w:rPr>
        <w:t xml:space="preserve">perform beyond his selected benchmark. Usually, we can use risk-adjusted measures (e.g., Sharpe, Treynor and Jensen’s alpha) to </w:t>
      </w:r>
      <w:r w:rsidR="00125166">
        <w:rPr>
          <w:rFonts w:ascii="Calibri" w:hAnsi="Calibri" w:cs="Calibri"/>
          <w:color w:val="auto"/>
          <w:sz w:val="22"/>
          <w:lang w:val="en-US"/>
        </w:rPr>
        <w:t>measure the manager’s performance.</w:t>
      </w:r>
      <w:r w:rsidR="00402521">
        <w:rPr>
          <w:rFonts w:ascii="Calibri" w:hAnsi="Calibri" w:cs="Calibri"/>
          <w:color w:val="auto"/>
          <w:sz w:val="22"/>
          <w:lang w:val="en-US"/>
        </w:rPr>
        <w:t xml:space="preserve"> </w:t>
      </w:r>
    </w:p>
    <w:p w14:paraId="148E62D0" w14:textId="677D9C47" w:rsidR="00402521" w:rsidRDefault="00402521" w:rsidP="003530EE">
      <w:pPr>
        <w:pStyle w:val="ListParagraph"/>
        <w:numPr>
          <w:ilvl w:val="0"/>
          <w:numId w:val="119"/>
        </w:numPr>
        <w:jc w:val="both"/>
        <w:rPr>
          <w:rFonts w:ascii="Calibri" w:hAnsi="Calibri" w:cs="Calibri"/>
          <w:color w:val="auto"/>
          <w:sz w:val="22"/>
          <w:lang w:val="en-US"/>
        </w:rPr>
      </w:pPr>
      <w:r>
        <w:rPr>
          <w:rFonts w:ascii="Calibri" w:hAnsi="Calibri" w:cs="Calibri"/>
          <w:b/>
          <w:bCs/>
          <w:color w:val="auto"/>
          <w:sz w:val="22"/>
          <w:lang w:val="en-US"/>
        </w:rPr>
        <w:t>Presentation of Performance Results</w:t>
      </w:r>
      <w:r w:rsidRPr="00402521">
        <w:rPr>
          <w:rFonts w:ascii="Calibri" w:hAnsi="Calibri" w:cs="Calibri"/>
          <w:color w:val="auto"/>
          <w:sz w:val="22"/>
          <w:lang w:val="en-US"/>
        </w:rPr>
        <w:t>:</w:t>
      </w:r>
      <w:r w:rsidR="004379D5">
        <w:rPr>
          <w:rFonts w:ascii="Calibri" w:hAnsi="Calibri" w:cs="Calibri"/>
          <w:color w:val="auto"/>
          <w:sz w:val="22"/>
          <w:lang w:val="en-US"/>
        </w:rPr>
        <w:t xml:space="preserve"> These are reflected in the form of monthly, quarterly and annual reports that comprise of </w:t>
      </w:r>
      <w:r w:rsidR="006A2C83">
        <w:rPr>
          <w:rFonts w:ascii="Calibri" w:hAnsi="Calibri" w:cs="Calibri"/>
          <w:color w:val="auto"/>
          <w:sz w:val="22"/>
          <w:lang w:val="en-US"/>
        </w:rPr>
        <w:t>(</w:t>
      </w:r>
      <w:proofErr w:type="spellStart"/>
      <w:r w:rsidR="006A2C83">
        <w:rPr>
          <w:rFonts w:ascii="Calibri" w:hAnsi="Calibri" w:cs="Calibri"/>
          <w:color w:val="auto"/>
          <w:sz w:val="22"/>
          <w:lang w:val="en-US"/>
        </w:rPr>
        <w:t>i</w:t>
      </w:r>
      <w:proofErr w:type="spellEnd"/>
      <w:r w:rsidR="006A2C83">
        <w:rPr>
          <w:rFonts w:ascii="Calibri" w:hAnsi="Calibri" w:cs="Calibri"/>
          <w:color w:val="auto"/>
          <w:sz w:val="22"/>
          <w:lang w:val="en-US"/>
        </w:rPr>
        <w:t xml:space="preserve">) </w:t>
      </w:r>
      <w:r w:rsidR="004A195C">
        <w:rPr>
          <w:rFonts w:ascii="Calibri" w:hAnsi="Calibri" w:cs="Calibri"/>
          <w:color w:val="auto"/>
          <w:sz w:val="22"/>
          <w:lang w:val="en-US"/>
        </w:rPr>
        <w:t>P</w:t>
      </w:r>
      <w:r w:rsidR="006A2C83">
        <w:rPr>
          <w:rFonts w:ascii="Calibri" w:hAnsi="Calibri" w:cs="Calibri"/>
          <w:color w:val="auto"/>
          <w:sz w:val="22"/>
          <w:lang w:val="en-US"/>
        </w:rPr>
        <w:t xml:space="preserve">erformance </w:t>
      </w:r>
      <w:r w:rsidR="004A195C">
        <w:rPr>
          <w:rFonts w:ascii="Calibri" w:hAnsi="Calibri" w:cs="Calibri"/>
          <w:color w:val="auto"/>
          <w:sz w:val="22"/>
          <w:lang w:val="en-US"/>
        </w:rPr>
        <w:t>S</w:t>
      </w:r>
      <w:r w:rsidR="006A2C83">
        <w:rPr>
          <w:rFonts w:ascii="Calibri" w:hAnsi="Calibri" w:cs="Calibri"/>
          <w:color w:val="auto"/>
          <w:sz w:val="22"/>
          <w:lang w:val="en-US"/>
        </w:rPr>
        <w:t>ummary</w:t>
      </w:r>
      <w:r w:rsidR="004A195C">
        <w:rPr>
          <w:rFonts w:ascii="Calibri" w:hAnsi="Calibri" w:cs="Calibri"/>
          <w:color w:val="auto"/>
          <w:sz w:val="22"/>
          <w:lang w:val="en-US"/>
        </w:rPr>
        <w:t>, (ii) Performance by Account, (iii) Contributions/Withdrawals, (iv) Asset Mix, (v) Top 10 holdings,</w:t>
      </w:r>
      <w:r w:rsidR="003E46B9">
        <w:rPr>
          <w:rFonts w:ascii="Calibri" w:hAnsi="Calibri" w:cs="Calibri"/>
          <w:color w:val="auto"/>
          <w:sz w:val="22"/>
          <w:lang w:val="en-US"/>
        </w:rPr>
        <w:t xml:space="preserve"> (vi) Realized Gains/Losses, (vii) Sector/Country Allocations</w:t>
      </w:r>
      <w:r w:rsidR="00E5351D">
        <w:rPr>
          <w:rFonts w:ascii="Calibri" w:hAnsi="Calibri" w:cs="Calibri"/>
          <w:color w:val="auto"/>
          <w:sz w:val="22"/>
          <w:lang w:val="en-US"/>
        </w:rPr>
        <w:t>.</w:t>
      </w:r>
    </w:p>
    <w:p w14:paraId="0E5B4579" w14:textId="74065A48" w:rsidR="00DC6901" w:rsidRDefault="00DC6901" w:rsidP="00F431F6">
      <w:pPr>
        <w:pStyle w:val="BodyText"/>
        <w:rPr>
          <w:lang w:val="en-US"/>
        </w:rPr>
      </w:pPr>
    </w:p>
    <w:p w14:paraId="20470364" w14:textId="0E76152B" w:rsidR="00DC6901" w:rsidRDefault="00E5351D" w:rsidP="003530EE">
      <w:pPr>
        <w:pStyle w:val="Heading3"/>
        <w:numPr>
          <w:ilvl w:val="0"/>
          <w:numId w:val="118"/>
        </w:numPr>
        <w:jc w:val="both"/>
        <w:rPr>
          <w:rFonts w:ascii="Calibri" w:hAnsi="Calibri" w:cs="Calibri"/>
          <w:color w:val="auto"/>
          <w:lang w:val="en-US"/>
        </w:rPr>
      </w:pPr>
      <w:r>
        <w:rPr>
          <w:rFonts w:ascii="Calibri" w:hAnsi="Calibri" w:cs="Calibri"/>
          <w:color w:val="auto"/>
          <w:lang w:val="en-US"/>
        </w:rPr>
        <w:t>Best Practices in Fund Management</w:t>
      </w:r>
    </w:p>
    <w:p w14:paraId="017A957E" w14:textId="77777777" w:rsidR="003A0002" w:rsidRDefault="008D428C" w:rsidP="003530EE">
      <w:pPr>
        <w:pStyle w:val="ListParagraph"/>
        <w:numPr>
          <w:ilvl w:val="0"/>
          <w:numId w:val="120"/>
        </w:numPr>
        <w:jc w:val="both"/>
        <w:rPr>
          <w:rFonts w:ascii="Calibri" w:hAnsi="Calibri" w:cs="Calibri"/>
          <w:color w:val="auto"/>
          <w:sz w:val="22"/>
          <w:lang w:val="en-US"/>
        </w:rPr>
      </w:pPr>
      <w:r>
        <w:rPr>
          <w:rFonts w:ascii="Calibri" w:hAnsi="Calibri" w:cs="Calibri"/>
          <w:b/>
          <w:bCs/>
          <w:color w:val="auto"/>
          <w:sz w:val="22"/>
          <w:lang w:val="en-US"/>
        </w:rPr>
        <w:t>Changes in Economic Conditions</w:t>
      </w:r>
      <w:r w:rsidR="00E5351D" w:rsidRPr="00E5351D">
        <w:rPr>
          <w:rFonts w:ascii="Calibri" w:hAnsi="Calibri" w:cs="Calibri"/>
          <w:color w:val="auto"/>
          <w:sz w:val="22"/>
          <w:lang w:val="en-US"/>
        </w:rPr>
        <w:t>:</w:t>
      </w:r>
      <w:r>
        <w:rPr>
          <w:rFonts w:ascii="Calibri" w:hAnsi="Calibri" w:cs="Calibri"/>
          <w:color w:val="auto"/>
          <w:sz w:val="22"/>
          <w:lang w:val="en-US"/>
        </w:rPr>
        <w:t xml:space="preserve"> </w:t>
      </w:r>
      <w:r w:rsidR="009C2D32" w:rsidRPr="003A0002">
        <w:rPr>
          <w:rFonts w:ascii="Calibri" w:hAnsi="Calibri" w:cs="Calibri"/>
          <w:color w:val="auto"/>
          <w:sz w:val="22"/>
          <w:u w:val="single"/>
          <w:lang w:val="en-US"/>
        </w:rPr>
        <w:t xml:space="preserve">Monitoring market </w:t>
      </w:r>
      <w:r w:rsidR="00B409E1" w:rsidRPr="003A0002">
        <w:rPr>
          <w:rFonts w:ascii="Calibri" w:hAnsi="Calibri" w:cs="Calibri"/>
          <w:color w:val="auto"/>
          <w:sz w:val="22"/>
          <w:u w:val="single"/>
          <w:lang w:val="en-US"/>
        </w:rPr>
        <w:t xml:space="preserve">and </w:t>
      </w:r>
      <w:r w:rsidR="009C2D32" w:rsidRPr="003A0002">
        <w:rPr>
          <w:rFonts w:ascii="Calibri" w:hAnsi="Calibri" w:cs="Calibri"/>
          <w:color w:val="auto"/>
          <w:sz w:val="22"/>
          <w:u w:val="single"/>
          <w:lang w:val="en-US"/>
        </w:rPr>
        <w:t>economic change</w:t>
      </w:r>
      <w:r w:rsidR="00B409E1" w:rsidRPr="003A0002">
        <w:rPr>
          <w:rFonts w:ascii="Calibri" w:hAnsi="Calibri" w:cs="Calibri"/>
          <w:color w:val="auto"/>
          <w:sz w:val="22"/>
          <w:u w:val="single"/>
          <w:lang w:val="en-US"/>
        </w:rPr>
        <w:t>s can be beneficial</w:t>
      </w:r>
      <w:r w:rsidR="00B409E1">
        <w:rPr>
          <w:rFonts w:ascii="Calibri" w:hAnsi="Calibri" w:cs="Calibri"/>
          <w:color w:val="auto"/>
          <w:sz w:val="22"/>
          <w:lang w:val="en-US"/>
        </w:rPr>
        <w:t xml:space="preserve"> (e.g., </w:t>
      </w:r>
      <w:r w:rsidR="00026C24">
        <w:rPr>
          <w:rFonts w:ascii="Calibri" w:hAnsi="Calibri" w:cs="Calibri"/>
          <w:color w:val="auto"/>
          <w:sz w:val="22"/>
          <w:lang w:val="en-US"/>
        </w:rPr>
        <w:t>Changes in</w:t>
      </w:r>
      <w:r w:rsidR="0006707C">
        <w:rPr>
          <w:rFonts w:ascii="Calibri" w:hAnsi="Calibri" w:cs="Calibri"/>
          <w:color w:val="auto"/>
          <w:sz w:val="22"/>
          <w:lang w:val="en-US"/>
        </w:rPr>
        <w:t xml:space="preserve"> yield curves </w:t>
      </w:r>
      <w:r w:rsidR="00026C24">
        <w:rPr>
          <w:rFonts w:ascii="Calibri" w:hAnsi="Calibri" w:cs="Calibri"/>
          <w:color w:val="auto"/>
          <w:sz w:val="22"/>
          <w:lang w:val="en-US"/>
        </w:rPr>
        <w:t xml:space="preserve">reflect changes in bond values and </w:t>
      </w:r>
      <w:r w:rsidR="0063478F">
        <w:rPr>
          <w:rFonts w:ascii="Calibri" w:hAnsi="Calibri" w:cs="Calibri"/>
          <w:color w:val="auto"/>
          <w:sz w:val="22"/>
          <w:lang w:val="en-US"/>
        </w:rPr>
        <w:t xml:space="preserve">ultimately affect the market demand for bonds vs. equities; </w:t>
      </w:r>
      <w:r w:rsidR="00C30EF5">
        <w:rPr>
          <w:rFonts w:ascii="Calibri" w:hAnsi="Calibri" w:cs="Calibri"/>
          <w:color w:val="auto"/>
          <w:sz w:val="22"/>
          <w:lang w:val="en-US"/>
        </w:rPr>
        <w:t>I</w:t>
      </w:r>
      <w:r w:rsidR="0063478F">
        <w:rPr>
          <w:rFonts w:ascii="Calibri" w:hAnsi="Calibri" w:cs="Calibri"/>
          <w:color w:val="auto"/>
          <w:sz w:val="22"/>
          <w:lang w:val="en-US"/>
        </w:rPr>
        <w:t>nflation</w:t>
      </w:r>
      <w:r w:rsidR="00C30EF5">
        <w:rPr>
          <w:rFonts w:ascii="Calibri" w:hAnsi="Calibri" w:cs="Calibri"/>
          <w:color w:val="auto"/>
          <w:sz w:val="22"/>
          <w:lang w:val="en-US"/>
        </w:rPr>
        <w:t xml:space="preserve"> can affect stock markets</w:t>
      </w:r>
      <w:r w:rsidR="0063478F">
        <w:rPr>
          <w:rFonts w:ascii="Calibri" w:hAnsi="Calibri" w:cs="Calibri"/>
          <w:color w:val="auto"/>
          <w:sz w:val="22"/>
          <w:lang w:val="en-US"/>
        </w:rPr>
        <w:t>)</w:t>
      </w:r>
      <w:r w:rsidR="00C30EF5">
        <w:rPr>
          <w:rFonts w:ascii="Calibri" w:hAnsi="Calibri" w:cs="Calibri"/>
          <w:color w:val="auto"/>
          <w:sz w:val="22"/>
          <w:lang w:val="en-US"/>
        </w:rPr>
        <w:t xml:space="preserve"> </w:t>
      </w:r>
      <w:r w:rsidR="00C30EF5" w:rsidRPr="003A0002">
        <w:rPr>
          <w:rFonts w:ascii="Calibri" w:hAnsi="Calibri" w:cs="Calibri"/>
          <w:color w:val="auto"/>
          <w:sz w:val="22"/>
          <w:u w:val="single"/>
          <w:lang w:val="en-US"/>
        </w:rPr>
        <w:t xml:space="preserve">in evaluating </w:t>
      </w:r>
      <w:r w:rsidR="003A0002" w:rsidRPr="003A0002">
        <w:rPr>
          <w:rFonts w:ascii="Calibri" w:hAnsi="Calibri" w:cs="Calibri"/>
          <w:color w:val="auto"/>
          <w:sz w:val="22"/>
          <w:u w:val="single"/>
          <w:lang w:val="en-US"/>
        </w:rPr>
        <w:t>whether the existing portfolio mix can continue to attain client investment objectives</w:t>
      </w:r>
      <w:r w:rsidR="003A0002">
        <w:rPr>
          <w:rFonts w:ascii="Calibri" w:hAnsi="Calibri" w:cs="Calibri"/>
          <w:color w:val="auto"/>
          <w:sz w:val="22"/>
          <w:lang w:val="en-US"/>
        </w:rPr>
        <w:t xml:space="preserve">. </w:t>
      </w:r>
    </w:p>
    <w:p w14:paraId="7DB19FEB" w14:textId="23C2A787" w:rsidR="00C60E44" w:rsidRDefault="00C60E44" w:rsidP="003530EE">
      <w:pPr>
        <w:pStyle w:val="ListParagraph"/>
        <w:numPr>
          <w:ilvl w:val="0"/>
          <w:numId w:val="120"/>
        </w:numPr>
        <w:jc w:val="both"/>
        <w:rPr>
          <w:rFonts w:ascii="Calibri" w:hAnsi="Calibri" w:cs="Calibri"/>
          <w:color w:val="auto"/>
          <w:sz w:val="22"/>
          <w:lang w:val="en-US"/>
        </w:rPr>
      </w:pPr>
      <w:r>
        <w:rPr>
          <w:rFonts w:ascii="Calibri" w:hAnsi="Calibri" w:cs="Calibri"/>
          <w:b/>
          <w:bCs/>
          <w:color w:val="auto"/>
          <w:sz w:val="22"/>
          <w:lang w:val="en-US"/>
        </w:rPr>
        <w:t>Best Execution</w:t>
      </w:r>
      <w:r w:rsidRPr="00C60E44">
        <w:rPr>
          <w:rFonts w:ascii="Calibri" w:hAnsi="Calibri" w:cs="Calibri"/>
          <w:color w:val="auto"/>
          <w:sz w:val="22"/>
          <w:lang w:val="en-US"/>
        </w:rPr>
        <w:t>:</w:t>
      </w:r>
      <w:r>
        <w:rPr>
          <w:rFonts w:ascii="Calibri" w:hAnsi="Calibri" w:cs="Calibri"/>
          <w:color w:val="auto"/>
          <w:sz w:val="22"/>
          <w:lang w:val="en-US"/>
        </w:rPr>
        <w:t xml:space="preserve"> </w:t>
      </w:r>
      <w:r w:rsidRPr="0027081A">
        <w:rPr>
          <w:rFonts w:ascii="Calibri" w:hAnsi="Calibri" w:cs="Calibri"/>
          <w:color w:val="auto"/>
          <w:sz w:val="22"/>
          <w:u w:val="single"/>
          <w:lang w:val="en-US"/>
        </w:rPr>
        <w:t>Balance between price, speed</w:t>
      </w:r>
      <w:r w:rsidR="00CF3AC4">
        <w:rPr>
          <w:rFonts w:ascii="Calibri" w:hAnsi="Calibri" w:cs="Calibri"/>
          <w:color w:val="auto"/>
          <w:sz w:val="22"/>
          <w:u w:val="single"/>
          <w:lang w:val="en-US"/>
        </w:rPr>
        <w:t xml:space="preserve">, </w:t>
      </w:r>
      <w:r w:rsidRPr="0027081A">
        <w:rPr>
          <w:rFonts w:ascii="Calibri" w:hAnsi="Calibri" w:cs="Calibri"/>
          <w:color w:val="auto"/>
          <w:sz w:val="22"/>
          <w:u w:val="single"/>
          <w:lang w:val="en-US"/>
        </w:rPr>
        <w:t>cost</w:t>
      </w:r>
      <w:r w:rsidR="0027081A" w:rsidRPr="0027081A">
        <w:rPr>
          <w:rFonts w:ascii="Calibri" w:hAnsi="Calibri" w:cs="Calibri"/>
          <w:color w:val="auto"/>
          <w:sz w:val="22"/>
          <w:u w:val="single"/>
          <w:lang w:val="en-US"/>
        </w:rPr>
        <w:t xml:space="preserve"> </w:t>
      </w:r>
      <w:r w:rsidR="00CF3AC4">
        <w:rPr>
          <w:rFonts w:ascii="Calibri" w:hAnsi="Calibri" w:cs="Calibri"/>
          <w:color w:val="auto"/>
          <w:sz w:val="22"/>
          <w:u w:val="single"/>
          <w:lang w:val="en-US"/>
        </w:rPr>
        <w:t xml:space="preserve">and likelihood of execution </w:t>
      </w:r>
      <w:r w:rsidR="0027081A" w:rsidRPr="0027081A">
        <w:rPr>
          <w:rFonts w:ascii="Calibri" w:hAnsi="Calibri" w:cs="Calibri"/>
          <w:color w:val="auto"/>
          <w:sz w:val="22"/>
          <w:u w:val="single"/>
          <w:lang w:val="en-US"/>
        </w:rPr>
        <w:t>to achieve the best trading outcome</w:t>
      </w:r>
      <w:r w:rsidR="0027081A">
        <w:rPr>
          <w:rFonts w:ascii="Calibri" w:hAnsi="Calibri" w:cs="Calibri"/>
          <w:color w:val="auto"/>
          <w:sz w:val="22"/>
          <w:lang w:val="en-US"/>
        </w:rPr>
        <w:t>.</w:t>
      </w:r>
      <w:r w:rsidR="002F3788">
        <w:rPr>
          <w:rFonts w:ascii="Calibri" w:hAnsi="Calibri" w:cs="Calibri"/>
          <w:color w:val="auto"/>
          <w:sz w:val="22"/>
          <w:lang w:val="en-US"/>
        </w:rPr>
        <w:t xml:space="preserve"> Even if a trade has not been executed at the best possible price, this does not necessary constitute a violation of best execution practices.</w:t>
      </w:r>
    </w:p>
    <w:p w14:paraId="539709FE" w14:textId="60A3A840" w:rsidR="00E5351D" w:rsidRPr="00E5351D" w:rsidRDefault="0063478F" w:rsidP="003530EE">
      <w:pPr>
        <w:pStyle w:val="ListParagraph"/>
        <w:numPr>
          <w:ilvl w:val="0"/>
          <w:numId w:val="120"/>
        </w:numPr>
        <w:jc w:val="both"/>
        <w:rPr>
          <w:rFonts w:ascii="Calibri" w:hAnsi="Calibri" w:cs="Calibri"/>
          <w:color w:val="auto"/>
          <w:sz w:val="22"/>
          <w:lang w:val="en-US"/>
        </w:rPr>
      </w:pPr>
      <w:r>
        <w:rPr>
          <w:rFonts w:ascii="Calibri" w:hAnsi="Calibri" w:cs="Calibri"/>
          <w:color w:val="auto"/>
          <w:sz w:val="22"/>
          <w:lang w:val="en-US"/>
        </w:rPr>
        <w:t xml:space="preserve"> </w:t>
      </w:r>
      <w:r w:rsidR="0006707C">
        <w:rPr>
          <w:rFonts w:ascii="Calibri" w:hAnsi="Calibri" w:cs="Calibri"/>
          <w:color w:val="auto"/>
          <w:sz w:val="22"/>
          <w:lang w:val="en-US"/>
        </w:rPr>
        <w:t>may</w:t>
      </w:r>
      <w:r w:rsidR="00EA3F33">
        <w:rPr>
          <w:rFonts w:ascii="Calibri" w:hAnsi="Calibri" w:cs="Calibri"/>
          <w:color w:val="auto"/>
          <w:sz w:val="22"/>
          <w:lang w:val="en-US"/>
        </w:rPr>
        <w:t xml:space="preserve"> reflect investors’ required returns at various maturities. </w:t>
      </w:r>
      <w:r w:rsidR="00B409E1">
        <w:rPr>
          <w:rFonts w:ascii="Calibri" w:hAnsi="Calibri" w:cs="Calibri"/>
          <w:color w:val="auto"/>
          <w:sz w:val="22"/>
          <w:lang w:val="en-US"/>
        </w:rPr>
        <w:t xml:space="preserve"> </w:t>
      </w:r>
      <w:r w:rsidR="00E5351D" w:rsidRPr="00E5351D">
        <w:rPr>
          <w:rFonts w:ascii="Calibri" w:hAnsi="Calibri" w:cs="Calibri"/>
          <w:color w:val="auto"/>
          <w:sz w:val="22"/>
          <w:lang w:val="en-US"/>
        </w:rPr>
        <w:t xml:space="preserve"> The ability of the manager to perform beyond his selected benchmark. Usually, we can use risk-adjusted measures (e.g., Sharpe, Treynor and Jensen’s alpha) to measure the manager’s performance. </w:t>
      </w:r>
    </w:p>
    <w:p w14:paraId="1E7C43F0" w14:textId="77777777" w:rsidR="00DC6901" w:rsidRDefault="00DC6901" w:rsidP="00DC6F3D">
      <w:pPr>
        <w:pStyle w:val="BodyText"/>
        <w:rPr>
          <w:lang w:val="en-US"/>
        </w:rPr>
      </w:pPr>
    </w:p>
    <w:p w14:paraId="0C727566" w14:textId="228B710C" w:rsidR="00BD0E43" w:rsidRPr="00B52D53" w:rsidRDefault="00BD0E43" w:rsidP="00BD0E43">
      <w:pPr>
        <w:pStyle w:val="Heading2"/>
        <w:jc w:val="both"/>
        <w:rPr>
          <w:rFonts w:ascii="Calibri" w:hAnsi="Calibri" w:cs="Calibri"/>
          <w:color w:val="auto"/>
          <w:lang w:val="en-US"/>
        </w:rPr>
      </w:pPr>
      <w:r w:rsidRPr="00B52D53">
        <w:rPr>
          <w:rFonts w:ascii="Calibri" w:hAnsi="Calibri" w:cs="Calibri"/>
          <w:color w:val="auto"/>
          <w:lang w:val="en-US"/>
        </w:rPr>
        <w:t xml:space="preserve">Chapter </w:t>
      </w:r>
      <w:r w:rsidR="000C5B05">
        <w:rPr>
          <w:rFonts w:ascii="Calibri" w:hAnsi="Calibri" w:cs="Calibri"/>
          <w:color w:val="auto"/>
          <w:lang w:val="en-US"/>
        </w:rPr>
        <w:t>11</w:t>
      </w:r>
      <w:r>
        <w:rPr>
          <w:rFonts w:ascii="Calibri" w:hAnsi="Calibri" w:cs="Calibri"/>
          <w:color w:val="auto"/>
          <w:lang w:val="en-US"/>
        </w:rPr>
        <w:t xml:space="preserve"> </w:t>
      </w:r>
      <w:r w:rsidRPr="00B52D53">
        <w:rPr>
          <w:rFonts w:ascii="Calibri" w:hAnsi="Calibri" w:cs="Calibri"/>
          <w:color w:val="auto"/>
          <w:lang w:val="en-US"/>
        </w:rPr>
        <w:t xml:space="preserve">– </w:t>
      </w:r>
      <w:r w:rsidR="006030F7">
        <w:rPr>
          <w:rFonts w:ascii="Calibri" w:hAnsi="Calibri" w:cs="Calibri"/>
          <w:color w:val="auto"/>
          <w:lang w:val="en-US"/>
        </w:rPr>
        <w:t xml:space="preserve">Prevention of </w:t>
      </w:r>
      <w:r w:rsidR="00B80341">
        <w:rPr>
          <w:rFonts w:ascii="Calibri" w:hAnsi="Calibri" w:cs="Calibri"/>
          <w:color w:val="auto"/>
          <w:lang w:val="en-US"/>
        </w:rPr>
        <w:t>Financial Crimes</w:t>
      </w:r>
    </w:p>
    <w:p w14:paraId="1E0E8F84" w14:textId="433ADD78" w:rsidR="00BD0E43" w:rsidRDefault="00994DE6" w:rsidP="003530EE">
      <w:pPr>
        <w:pStyle w:val="Heading3"/>
        <w:numPr>
          <w:ilvl w:val="0"/>
          <w:numId w:val="121"/>
        </w:numPr>
        <w:jc w:val="both"/>
        <w:rPr>
          <w:rFonts w:ascii="Calibri" w:hAnsi="Calibri" w:cs="Calibri"/>
          <w:color w:val="auto"/>
          <w:lang w:val="en-US"/>
        </w:rPr>
      </w:pPr>
      <w:r>
        <w:rPr>
          <w:rFonts w:ascii="Calibri" w:hAnsi="Calibri" w:cs="Calibri"/>
          <w:color w:val="auto"/>
          <w:lang w:val="en-US"/>
        </w:rPr>
        <w:t>Types of Financial Crimes</w:t>
      </w:r>
    </w:p>
    <w:p w14:paraId="356D48A9" w14:textId="77777777" w:rsidR="004F47B6" w:rsidRDefault="00FA033B" w:rsidP="00BD0E43">
      <w:pPr>
        <w:pStyle w:val="ListParagraph"/>
        <w:numPr>
          <w:ilvl w:val="0"/>
          <w:numId w:val="109"/>
        </w:numPr>
        <w:jc w:val="both"/>
        <w:rPr>
          <w:rFonts w:ascii="Calibri" w:hAnsi="Calibri" w:cs="Calibri"/>
          <w:color w:val="auto"/>
          <w:sz w:val="22"/>
          <w:lang w:val="en-US"/>
        </w:rPr>
      </w:pPr>
      <w:r w:rsidRPr="00FA033B">
        <w:rPr>
          <w:rFonts w:ascii="Calibri" w:hAnsi="Calibri" w:cs="Calibri"/>
          <w:b/>
          <w:bCs/>
          <w:color w:val="auto"/>
          <w:sz w:val="22"/>
          <w:lang w:val="en-US"/>
        </w:rPr>
        <w:t>Money Laundering</w:t>
      </w:r>
      <w:r w:rsidR="004F47B6">
        <w:rPr>
          <w:rFonts w:ascii="Calibri" w:hAnsi="Calibri" w:cs="Calibri"/>
          <w:b/>
          <w:bCs/>
          <w:color w:val="auto"/>
          <w:sz w:val="22"/>
          <w:lang w:val="en-US"/>
        </w:rPr>
        <w:t xml:space="preserve"> (ML)</w:t>
      </w:r>
      <w:r>
        <w:rPr>
          <w:rFonts w:ascii="Calibri" w:hAnsi="Calibri" w:cs="Calibri"/>
          <w:color w:val="auto"/>
          <w:sz w:val="22"/>
          <w:lang w:val="en-US"/>
        </w:rPr>
        <w:t xml:space="preserve">: </w:t>
      </w:r>
      <w:r w:rsidR="004F47B6">
        <w:rPr>
          <w:rFonts w:ascii="Calibri" w:hAnsi="Calibri" w:cs="Calibri"/>
          <w:color w:val="auto"/>
          <w:sz w:val="22"/>
          <w:lang w:val="en-US"/>
        </w:rPr>
        <w:t xml:space="preserve">A process intended to </w:t>
      </w:r>
      <w:r w:rsidR="004F47B6" w:rsidRPr="004F47B6">
        <w:rPr>
          <w:rFonts w:ascii="Calibri" w:hAnsi="Calibri" w:cs="Calibri"/>
          <w:color w:val="auto"/>
          <w:sz w:val="22"/>
          <w:u w:val="single"/>
          <w:lang w:val="en-US"/>
        </w:rPr>
        <w:t>mask the proceeds obtained from criminal activities</w:t>
      </w:r>
      <w:r w:rsidR="004F47B6">
        <w:rPr>
          <w:rFonts w:ascii="Calibri" w:hAnsi="Calibri" w:cs="Calibri"/>
          <w:color w:val="auto"/>
          <w:sz w:val="22"/>
          <w:lang w:val="en-US"/>
        </w:rPr>
        <w:t xml:space="preserve">, e.g., drug tracking and other serious crimes, so that they appear to have come from a legitimate source.  </w:t>
      </w:r>
    </w:p>
    <w:p w14:paraId="55769BC6" w14:textId="77777777" w:rsidR="00E31662" w:rsidRDefault="004F47B6" w:rsidP="00BD0E43">
      <w:pPr>
        <w:pStyle w:val="ListParagraph"/>
        <w:numPr>
          <w:ilvl w:val="0"/>
          <w:numId w:val="109"/>
        </w:numPr>
        <w:jc w:val="both"/>
        <w:rPr>
          <w:rFonts w:ascii="Calibri" w:hAnsi="Calibri" w:cs="Calibri"/>
          <w:color w:val="auto"/>
          <w:sz w:val="22"/>
          <w:lang w:val="en-US"/>
        </w:rPr>
      </w:pPr>
      <w:r>
        <w:rPr>
          <w:rFonts w:ascii="Calibri" w:hAnsi="Calibri" w:cs="Calibri"/>
          <w:b/>
          <w:bCs/>
          <w:color w:val="auto"/>
          <w:sz w:val="22"/>
          <w:lang w:val="en-US"/>
        </w:rPr>
        <w:t>Terrorist Funding (TF)</w:t>
      </w:r>
      <w:r w:rsidRPr="004F47B6">
        <w:rPr>
          <w:rFonts w:ascii="Calibri" w:hAnsi="Calibri" w:cs="Calibri"/>
          <w:color w:val="auto"/>
          <w:sz w:val="22"/>
          <w:lang w:val="en-US"/>
        </w:rPr>
        <w:t>:</w:t>
      </w:r>
      <w:r>
        <w:rPr>
          <w:rFonts w:ascii="Calibri" w:hAnsi="Calibri" w:cs="Calibri"/>
          <w:color w:val="auto"/>
          <w:sz w:val="22"/>
          <w:lang w:val="en-US"/>
        </w:rPr>
        <w:t xml:space="preserve"> </w:t>
      </w:r>
      <w:r w:rsidR="00543445">
        <w:rPr>
          <w:rFonts w:ascii="Calibri" w:hAnsi="Calibri" w:cs="Calibri"/>
          <w:color w:val="auto"/>
          <w:sz w:val="22"/>
          <w:lang w:val="en-US"/>
        </w:rPr>
        <w:t xml:space="preserve">Provides </w:t>
      </w:r>
      <w:r w:rsidR="00543445" w:rsidRPr="00E31662">
        <w:rPr>
          <w:rFonts w:ascii="Calibri" w:hAnsi="Calibri" w:cs="Calibri"/>
          <w:color w:val="auto"/>
          <w:sz w:val="22"/>
          <w:u w:val="single"/>
          <w:lang w:val="en-US"/>
        </w:rPr>
        <w:t xml:space="preserve">fund </w:t>
      </w:r>
      <w:r w:rsidR="00755390" w:rsidRPr="00E31662">
        <w:rPr>
          <w:rFonts w:ascii="Calibri" w:hAnsi="Calibri" w:cs="Calibri"/>
          <w:color w:val="auto"/>
          <w:sz w:val="22"/>
          <w:u w:val="single"/>
          <w:lang w:val="en-US"/>
        </w:rPr>
        <w:t>to terrorists to carry out acts of terrorism</w:t>
      </w:r>
      <w:r w:rsidR="00755390">
        <w:rPr>
          <w:rFonts w:ascii="Calibri" w:hAnsi="Calibri" w:cs="Calibri"/>
          <w:color w:val="auto"/>
          <w:sz w:val="22"/>
          <w:lang w:val="en-US"/>
        </w:rPr>
        <w:t xml:space="preserve"> to influence / compel governments into </w:t>
      </w:r>
      <w:proofErr w:type="gramStart"/>
      <w:r w:rsidR="00755390">
        <w:rPr>
          <w:rFonts w:ascii="Calibri" w:hAnsi="Calibri" w:cs="Calibri"/>
          <w:color w:val="auto"/>
          <w:sz w:val="22"/>
          <w:lang w:val="en-US"/>
        </w:rPr>
        <w:t>particular course</w:t>
      </w:r>
      <w:proofErr w:type="gramEnd"/>
      <w:r w:rsidR="00755390">
        <w:rPr>
          <w:rFonts w:ascii="Calibri" w:hAnsi="Calibri" w:cs="Calibri"/>
          <w:color w:val="auto"/>
          <w:sz w:val="22"/>
          <w:lang w:val="en-US"/>
        </w:rPr>
        <w:t xml:space="preserve"> of action / intimidate the public. </w:t>
      </w:r>
      <w:r w:rsidR="00614E09">
        <w:rPr>
          <w:rFonts w:ascii="Calibri" w:hAnsi="Calibri" w:cs="Calibri"/>
          <w:color w:val="auto"/>
          <w:sz w:val="22"/>
          <w:lang w:val="en-US"/>
        </w:rPr>
        <w:t xml:space="preserve">The funds </w:t>
      </w:r>
      <w:r w:rsidR="00614E09" w:rsidRPr="00E31662">
        <w:rPr>
          <w:rFonts w:ascii="Calibri" w:hAnsi="Calibri" w:cs="Calibri"/>
          <w:color w:val="auto"/>
          <w:sz w:val="22"/>
          <w:u w:val="single"/>
          <w:lang w:val="en-US"/>
        </w:rPr>
        <w:t xml:space="preserve">can be from legitimate </w:t>
      </w:r>
      <w:r w:rsidR="00EF75DF" w:rsidRPr="00E31662">
        <w:rPr>
          <w:rFonts w:ascii="Calibri" w:hAnsi="Calibri" w:cs="Calibri"/>
          <w:color w:val="auto"/>
          <w:sz w:val="22"/>
          <w:u w:val="single"/>
          <w:lang w:val="en-US"/>
        </w:rPr>
        <w:t xml:space="preserve">(e.g., donations, sale of publications etc.) </w:t>
      </w:r>
      <w:r w:rsidR="00614E09" w:rsidRPr="00E31662">
        <w:rPr>
          <w:rFonts w:ascii="Calibri" w:hAnsi="Calibri" w:cs="Calibri"/>
          <w:color w:val="auto"/>
          <w:sz w:val="22"/>
          <w:u w:val="single"/>
          <w:lang w:val="en-US"/>
        </w:rPr>
        <w:t xml:space="preserve">and illegitimate </w:t>
      </w:r>
      <w:r w:rsidR="00E31662" w:rsidRPr="00E31662">
        <w:rPr>
          <w:rFonts w:ascii="Calibri" w:hAnsi="Calibri" w:cs="Calibri"/>
          <w:color w:val="auto"/>
          <w:sz w:val="22"/>
          <w:u w:val="single"/>
          <w:lang w:val="en-US"/>
        </w:rPr>
        <w:t xml:space="preserve">(e.g., robbery, drug trafficking, kidnapping, hacking etc.) </w:t>
      </w:r>
      <w:r w:rsidR="00614E09" w:rsidRPr="00E31662">
        <w:rPr>
          <w:rFonts w:ascii="Calibri" w:hAnsi="Calibri" w:cs="Calibri"/>
          <w:color w:val="auto"/>
          <w:sz w:val="22"/>
          <w:u w:val="single"/>
          <w:lang w:val="en-US"/>
        </w:rPr>
        <w:t>sources</w:t>
      </w:r>
      <w:r w:rsidR="00614E09">
        <w:rPr>
          <w:rFonts w:ascii="Calibri" w:hAnsi="Calibri" w:cs="Calibri"/>
          <w:color w:val="auto"/>
          <w:sz w:val="22"/>
          <w:lang w:val="en-US"/>
        </w:rPr>
        <w:t xml:space="preserve">. </w:t>
      </w:r>
    </w:p>
    <w:p w14:paraId="2E4517DD" w14:textId="4B03F82E" w:rsidR="000B7182" w:rsidRDefault="002300A3" w:rsidP="00BD0E43">
      <w:pPr>
        <w:pStyle w:val="ListParagraph"/>
        <w:numPr>
          <w:ilvl w:val="0"/>
          <w:numId w:val="109"/>
        </w:numPr>
        <w:jc w:val="both"/>
        <w:rPr>
          <w:rFonts w:ascii="Calibri" w:hAnsi="Calibri" w:cs="Calibri"/>
          <w:color w:val="auto"/>
          <w:sz w:val="22"/>
          <w:lang w:val="en-US"/>
        </w:rPr>
      </w:pPr>
      <w:r>
        <w:rPr>
          <w:rFonts w:ascii="Calibri" w:hAnsi="Calibri" w:cs="Calibri"/>
          <w:color w:val="auto"/>
          <w:sz w:val="22"/>
          <w:lang w:val="en-US"/>
        </w:rPr>
        <w:t xml:space="preserve">ML/TF funds can be laundered through </w:t>
      </w:r>
      <w:r w:rsidR="00853FC3">
        <w:rPr>
          <w:rFonts w:ascii="Calibri" w:hAnsi="Calibri" w:cs="Calibri"/>
          <w:color w:val="auto"/>
          <w:sz w:val="22"/>
          <w:lang w:val="en-US"/>
        </w:rPr>
        <w:t>3 steps</w:t>
      </w:r>
    </w:p>
    <w:p w14:paraId="1A80EC92" w14:textId="10375582" w:rsidR="000B7182" w:rsidRDefault="002300A3" w:rsidP="000B7182">
      <w:pPr>
        <w:pStyle w:val="ListParagraph"/>
        <w:numPr>
          <w:ilvl w:val="1"/>
          <w:numId w:val="109"/>
        </w:numPr>
        <w:jc w:val="both"/>
        <w:rPr>
          <w:rFonts w:ascii="Calibri" w:hAnsi="Calibri" w:cs="Calibri"/>
          <w:color w:val="auto"/>
          <w:sz w:val="22"/>
          <w:lang w:val="en-US"/>
        </w:rPr>
      </w:pPr>
      <w:r w:rsidRPr="00631C40">
        <w:rPr>
          <w:rFonts w:ascii="Calibri" w:hAnsi="Calibri" w:cs="Calibri"/>
          <w:b/>
          <w:bCs/>
          <w:color w:val="auto"/>
          <w:sz w:val="22"/>
          <w:lang w:val="en-US"/>
        </w:rPr>
        <w:t>Placement</w:t>
      </w:r>
      <w:r w:rsidR="00853FC3">
        <w:rPr>
          <w:rFonts w:ascii="Calibri" w:hAnsi="Calibri" w:cs="Calibri"/>
          <w:color w:val="auto"/>
          <w:sz w:val="22"/>
          <w:lang w:val="en-US"/>
        </w:rPr>
        <w:t>:</w:t>
      </w:r>
      <w:r w:rsidR="000B7182">
        <w:rPr>
          <w:rFonts w:ascii="Calibri" w:hAnsi="Calibri" w:cs="Calibri"/>
          <w:color w:val="auto"/>
          <w:sz w:val="22"/>
          <w:lang w:val="en-US"/>
        </w:rPr>
        <w:t xml:space="preserve"> Physical deposits with F</w:t>
      </w:r>
      <w:r w:rsidR="00853FC3">
        <w:rPr>
          <w:rFonts w:ascii="Calibri" w:hAnsi="Calibri" w:cs="Calibri"/>
          <w:color w:val="auto"/>
          <w:sz w:val="22"/>
          <w:lang w:val="en-US"/>
        </w:rPr>
        <w:t>I</w:t>
      </w:r>
      <w:r w:rsidR="000B7182">
        <w:rPr>
          <w:rFonts w:ascii="Calibri" w:hAnsi="Calibri" w:cs="Calibri"/>
          <w:color w:val="auto"/>
          <w:sz w:val="22"/>
          <w:lang w:val="en-US"/>
        </w:rPr>
        <w:t>s</w:t>
      </w:r>
      <w:r w:rsidR="00853FC3">
        <w:rPr>
          <w:rFonts w:ascii="Calibri" w:hAnsi="Calibri" w:cs="Calibri"/>
          <w:color w:val="auto"/>
          <w:sz w:val="22"/>
          <w:lang w:val="en-US"/>
        </w:rPr>
        <w:t>.</w:t>
      </w:r>
    </w:p>
    <w:p w14:paraId="2E95B628" w14:textId="5AE050C6" w:rsidR="000B7182" w:rsidRDefault="000B7182" w:rsidP="000B7182">
      <w:pPr>
        <w:pStyle w:val="ListParagraph"/>
        <w:numPr>
          <w:ilvl w:val="1"/>
          <w:numId w:val="109"/>
        </w:numPr>
        <w:jc w:val="both"/>
        <w:rPr>
          <w:rFonts w:ascii="Calibri" w:hAnsi="Calibri" w:cs="Calibri"/>
          <w:color w:val="auto"/>
          <w:sz w:val="22"/>
          <w:lang w:val="en-US"/>
        </w:rPr>
      </w:pPr>
      <w:r w:rsidRPr="00631C40">
        <w:rPr>
          <w:rFonts w:ascii="Calibri" w:hAnsi="Calibri" w:cs="Calibri"/>
          <w:b/>
          <w:bCs/>
          <w:color w:val="auto"/>
          <w:sz w:val="22"/>
          <w:lang w:val="en-US"/>
        </w:rPr>
        <w:t>Layering</w:t>
      </w:r>
      <w:r w:rsidR="00853FC3">
        <w:rPr>
          <w:rFonts w:ascii="Calibri" w:hAnsi="Calibri" w:cs="Calibri"/>
          <w:color w:val="auto"/>
          <w:sz w:val="22"/>
          <w:lang w:val="en-US"/>
        </w:rPr>
        <w:t>: Create layers of financial transactions aimed at disguising the source of funds.</w:t>
      </w:r>
    </w:p>
    <w:p w14:paraId="2FA47D0B" w14:textId="2071DBD3" w:rsidR="00BD0E43" w:rsidRDefault="000B7182" w:rsidP="000B7182">
      <w:pPr>
        <w:pStyle w:val="ListParagraph"/>
        <w:numPr>
          <w:ilvl w:val="1"/>
          <w:numId w:val="109"/>
        </w:numPr>
        <w:jc w:val="both"/>
        <w:rPr>
          <w:rFonts w:ascii="Calibri" w:hAnsi="Calibri" w:cs="Calibri"/>
          <w:color w:val="auto"/>
          <w:sz w:val="22"/>
          <w:lang w:val="en-US"/>
        </w:rPr>
      </w:pPr>
      <w:r w:rsidRPr="00631C40">
        <w:rPr>
          <w:rFonts w:ascii="Calibri" w:hAnsi="Calibri" w:cs="Calibri"/>
          <w:b/>
          <w:bCs/>
          <w:color w:val="auto"/>
          <w:sz w:val="22"/>
          <w:lang w:val="en-US"/>
        </w:rPr>
        <w:t>Integration</w:t>
      </w:r>
      <w:r w:rsidR="00631C40">
        <w:rPr>
          <w:rFonts w:ascii="Calibri" w:hAnsi="Calibri" w:cs="Calibri"/>
          <w:color w:val="auto"/>
          <w:sz w:val="22"/>
          <w:lang w:val="en-US"/>
        </w:rPr>
        <w:t>:</w:t>
      </w:r>
      <w:r>
        <w:rPr>
          <w:rFonts w:ascii="Calibri" w:hAnsi="Calibri" w:cs="Calibri"/>
          <w:color w:val="auto"/>
          <w:sz w:val="22"/>
          <w:lang w:val="en-US"/>
        </w:rPr>
        <w:t xml:space="preserve"> </w:t>
      </w:r>
      <w:r w:rsidR="00905C1F">
        <w:rPr>
          <w:rFonts w:ascii="Calibri" w:hAnsi="Calibri" w:cs="Calibri"/>
          <w:color w:val="auto"/>
          <w:sz w:val="22"/>
          <w:lang w:val="en-US"/>
        </w:rPr>
        <w:t>Place laundered funds back into the financial system to legitimize them</w:t>
      </w:r>
      <w:r w:rsidR="00BD0E43">
        <w:rPr>
          <w:rFonts w:ascii="Calibri" w:hAnsi="Calibri" w:cs="Calibri"/>
          <w:color w:val="auto"/>
          <w:sz w:val="22"/>
          <w:lang w:val="en-US"/>
        </w:rPr>
        <w:t xml:space="preserve">. </w:t>
      </w:r>
    </w:p>
    <w:p w14:paraId="545DCA6A" w14:textId="7AC96C06" w:rsidR="00BD0E43" w:rsidRDefault="004F2653" w:rsidP="00BD0E43">
      <w:pPr>
        <w:pStyle w:val="ListParagraph"/>
        <w:numPr>
          <w:ilvl w:val="0"/>
          <w:numId w:val="109"/>
        </w:numPr>
        <w:jc w:val="both"/>
        <w:rPr>
          <w:rFonts w:ascii="Calibri" w:hAnsi="Calibri" w:cs="Calibri"/>
          <w:color w:val="auto"/>
          <w:sz w:val="22"/>
          <w:lang w:val="en-US"/>
        </w:rPr>
      </w:pPr>
      <w:r w:rsidRPr="004F2653">
        <w:rPr>
          <w:rFonts w:ascii="Calibri" w:hAnsi="Calibri" w:cs="Calibri"/>
          <w:b/>
          <w:bCs/>
          <w:color w:val="auto"/>
          <w:sz w:val="22"/>
          <w:lang w:val="en-US"/>
        </w:rPr>
        <w:t>Embargos and Sanctions</w:t>
      </w:r>
      <w:r>
        <w:rPr>
          <w:rFonts w:ascii="Calibri" w:hAnsi="Calibri" w:cs="Calibri"/>
          <w:color w:val="auto"/>
          <w:sz w:val="22"/>
          <w:lang w:val="en-US"/>
        </w:rPr>
        <w:t>:</w:t>
      </w:r>
      <w:r w:rsidR="00F05AD9">
        <w:rPr>
          <w:rFonts w:ascii="Calibri" w:hAnsi="Calibri" w:cs="Calibri"/>
          <w:color w:val="auto"/>
          <w:sz w:val="22"/>
          <w:lang w:val="en-US"/>
        </w:rPr>
        <w:t xml:space="preserve"> </w:t>
      </w:r>
      <w:r w:rsidR="00C2053F" w:rsidRPr="0028456D">
        <w:rPr>
          <w:rFonts w:ascii="Calibri" w:hAnsi="Calibri" w:cs="Calibri"/>
          <w:color w:val="auto"/>
          <w:sz w:val="22"/>
          <w:u w:val="single"/>
          <w:lang w:val="en-US"/>
        </w:rPr>
        <w:t>Embargo</w:t>
      </w:r>
      <w:r w:rsidR="00C2053F">
        <w:rPr>
          <w:rFonts w:ascii="Calibri" w:hAnsi="Calibri" w:cs="Calibri"/>
          <w:color w:val="auto"/>
          <w:sz w:val="22"/>
          <w:lang w:val="en-US"/>
        </w:rPr>
        <w:t xml:space="preserve"> is a </w:t>
      </w:r>
      <w:r w:rsidR="00C2053F" w:rsidRPr="0028456D">
        <w:rPr>
          <w:rFonts w:ascii="Calibri" w:hAnsi="Calibri" w:cs="Calibri"/>
          <w:color w:val="auto"/>
          <w:sz w:val="22"/>
          <w:u w:val="single"/>
          <w:lang w:val="en-US"/>
        </w:rPr>
        <w:t>complete ban or prohibition of trade</w:t>
      </w:r>
      <w:r w:rsidR="00C2053F">
        <w:rPr>
          <w:rFonts w:ascii="Calibri" w:hAnsi="Calibri" w:cs="Calibri"/>
          <w:color w:val="auto"/>
          <w:sz w:val="22"/>
          <w:lang w:val="en-US"/>
        </w:rPr>
        <w:t xml:space="preserve"> </w:t>
      </w:r>
      <w:r w:rsidR="00187B31">
        <w:rPr>
          <w:rFonts w:ascii="Calibri" w:hAnsi="Calibri" w:cs="Calibri"/>
          <w:color w:val="auto"/>
          <w:sz w:val="22"/>
          <w:lang w:val="en-US"/>
        </w:rPr>
        <w:t>or financial dealings with a particular country</w:t>
      </w:r>
      <w:r w:rsidR="00187B31" w:rsidRPr="002868B9">
        <w:rPr>
          <w:rFonts w:ascii="Calibri" w:hAnsi="Calibri" w:cs="Calibri"/>
          <w:color w:val="auto"/>
          <w:sz w:val="22"/>
          <w:lang w:val="en-US"/>
        </w:rPr>
        <w:t xml:space="preserve">. </w:t>
      </w:r>
      <w:r w:rsidR="00187B31" w:rsidRPr="0028456D">
        <w:rPr>
          <w:rFonts w:ascii="Calibri" w:hAnsi="Calibri" w:cs="Calibri"/>
          <w:color w:val="auto"/>
          <w:sz w:val="22"/>
          <w:u w:val="single"/>
          <w:lang w:val="en-US"/>
        </w:rPr>
        <w:t>Sanctions are the trade prohibition on certain types of products</w:t>
      </w:r>
      <w:r w:rsidR="0028456D" w:rsidRPr="0028456D">
        <w:rPr>
          <w:rFonts w:ascii="Calibri" w:hAnsi="Calibri" w:cs="Calibri"/>
          <w:color w:val="auto"/>
          <w:sz w:val="22"/>
          <w:u w:val="single"/>
          <w:lang w:val="en-US"/>
        </w:rPr>
        <w:t>, services</w:t>
      </w:r>
      <w:r w:rsidR="0028456D">
        <w:rPr>
          <w:rFonts w:ascii="Calibri" w:hAnsi="Calibri" w:cs="Calibri"/>
          <w:color w:val="auto"/>
          <w:sz w:val="22"/>
          <w:lang w:val="en-US"/>
        </w:rPr>
        <w:t xml:space="preserve"> (aka as partial embargo) etc. </w:t>
      </w:r>
    </w:p>
    <w:p w14:paraId="4DF452E2" w14:textId="55762311" w:rsidR="00D94324" w:rsidRDefault="00D94324" w:rsidP="00D94324">
      <w:pPr>
        <w:pStyle w:val="ListParagraph"/>
        <w:numPr>
          <w:ilvl w:val="1"/>
          <w:numId w:val="109"/>
        </w:numPr>
        <w:jc w:val="both"/>
        <w:rPr>
          <w:rFonts w:ascii="Calibri" w:hAnsi="Calibri" w:cs="Calibri"/>
          <w:color w:val="auto"/>
          <w:sz w:val="22"/>
          <w:lang w:val="en-US"/>
        </w:rPr>
      </w:pPr>
      <w:r w:rsidRPr="00797B13">
        <w:rPr>
          <w:rFonts w:ascii="Calibri" w:hAnsi="Calibri" w:cs="Calibri"/>
          <w:color w:val="auto"/>
          <w:sz w:val="22"/>
          <w:u w:val="single"/>
          <w:lang w:val="en-US"/>
        </w:rPr>
        <w:t>Embargos affecting all relations with a particular country</w:t>
      </w:r>
      <w:r w:rsidRPr="00D94324">
        <w:rPr>
          <w:rFonts w:ascii="Calibri" w:hAnsi="Calibri" w:cs="Calibri"/>
          <w:color w:val="auto"/>
          <w:sz w:val="22"/>
          <w:lang w:val="en-US"/>
        </w:rPr>
        <w:t>, e.g., North Korea</w:t>
      </w:r>
    </w:p>
    <w:p w14:paraId="271177BF" w14:textId="61D8C9BD" w:rsidR="00D94324" w:rsidRPr="00797B13" w:rsidRDefault="00D94324" w:rsidP="00D94324">
      <w:pPr>
        <w:pStyle w:val="ListParagraph"/>
        <w:numPr>
          <w:ilvl w:val="1"/>
          <w:numId w:val="109"/>
        </w:numPr>
        <w:jc w:val="both"/>
        <w:rPr>
          <w:rFonts w:ascii="Calibri" w:hAnsi="Calibri" w:cs="Calibri"/>
          <w:color w:val="auto"/>
          <w:sz w:val="22"/>
          <w:u w:val="single"/>
          <w:lang w:val="en-US"/>
        </w:rPr>
      </w:pPr>
      <w:r w:rsidRPr="00797B13">
        <w:rPr>
          <w:rFonts w:ascii="Calibri" w:hAnsi="Calibri" w:cs="Calibri"/>
          <w:color w:val="auto"/>
          <w:sz w:val="22"/>
          <w:u w:val="single"/>
          <w:lang w:val="en-US"/>
        </w:rPr>
        <w:t xml:space="preserve">Embargos affecting named individuals </w:t>
      </w:r>
      <w:r w:rsidR="007E7975" w:rsidRPr="00797B13">
        <w:rPr>
          <w:rFonts w:ascii="Calibri" w:hAnsi="Calibri" w:cs="Calibri"/>
          <w:color w:val="auto"/>
          <w:sz w:val="22"/>
          <w:u w:val="single"/>
          <w:lang w:val="en-US"/>
        </w:rPr>
        <w:t>or entities:</w:t>
      </w:r>
      <w:r w:rsidRPr="00797B13">
        <w:rPr>
          <w:rFonts w:ascii="Calibri" w:hAnsi="Calibri" w:cs="Calibri"/>
          <w:color w:val="auto"/>
          <w:sz w:val="22"/>
          <w:u w:val="single"/>
          <w:lang w:val="en-US"/>
        </w:rPr>
        <w:t xml:space="preserve"> Specifically Designated </w:t>
      </w:r>
      <w:r w:rsidR="007E7975" w:rsidRPr="00797B13">
        <w:rPr>
          <w:rFonts w:ascii="Calibri" w:hAnsi="Calibri" w:cs="Calibri"/>
          <w:color w:val="auto"/>
          <w:sz w:val="22"/>
          <w:u w:val="single"/>
          <w:lang w:val="en-US"/>
        </w:rPr>
        <w:t>Names (SDN)</w:t>
      </w:r>
    </w:p>
    <w:p w14:paraId="716211AE" w14:textId="1738651E" w:rsidR="007E7975" w:rsidRPr="00797B13" w:rsidRDefault="007E7975" w:rsidP="00D94324">
      <w:pPr>
        <w:pStyle w:val="ListParagraph"/>
        <w:numPr>
          <w:ilvl w:val="1"/>
          <w:numId w:val="109"/>
        </w:numPr>
        <w:jc w:val="both"/>
        <w:rPr>
          <w:rFonts w:ascii="Calibri" w:hAnsi="Calibri" w:cs="Calibri"/>
          <w:color w:val="auto"/>
          <w:sz w:val="22"/>
          <w:u w:val="single"/>
          <w:lang w:val="en-US"/>
        </w:rPr>
      </w:pPr>
      <w:r w:rsidRPr="00797B13">
        <w:rPr>
          <w:rFonts w:ascii="Calibri" w:hAnsi="Calibri" w:cs="Calibri"/>
          <w:color w:val="auto"/>
          <w:sz w:val="22"/>
          <w:u w:val="single"/>
          <w:lang w:val="en-US"/>
        </w:rPr>
        <w:t xml:space="preserve">Embargos on certain sectors </w:t>
      </w:r>
    </w:p>
    <w:p w14:paraId="3ABD9C16" w14:textId="567561F0" w:rsidR="007E7975" w:rsidRPr="00D94324" w:rsidRDefault="003960C2" w:rsidP="00D94324">
      <w:pPr>
        <w:pStyle w:val="ListParagraph"/>
        <w:numPr>
          <w:ilvl w:val="1"/>
          <w:numId w:val="109"/>
        </w:numPr>
        <w:jc w:val="both"/>
        <w:rPr>
          <w:rFonts w:ascii="Calibri" w:hAnsi="Calibri" w:cs="Calibri"/>
          <w:color w:val="auto"/>
          <w:sz w:val="22"/>
          <w:lang w:val="en-US"/>
        </w:rPr>
      </w:pPr>
      <w:r w:rsidRPr="00797B13">
        <w:rPr>
          <w:rFonts w:ascii="Calibri" w:hAnsi="Calibri" w:cs="Calibri"/>
          <w:color w:val="auto"/>
          <w:sz w:val="22"/>
          <w:u w:val="single"/>
          <w:lang w:val="en-US"/>
        </w:rPr>
        <w:lastRenderedPageBreak/>
        <w:t>Economic sanctions</w:t>
      </w:r>
      <w:r>
        <w:rPr>
          <w:rFonts w:ascii="Calibri" w:hAnsi="Calibri" w:cs="Calibri"/>
          <w:color w:val="auto"/>
          <w:sz w:val="22"/>
          <w:lang w:val="en-US"/>
        </w:rPr>
        <w:t xml:space="preserve"> (e.g., tariffs, full blockage etc.)</w:t>
      </w:r>
    </w:p>
    <w:p w14:paraId="03EB7011" w14:textId="35623DFC" w:rsidR="000C3C03" w:rsidRDefault="000C3C03" w:rsidP="00BD0E43">
      <w:pPr>
        <w:pStyle w:val="ListParagraph"/>
        <w:numPr>
          <w:ilvl w:val="0"/>
          <w:numId w:val="109"/>
        </w:numPr>
        <w:jc w:val="both"/>
        <w:rPr>
          <w:rFonts w:ascii="Calibri" w:hAnsi="Calibri" w:cs="Calibri"/>
          <w:color w:val="auto"/>
          <w:sz w:val="22"/>
          <w:lang w:val="en-US"/>
        </w:rPr>
      </w:pPr>
      <w:r>
        <w:rPr>
          <w:rFonts w:ascii="Calibri" w:hAnsi="Calibri" w:cs="Calibri"/>
          <w:b/>
          <w:bCs/>
          <w:color w:val="auto"/>
          <w:sz w:val="22"/>
          <w:lang w:val="en-US"/>
        </w:rPr>
        <w:t>Fraud</w:t>
      </w:r>
      <w:r w:rsidRPr="000C3C03">
        <w:rPr>
          <w:rFonts w:ascii="Calibri" w:hAnsi="Calibri" w:cs="Calibri"/>
          <w:color w:val="auto"/>
          <w:sz w:val="22"/>
          <w:lang w:val="en-US"/>
        </w:rPr>
        <w:t>:</w:t>
      </w:r>
      <w:r>
        <w:rPr>
          <w:rFonts w:ascii="Calibri" w:hAnsi="Calibri" w:cs="Calibri"/>
          <w:color w:val="auto"/>
          <w:sz w:val="22"/>
          <w:lang w:val="en-US"/>
        </w:rPr>
        <w:t xml:space="preserve"> </w:t>
      </w:r>
      <w:r w:rsidRPr="00797B13">
        <w:rPr>
          <w:rFonts w:ascii="Calibri" w:hAnsi="Calibri" w:cs="Calibri"/>
          <w:color w:val="auto"/>
          <w:sz w:val="22"/>
          <w:u w:val="single"/>
          <w:lang w:val="en-US"/>
        </w:rPr>
        <w:t>Deception and dishonesty</w:t>
      </w:r>
      <w:r>
        <w:rPr>
          <w:rFonts w:ascii="Calibri" w:hAnsi="Calibri" w:cs="Calibri"/>
          <w:color w:val="auto"/>
          <w:sz w:val="22"/>
          <w:lang w:val="en-US"/>
        </w:rPr>
        <w:t xml:space="preserve"> to benefit at the expense of others</w:t>
      </w:r>
      <w:r w:rsidR="001D5CA0">
        <w:rPr>
          <w:rFonts w:ascii="Calibri" w:hAnsi="Calibri" w:cs="Calibri"/>
          <w:color w:val="auto"/>
          <w:sz w:val="22"/>
          <w:lang w:val="en-US"/>
        </w:rPr>
        <w:t>.</w:t>
      </w:r>
    </w:p>
    <w:p w14:paraId="52083860" w14:textId="77777777" w:rsidR="005A7975" w:rsidRDefault="005A7975" w:rsidP="005A7975">
      <w:pPr>
        <w:pStyle w:val="ListParagraph"/>
        <w:ind w:left="360"/>
        <w:jc w:val="both"/>
        <w:rPr>
          <w:rFonts w:ascii="Calibri" w:hAnsi="Calibri" w:cs="Calibri"/>
          <w:color w:val="auto"/>
          <w:sz w:val="22"/>
          <w:lang w:val="en-US"/>
        </w:rPr>
      </w:pPr>
    </w:p>
    <w:p w14:paraId="703C1FB4" w14:textId="4017BD6F" w:rsidR="00994DE6" w:rsidRDefault="006F4E42" w:rsidP="003530EE">
      <w:pPr>
        <w:pStyle w:val="Heading3"/>
        <w:numPr>
          <w:ilvl w:val="0"/>
          <w:numId w:val="121"/>
        </w:numPr>
        <w:jc w:val="both"/>
        <w:rPr>
          <w:rFonts w:ascii="Calibri" w:hAnsi="Calibri" w:cs="Calibri"/>
          <w:color w:val="auto"/>
          <w:lang w:val="en-US"/>
        </w:rPr>
      </w:pPr>
      <w:r>
        <w:rPr>
          <w:rFonts w:ascii="Calibri" w:hAnsi="Calibri" w:cs="Calibri"/>
          <w:color w:val="auto"/>
          <w:lang w:val="en-US"/>
        </w:rPr>
        <w:t xml:space="preserve">Laws </w:t>
      </w:r>
      <w:r w:rsidR="00BB4863">
        <w:rPr>
          <w:rFonts w:ascii="Calibri" w:hAnsi="Calibri" w:cs="Calibri"/>
          <w:color w:val="auto"/>
          <w:lang w:val="en-US"/>
        </w:rPr>
        <w:t>&amp;</w:t>
      </w:r>
      <w:r>
        <w:rPr>
          <w:rFonts w:ascii="Calibri" w:hAnsi="Calibri" w:cs="Calibri"/>
          <w:color w:val="auto"/>
          <w:lang w:val="en-US"/>
        </w:rPr>
        <w:t xml:space="preserve"> Regulations Deterring Financial Crimes</w:t>
      </w:r>
    </w:p>
    <w:p w14:paraId="4D99212B" w14:textId="3E446DFB" w:rsidR="00994DE6" w:rsidRDefault="007537B1" w:rsidP="00030CC1">
      <w:pPr>
        <w:pStyle w:val="ListParagraph"/>
        <w:numPr>
          <w:ilvl w:val="0"/>
          <w:numId w:val="109"/>
        </w:numPr>
        <w:jc w:val="both"/>
        <w:rPr>
          <w:rFonts w:ascii="Calibri" w:hAnsi="Calibri" w:cs="Calibri"/>
          <w:color w:val="auto"/>
          <w:sz w:val="22"/>
          <w:lang w:val="en-US"/>
        </w:rPr>
      </w:pPr>
      <w:r w:rsidRPr="007537B1">
        <w:rPr>
          <w:rFonts w:ascii="Calibri" w:hAnsi="Calibri" w:cs="Calibri"/>
          <w:b/>
          <w:bCs/>
          <w:color w:val="auto"/>
          <w:sz w:val="22"/>
          <w:lang w:val="en-US"/>
        </w:rPr>
        <w:t>Corruption, Drug Trafficking and Other Serious Crimes Act (CDSA)</w:t>
      </w:r>
      <w:r>
        <w:rPr>
          <w:rFonts w:ascii="Calibri" w:hAnsi="Calibri" w:cs="Calibri"/>
          <w:color w:val="auto"/>
          <w:sz w:val="22"/>
          <w:lang w:val="en-US"/>
        </w:rPr>
        <w:t xml:space="preserve">: </w:t>
      </w:r>
      <w:r w:rsidR="00030CC1">
        <w:rPr>
          <w:rFonts w:ascii="Calibri" w:hAnsi="Calibri" w:cs="Calibri"/>
          <w:color w:val="auto"/>
          <w:sz w:val="22"/>
          <w:lang w:val="en-US"/>
        </w:rPr>
        <w:t xml:space="preserve">Aimed at </w:t>
      </w:r>
      <w:r w:rsidR="00030CC1" w:rsidRPr="00AE0C5C">
        <w:rPr>
          <w:rFonts w:ascii="Calibri" w:hAnsi="Calibri" w:cs="Calibri"/>
          <w:color w:val="auto"/>
          <w:sz w:val="22"/>
          <w:u w:val="single"/>
          <w:lang w:val="en-US"/>
        </w:rPr>
        <w:t>regulating money laundering activities</w:t>
      </w:r>
      <w:r w:rsidR="00030CC1">
        <w:rPr>
          <w:rFonts w:ascii="Calibri" w:hAnsi="Calibri" w:cs="Calibri"/>
          <w:color w:val="auto"/>
          <w:sz w:val="22"/>
          <w:lang w:val="en-US"/>
        </w:rPr>
        <w:t xml:space="preserve">, which includes drug </w:t>
      </w:r>
      <w:r w:rsidR="00D931BD">
        <w:rPr>
          <w:rFonts w:ascii="Calibri" w:hAnsi="Calibri" w:cs="Calibri"/>
          <w:color w:val="auto"/>
          <w:sz w:val="22"/>
          <w:lang w:val="en-US"/>
        </w:rPr>
        <w:t>dealing/</w:t>
      </w:r>
      <w:r w:rsidR="00030CC1">
        <w:rPr>
          <w:rFonts w:ascii="Calibri" w:hAnsi="Calibri" w:cs="Calibri"/>
          <w:color w:val="auto"/>
          <w:sz w:val="22"/>
          <w:lang w:val="en-US"/>
        </w:rPr>
        <w:t>trafficking</w:t>
      </w:r>
      <w:r w:rsidR="00D931BD">
        <w:rPr>
          <w:rFonts w:ascii="Calibri" w:hAnsi="Calibri" w:cs="Calibri"/>
          <w:color w:val="auto"/>
          <w:sz w:val="22"/>
          <w:lang w:val="en-US"/>
        </w:rPr>
        <w:t>, prostitution, gambling, bribery,</w:t>
      </w:r>
      <w:r w:rsidR="00AE0C5C">
        <w:rPr>
          <w:rFonts w:ascii="Calibri" w:hAnsi="Calibri" w:cs="Calibri"/>
          <w:color w:val="auto"/>
          <w:sz w:val="22"/>
          <w:lang w:val="en-US"/>
        </w:rPr>
        <w:t xml:space="preserve"> </w:t>
      </w:r>
      <w:r w:rsidR="00AE0C5C" w:rsidRPr="00AE0C5C">
        <w:rPr>
          <w:rFonts w:ascii="Calibri" w:hAnsi="Calibri" w:cs="Calibri"/>
          <w:color w:val="auto"/>
          <w:sz w:val="22"/>
          <w:u w:val="single"/>
          <w:lang w:val="en-US"/>
        </w:rPr>
        <w:t>counterfeiting</w:t>
      </w:r>
      <w:r w:rsidR="00AE0C5C">
        <w:rPr>
          <w:rFonts w:ascii="Calibri" w:hAnsi="Calibri" w:cs="Calibri"/>
          <w:color w:val="auto"/>
          <w:sz w:val="22"/>
          <w:lang w:val="en-US"/>
        </w:rPr>
        <w:t xml:space="preserve">, </w:t>
      </w:r>
      <w:r w:rsidR="00AE0C5C" w:rsidRPr="00AE0C5C">
        <w:rPr>
          <w:rFonts w:ascii="Calibri" w:hAnsi="Calibri" w:cs="Calibri"/>
          <w:color w:val="auto"/>
          <w:sz w:val="22"/>
          <w:u w:val="single"/>
          <w:lang w:val="en-US"/>
        </w:rPr>
        <w:t>terrorist financing, tax evasion</w:t>
      </w:r>
      <w:r w:rsidR="00AE0C5C">
        <w:rPr>
          <w:rFonts w:ascii="Calibri" w:hAnsi="Calibri" w:cs="Calibri"/>
          <w:color w:val="auto"/>
          <w:sz w:val="22"/>
          <w:lang w:val="en-US"/>
        </w:rPr>
        <w:t xml:space="preserve"> etc.</w:t>
      </w:r>
      <w:r w:rsidR="00D931BD">
        <w:rPr>
          <w:rFonts w:ascii="Calibri" w:hAnsi="Calibri" w:cs="Calibri"/>
          <w:color w:val="auto"/>
          <w:sz w:val="22"/>
          <w:lang w:val="en-US"/>
        </w:rPr>
        <w:t xml:space="preserve"> </w:t>
      </w:r>
      <w:r w:rsidR="00994DE6" w:rsidRPr="00030CC1">
        <w:rPr>
          <w:rFonts w:ascii="Calibri" w:hAnsi="Calibri" w:cs="Calibri"/>
          <w:color w:val="auto"/>
          <w:sz w:val="22"/>
          <w:lang w:val="en-US"/>
        </w:rPr>
        <w:t xml:space="preserve"> </w:t>
      </w:r>
    </w:p>
    <w:p w14:paraId="7E83009C" w14:textId="2210B573" w:rsidR="009E162D" w:rsidRDefault="00235D0D" w:rsidP="00235D0D">
      <w:pPr>
        <w:pStyle w:val="ListParagraph"/>
        <w:numPr>
          <w:ilvl w:val="1"/>
          <w:numId w:val="109"/>
        </w:numPr>
        <w:jc w:val="both"/>
        <w:rPr>
          <w:rFonts w:ascii="Calibri" w:hAnsi="Calibri" w:cs="Calibri"/>
          <w:color w:val="auto"/>
          <w:sz w:val="22"/>
          <w:lang w:val="en-US"/>
        </w:rPr>
      </w:pPr>
      <w:r w:rsidRPr="009E162D">
        <w:rPr>
          <w:rFonts w:ascii="Calibri" w:hAnsi="Calibri" w:cs="Calibri"/>
          <w:b/>
          <w:bCs/>
          <w:color w:val="auto"/>
          <w:sz w:val="22"/>
          <w:lang w:val="en-US"/>
        </w:rPr>
        <w:t>Conviction on Drug Dealing</w:t>
      </w:r>
      <w:r>
        <w:rPr>
          <w:rFonts w:ascii="Calibri" w:hAnsi="Calibri" w:cs="Calibri"/>
          <w:color w:val="auto"/>
          <w:sz w:val="22"/>
          <w:lang w:val="en-US"/>
        </w:rPr>
        <w:t xml:space="preserve">: </w:t>
      </w:r>
      <w:r w:rsidR="00157C35">
        <w:rPr>
          <w:rFonts w:ascii="Calibri" w:hAnsi="Calibri" w:cs="Calibri"/>
          <w:color w:val="auto"/>
          <w:sz w:val="22"/>
          <w:lang w:val="en-US"/>
        </w:rPr>
        <w:t>Need</w:t>
      </w:r>
      <w:r w:rsidR="00C51749">
        <w:rPr>
          <w:rFonts w:ascii="Calibri" w:hAnsi="Calibri" w:cs="Calibri"/>
          <w:color w:val="auto"/>
          <w:sz w:val="22"/>
          <w:lang w:val="en-US"/>
        </w:rPr>
        <w:t xml:space="preserve"> to prove that the person knows the property (part or whole) represents the </w:t>
      </w:r>
      <w:r w:rsidR="00157C35">
        <w:rPr>
          <w:rFonts w:ascii="Calibri" w:hAnsi="Calibri" w:cs="Calibri"/>
          <w:color w:val="auto"/>
          <w:sz w:val="22"/>
          <w:lang w:val="en-US"/>
        </w:rPr>
        <w:t>economic benefits</w:t>
      </w:r>
      <w:r w:rsidR="00C51749">
        <w:rPr>
          <w:rFonts w:ascii="Calibri" w:hAnsi="Calibri" w:cs="Calibri"/>
          <w:color w:val="auto"/>
          <w:sz w:val="22"/>
          <w:lang w:val="en-US"/>
        </w:rPr>
        <w:t xml:space="preserve"> derived from drug </w:t>
      </w:r>
      <w:r w:rsidR="00157C35">
        <w:rPr>
          <w:rFonts w:ascii="Calibri" w:hAnsi="Calibri" w:cs="Calibri"/>
          <w:color w:val="auto"/>
          <w:sz w:val="22"/>
          <w:lang w:val="en-US"/>
        </w:rPr>
        <w:t>dealing activities.</w:t>
      </w:r>
    </w:p>
    <w:p w14:paraId="74E9165A" w14:textId="4B5D8D3C" w:rsidR="009E162D" w:rsidRDefault="009E162D" w:rsidP="009E162D">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Individuals</w:t>
      </w:r>
      <w:r w:rsidRPr="009E162D">
        <w:rPr>
          <w:rFonts w:ascii="Calibri" w:hAnsi="Calibri" w:cs="Calibri"/>
          <w:color w:val="auto"/>
          <w:sz w:val="22"/>
          <w:lang w:val="en-US"/>
        </w:rPr>
        <w:t>:</w:t>
      </w:r>
      <w:r>
        <w:rPr>
          <w:rFonts w:ascii="Calibri" w:hAnsi="Calibri" w:cs="Calibri"/>
          <w:color w:val="auto"/>
          <w:sz w:val="22"/>
          <w:lang w:val="en-US"/>
        </w:rPr>
        <w:t xml:space="preserve"> </w:t>
      </w:r>
      <w:r w:rsidR="00235D0D">
        <w:rPr>
          <w:rFonts w:ascii="Calibri" w:hAnsi="Calibri" w:cs="Calibri"/>
          <w:color w:val="auto"/>
          <w:sz w:val="22"/>
          <w:lang w:val="en-US"/>
        </w:rPr>
        <w:t>$500K</w:t>
      </w:r>
      <w:r w:rsidR="009D28AB">
        <w:rPr>
          <w:rFonts w:ascii="Calibri" w:hAnsi="Calibri" w:cs="Calibri"/>
          <w:color w:val="auto"/>
          <w:sz w:val="22"/>
          <w:lang w:val="en-US"/>
        </w:rPr>
        <w:t xml:space="preserve"> fine</w:t>
      </w:r>
      <w:r w:rsidR="00235D0D">
        <w:rPr>
          <w:rFonts w:ascii="Calibri" w:hAnsi="Calibri" w:cs="Calibri"/>
          <w:color w:val="auto"/>
          <w:sz w:val="22"/>
          <w:lang w:val="en-US"/>
        </w:rPr>
        <w:t xml:space="preserve"> or 10Y imprisonment </w:t>
      </w:r>
      <w:r w:rsidR="00483083">
        <w:rPr>
          <w:rFonts w:ascii="Calibri" w:hAnsi="Calibri" w:cs="Calibri"/>
          <w:color w:val="auto"/>
          <w:sz w:val="22"/>
          <w:lang w:val="en-US"/>
        </w:rPr>
        <w:t>or both</w:t>
      </w:r>
    </w:p>
    <w:p w14:paraId="56197BE5" w14:textId="7E145161" w:rsidR="00165898" w:rsidRDefault="009E162D" w:rsidP="009E162D">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Entities</w:t>
      </w:r>
      <w:r w:rsidRPr="009E162D">
        <w:rPr>
          <w:rFonts w:ascii="Calibri" w:hAnsi="Calibri" w:cs="Calibri"/>
          <w:color w:val="auto"/>
          <w:sz w:val="22"/>
          <w:lang w:val="en-US"/>
        </w:rPr>
        <w:t>:</w:t>
      </w:r>
      <w:r>
        <w:rPr>
          <w:rFonts w:ascii="Calibri" w:hAnsi="Calibri" w:cs="Calibri"/>
          <w:color w:val="auto"/>
          <w:sz w:val="22"/>
          <w:lang w:val="en-US"/>
        </w:rPr>
        <w:t xml:space="preserve"> </w:t>
      </w:r>
      <w:proofErr w:type="gramStart"/>
      <w:r w:rsidR="00211365">
        <w:rPr>
          <w:rFonts w:ascii="Calibri" w:hAnsi="Calibri" w:cs="Calibri"/>
          <w:color w:val="auto"/>
          <w:sz w:val="22"/>
          <w:lang w:val="en-US"/>
        </w:rPr>
        <w:t>Max(</w:t>
      </w:r>
      <w:proofErr w:type="gramEnd"/>
      <w:r w:rsidR="00235D0D">
        <w:rPr>
          <w:rFonts w:ascii="Calibri" w:hAnsi="Calibri" w:cs="Calibri"/>
          <w:color w:val="auto"/>
          <w:sz w:val="22"/>
          <w:lang w:val="en-US"/>
        </w:rPr>
        <w:t>$1M</w:t>
      </w:r>
      <w:r w:rsidR="00211365">
        <w:rPr>
          <w:rFonts w:ascii="Calibri" w:hAnsi="Calibri" w:cs="Calibri"/>
          <w:color w:val="auto"/>
          <w:sz w:val="22"/>
          <w:lang w:val="en-US"/>
        </w:rPr>
        <w:t>, Twice the value of benefits from the drug deal)</w:t>
      </w:r>
      <w:r w:rsidR="00483083">
        <w:rPr>
          <w:rFonts w:ascii="Calibri" w:hAnsi="Calibri" w:cs="Calibri"/>
          <w:color w:val="auto"/>
          <w:sz w:val="22"/>
          <w:lang w:val="en-US"/>
        </w:rPr>
        <w:t xml:space="preserve"> fine</w:t>
      </w:r>
    </w:p>
    <w:p w14:paraId="491AF798" w14:textId="594EA0CF" w:rsidR="00C87F5A" w:rsidRDefault="009D28AB" w:rsidP="00C87F5A">
      <w:pPr>
        <w:pStyle w:val="ListParagraph"/>
        <w:numPr>
          <w:ilvl w:val="1"/>
          <w:numId w:val="109"/>
        </w:numPr>
        <w:jc w:val="both"/>
        <w:rPr>
          <w:rFonts w:ascii="Calibri" w:hAnsi="Calibri" w:cs="Calibri"/>
          <w:color w:val="auto"/>
          <w:sz w:val="22"/>
          <w:lang w:val="en-US"/>
        </w:rPr>
      </w:pPr>
      <w:r w:rsidRPr="009D28AB">
        <w:rPr>
          <w:rFonts w:ascii="Calibri" w:hAnsi="Calibri" w:cs="Calibri"/>
          <w:b/>
          <w:bCs/>
          <w:color w:val="auto"/>
          <w:sz w:val="22"/>
          <w:lang w:val="en-US"/>
        </w:rPr>
        <w:t>Conviction on Tipping off</w:t>
      </w:r>
      <w:r>
        <w:rPr>
          <w:rFonts w:ascii="Calibri" w:hAnsi="Calibri" w:cs="Calibri"/>
          <w:color w:val="auto"/>
          <w:sz w:val="22"/>
          <w:lang w:val="en-US"/>
        </w:rPr>
        <w:t>: $250K fine or 3Y imprisonment or both</w:t>
      </w:r>
    </w:p>
    <w:p w14:paraId="374D4A61" w14:textId="344DBE7E" w:rsidR="00A67F36" w:rsidRDefault="00326601" w:rsidP="00A67F36">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Conviction on Failure to</w:t>
      </w:r>
      <w:r w:rsidR="00A67F36">
        <w:rPr>
          <w:rFonts w:ascii="Calibri" w:hAnsi="Calibri" w:cs="Calibri"/>
          <w:b/>
          <w:bCs/>
          <w:color w:val="auto"/>
          <w:sz w:val="22"/>
          <w:lang w:val="en-US"/>
        </w:rPr>
        <w:t xml:space="preserve"> </w:t>
      </w:r>
      <w:r w:rsidR="00571B46">
        <w:rPr>
          <w:rFonts w:ascii="Calibri" w:hAnsi="Calibri" w:cs="Calibri"/>
          <w:b/>
          <w:bCs/>
          <w:color w:val="auto"/>
          <w:sz w:val="22"/>
          <w:lang w:val="en-US"/>
        </w:rPr>
        <w:t>Make</w:t>
      </w:r>
      <w:r>
        <w:rPr>
          <w:rFonts w:ascii="Calibri" w:hAnsi="Calibri" w:cs="Calibri"/>
          <w:b/>
          <w:bCs/>
          <w:color w:val="auto"/>
          <w:sz w:val="22"/>
          <w:lang w:val="en-US"/>
        </w:rPr>
        <w:t xml:space="preserve"> Suspicious Transaction</w:t>
      </w:r>
      <w:r w:rsidR="00A67F36">
        <w:rPr>
          <w:rFonts w:ascii="Calibri" w:hAnsi="Calibri" w:cs="Calibri"/>
          <w:b/>
          <w:bCs/>
          <w:color w:val="auto"/>
          <w:sz w:val="22"/>
          <w:lang w:val="en-US"/>
        </w:rPr>
        <w:t xml:space="preserve"> Reporting</w:t>
      </w:r>
      <w:r w:rsidR="00571B46">
        <w:rPr>
          <w:rFonts w:ascii="Calibri" w:hAnsi="Calibri" w:cs="Calibri"/>
          <w:b/>
          <w:bCs/>
          <w:color w:val="auto"/>
          <w:sz w:val="22"/>
          <w:lang w:val="en-US"/>
        </w:rPr>
        <w:t xml:space="preserve"> (STR)</w:t>
      </w:r>
      <w:r w:rsidR="00A67F36">
        <w:rPr>
          <w:rFonts w:ascii="Calibri" w:hAnsi="Calibri" w:cs="Calibri"/>
          <w:color w:val="auto"/>
          <w:sz w:val="22"/>
          <w:lang w:val="en-US"/>
        </w:rPr>
        <w:t xml:space="preserve">: </w:t>
      </w:r>
    </w:p>
    <w:p w14:paraId="7BABD609" w14:textId="5534AD41" w:rsidR="00605D21" w:rsidRDefault="00605D21" w:rsidP="00605D21">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Individuals</w:t>
      </w:r>
      <w:r w:rsidRPr="00605D21">
        <w:rPr>
          <w:rFonts w:ascii="Calibri" w:hAnsi="Calibri" w:cs="Calibri"/>
          <w:color w:val="auto"/>
          <w:sz w:val="22"/>
          <w:lang w:val="en-US"/>
        </w:rPr>
        <w:t>:</w:t>
      </w:r>
      <w:r>
        <w:rPr>
          <w:rFonts w:ascii="Calibri" w:hAnsi="Calibri" w:cs="Calibri"/>
          <w:color w:val="auto"/>
          <w:sz w:val="22"/>
          <w:lang w:val="en-US"/>
        </w:rPr>
        <w:t xml:space="preserve"> $250K fine or 3Y imprisonment or both</w:t>
      </w:r>
    </w:p>
    <w:p w14:paraId="28BB105C" w14:textId="6D62B7DB" w:rsidR="00605D21" w:rsidRDefault="00605D21" w:rsidP="00605D21">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Entities</w:t>
      </w:r>
      <w:r w:rsidRPr="00605D21">
        <w:rPr>
          <w:rFonts w:ascii="Calibri" w:hAnsi="Calibri" w:cs="Calibri"/>
          <w:color w:val="auto"/>
          <w:sz w:val="22"/>
          <w:lang w:val="en-US"/>
        </w:rPr>
        <w:t>:</w:t>
      </w:r>
      <w:r>
        <w:rPr>
          <w:rFonts w:ascii="Calibri" w:hAnsi="Calibri" w:cs="Calibri"/>
          <w:color w:val="auto"/>
          <w:sz w:val="22"/>
          <w:lang w:val="en-US"/>
        </w:rPr>
        <w:t xml:space="preserve"> $500K fine</w:t>
      </w:r>
    </w:p>
    <w:p w14:paraId="0187E375" w14:textId="4857C2B1" w:rsidR="00571B46" w:rsidRPr="00A67F36" w:rsidRDefault="00571B46" w:rsidP="00605D21">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 xml:space="preserve">Note that the </w:t>
      </w:r>
      <w:r w:rsidRPr="002A0A38">
        <w:rPr>
          <w:rFonts w:ascii="Calibri" w:hAnsi="Calibri" w:cs="Calibri"/>
          <w:color w:val="auto"/>
          <w:sz w:val="22"/>
          <w:u w:val="single"/>
          <w:lang w:val="en-US"/>
        </w:rPr>
        <w:t>CDSA provide statutory protection to an institution and its employees in making STRs</w:t>
      </w:r>
      <w:r w:rsidR="002605E4">
        <w:rPr>
          <w:rFonts w:ascii="Calibri" w:hAnsi="Calibri" w:cs="Calibri"/>
          <w:color w:val="auto"/>
          <w:sz w:val="22"/>
          <w:lang w:val="en-US"/>
        </w:rPr>
        <w:t xml:space="preserve">. </w:t>
      </w:r>
      <w:r w:rsidR="00A84C86">
        <w:rPr>
          <w:rFonts w:ascii="Calibri" w:hAnsi="Calibri" w:cs="Calibri"/>
          <w:color w:val="auto"/>
          <w:sz w:val="22"/>
          <w:lang w:val="en-US"/>
        </w:rPr>
        <w:t xml:space="preserve">No actions would be taken against a </w:t>
      </w:r>
      <w:r w:rsidR="009F493A">
        <w:rPr>
          <w:rFonts w:ascii="Calibri" w:hAnsi="Calibri" w:cs="Calibri"/>
          <w:color w:val="auto"/>
          <w:sz w:val="22"/>
          <w:lang w:val="en-US"/>
        </w:rPr>
        <w:t>FI</w:t>
      </w:r>
      <w:r w:rsidR="00813EEB">
        <w:rPr>
          <w:rFonts w:ascii="Calibri" w:hAnsi="Calibri" w:cs="Calibri"/>
          <w:color w:val="auto"/>
          <w:sz w:val="22"/>
          <w:lang w:val="en-US"/>
        </w:rPr>
        <w:t xml:space="preserve"> that complies with an order to </w:t>
      </w:r>
      <w:r w:rsidR="006433C7">
        <w:rPr>
          <w:rFonts w:ascii="Calibri" w:hAnsi="Calibri" w:cs="Calibri"/>
          <w:color w:val="auto"/>
          <w:sz w:val="22"/>
          <w:lang w:val="en-US"/>
        </w:rPr>
        <w:t xml:space="preserve">disclose a client’s account </w:t>
      </w:r>
      <w:r w:rsidR="00EB3268">
        <w:rPr>
          <w:rFonts w:ascii="Calibri" w:hAnsi="Calibri" w:cs="Calibri"/>
          <w:color w:val="auto"/>
          <w:sz w:val="22"/>
          <w:lang w:val="en-US"/>
        </w:rPr>
        <w:t>under the law</w:t>
      </w:r>
      <w:r w:rsidR="002A0A38">
        <w:rPr>
          <w:rFonts w:ascii="Calibri" w:hAnsi="Calibri" w:cs="Calibri"/>
          <w:color w:val="auto"/>
          <w:sz w:val="22"/>
          <w:lang w:val="en-US"/>
        </w:rPr>
        <w:t>.</w:t>
      </w:r>
      <w:r w:rsidR="009F493A">
        <w:rPr>
          <w:rFonts w:ascii="Calibri" w:hAnsi="Calibri" w:cs="Calibri"/>
          <w:color w:val="auto"/>
          <w:sz w:val="22"/>
          <w:lang w:val="en-US"/>
        </w:rPr>
        <w:t xml:space="preserve"> </w:t>
      </w:r>
      <w:r w:rsidR="005378B4">
        <w:rPr>
          <w:rFonts w:ascii="Calibri" w:hAnsi="Calibri" w:cs="Calibri"/>
          <w:color w:val="auto"/>
          <w:sz w:val="22"/>
          <w:lang w:val="en-US"/>
        </w:rPr>
        <w:t xml:space="preserve">Also, the </w:t>
      </w:r>
      <w:r w:rsidR="005378B4" w:rsidRPr="00615F4D">
        <w:rPr>
          <w:rFonts w:ascii="Calibri" w:hAnsi="Calibri" w:cs="Calibri"/>
          <w:color w:val="auto"/>
          <w:sz w:val="22"/>
          <w:u w:val="single"/>
          <w:lang w:val="en-US"/>
        </w:rPr>
        <w:t>CMI/</w:t>
      </w:r>
      <w:r w:rsidR="00B72D51">
        <w:rPr>
          <w:rFonts w:ascii="Calibri" w:hAnsi="Calibri" w:cs="Calibri"/>
          <w:color w:val="auto"/>
          <w:sz w:val="22"/>
          <w:u w:val="single"/>
          <w:lang w:val="en-US"/>
        </w:rPr>
        <w:t>LFMC</w:t>
      </w:r>
      <w:r w:rsidR="00615F4D" w:rsidRPr="00615F4D">
        <w:rPr>
          <w:rFonts w:ascii="Calibri" w:hAnsi="Calibri" w:cs="Calibri"/>
          <w:color w:val="auto"/>
          <w:sz w:val="22"/>
          <w:u w:val="single"/>
          <w:lang w:val="en-US"/>
        </w:rPr>
        <w:t xml:space="preserve"> does not need to prove beyond doubt that a customer is involved in criminal activity before an STR is filed</w:t>
      </w:r>
      <w:r w:rsidR="00615F4D">
        <w:rPr>
          <w:rFonts w:ascii="Calibri" w:hAnsi="Calibri" w:cs="Calibri"/>
          <w:color w:val="auto"/>
          <w:sz w:val="22"/>
          <w:lang w:val="en-US"/>
        </w:rPr>
        <w:t xml:space="preserve">. </w:t>
      </w:r>
    </w:p>
    <w:p w14:paraId="418544CD" w14:textId="499B39FF" w:rsidR="00973B26" w:rsidRPr="00030CC1" w:rsidRDefault="00973B26" w:rsidP="00C7161A">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In the CDSA investigation, a </w:t>
      </w:r>
      <w:r w:rsidRPr="0011717C">
        <w:rPr>
          <w:rFonts w:ascii="Calibri" w:hAnsi="Calibri" w:cs="Calibri"/>
          <w:color w:val="auto"/>
          <w:sz w:val="22"/>
          <w:u w:val="single"/>
          <w:lang w:val="en-US"/>
        </w:rPr>
        <w:t>Search Warrant might be produced</w:t>
      </w:r>
      <w:r w:rsidR="00BE3909" w:rsidRPr="0011717C">
        <w:rPr>
          <w:rFonts w:ascii="Calibri" w:hAnsi="Calibri" w:cs="Calibri"/>
          <w:color w:val="auto"/>
          <w:sz w:val="22"/>
          <w:u w:val="single"/>
          <w:lang w:val="en-US"/>
        </w:rPr>
        <w:t xml:space="preserve"> by the Court</w:t>
      </w:r>
      <w:r>
        <w:rPr>
          <w:rFonts w:ascii="Calibri" w:hAnsi="Calibri" w:cs="Calibri"/>
          <w:color w:val="auto"/>
          <w:sz w:val="22"/>
          <w:lang w:val="en-US"/>
        </w:rPr>
        <w:t xml:space="preserve">. Anybody who </w:t>
      </w:r>
      <w:r w:rsidR="008C0F46" w:rsidRPr="0011717C">
        <w:rPr>
          <w:rFonts w:ascii="Calibri" w:hAnsi="Calibri" w:cs="Calibri"/>
          <w:color w:val="auto"/>
          <w:sz w:val="22"/>
          <w:u w:val="single"/>
          <w:lang w:val="en-US"/>
        </w:rPr>
        <w:t>contravenes/obstructs</w:t>
      </w:r>
      <w:r w:rsidRPr="0011717C">
        <w:rPr>
          <w:rFonts w:ascii="Calibri" w:hAnsi="Calibri" w:cs="Calibri"/>
          <w:color w:val="auto"/>
          <w:sz w:val="22"/>
          <w:u w:val="single"/>
          <w:lang w:val="en-US"/>
        </w:rPr>
        <w:t xml:space="preserve"> this would </w:t>
      </w:r>
      <w:r w:rsidR="008C0F46" w:rsidRPr="0011717C">
        <w:rPr>
          <w:rFonts w:ascii="Calibri" w:hAnsi="Calibri" w:cs="Calibri"/>
          <w:color w:val="auto"/>
          <w:sz w:val="22"/>
          <w:u w:val="single"/>
          <w:lang w:val="en-US"/>
        </w:rPr>
        <w:t xml:space="preserve">be liable for $10K fine or </w:t>
      </w:r>
      <w:r w:rsidR="00BE3909" w:rsidRPr="0011717C">
        <w:rPr>
          <w:rFonts w:ascii="Calibri" w:hAnsi="Calibri" w:cs="Calibri"/>
          <w:color w:val="auto"/>
          <w:sz w:val="22"/>
          <w:u w:val="single"/>
          <w:lang w:val="en-US"/>
        </w:rPr>
        <w:t>2Y imprisonment or both</w:t>
      </w:r>
      <w:r w:rsidR="00BE3909">
        <w:rPr>
          <w:rFonts w:ascii="Calibri" w:hAnsi="Calibri" w:cs="Calibri"/>
          <w:color w:val="auto"/>
          <w:sz w:val="22"/>
          <w:lang w:val="en-US"/>
        </w:rPr>
        <w:t>.</w:t>
      </w:r>
      <w:r w:rsidR="00EC0728">
        <w:rPr>
          <w:rFonts w:ascii="Calibri" w:hAnsi="Calibri" w:cs="Calibri"/>
          <w:color w:val="auto"/>
          <w:sz w:val="22"/>
          <w:lang w:val="en-US"/>
        </w:rPr>
        <w:t xml:space="preserve"> The same penalties would apply for contravention of a production order.</w:t>
      </w:r>
    </w:p>
    <w:p w14:paraId="4A9DAF59" w14:textId="6EACB26D" w:rsidR="00140EF0" w:rsidRDefault="00C7161A" w:rsidP="00994DE6">
      <w:pPr>
        <w:pStyle w:val="ListParagraph"/>
        <w:numPr>
          <w:ilvl w:val="0"/>
          <w:numId w:val="109"/>
        </w:numPr>
        <w:jc w:val="both"/>
        <w:rPr>
          <w:rFonts w:ascii="Calibri" w:hAnsi="Calibri" w:cs="Calibri"/>
          <w:color w:val="auto"/>
          <w:sz w:val="22"/>
          <w:lang w:val="en-US"/>
        </w:rPr>
      </w:pPr>
      <w:r w:rsidRPr="00BD4835">
        <w:rPr>
          <w:rFonts w:ascii="Calibri" w:hAnsi="Calibri" w:cs="Calibri"/>
          <w:b/>
          <w:bCs/>
          <w:color w:val="auto"/>
          <w:sz w:val="22"/>
          <w:lang w:val="en-US"/>
        </w:rPr>
        <w:t>Mutual Assistance in Criminal Matters Act (MACMA)</w:t>
      </w:r>
      <w:r w:rsidRPr="00BD4835">
        <w:rPr>
          <w:rFonts w:ascii="Calibri" w:hAnsi="Calibri" w:cs="Calibri"/>
          <w:color w:val="auto"/>
          <w:sz w:val="22"/>
          <w:lang w:val="en-US"/>
        </w:rPr>
        <w:t>:</w:t>
      </w:r>
      <w:r>
        <w:rPr>
          <w:rFonts w:ascii="Calibri" w:hAnsi="Calibri" w:cs="Calibri"/>
          <w:color w:val="auto"/>
          <w:sz w:val="22"/>
          <w:lang w:val="en-US"/>
        </w:rPr>
        <w:t xml:space="preserve"> </w:t>
      </w:r>
      <w:r w:rsidR="00EB497A">
        <w:rPr>
          <w:rFonts w:ascii="Calibri" w:hAnsi="Calibri" w:cs="Calibri"/>
          <w:color w:val="auto"/>
          <w:sz w:val="22"/>
          <w:lang w:val="en-US"/>
        </w:rPr>
        <w:t>Provides mutual assistance to other countries to</w:t>
      </w:r>
      <w:r>
        <w:rPr>
          <w:rFonts w:ascii="Calibri" w:hAnsi="Calibri" w:cs="Calibri"/>
          <w:color w:val="auto"/>
          <w:sz w:val="22"/>
          <w:lang w:val="en-US"/>
        </w:rPr>
        <w:t xml:space="preserve"> combat </w:t>
      </w:r>
      <w:r w:rsidR="00BD4835">
        <w:rPr>
          <w:rFonts w:ascii="Calibri" w:hAnsi="Calibri" w:cs="Calibri"/>
          <w:color w:val="auto"/>
          <w:sz w:val="22"/>
          <w:lang w:val="en-US"/>
        </w:rPr>
        <w:t xml:space="preserve">cross-border </w:t>
      </w:r>
      <w:r>
        <w:rPr>
          <w:rFonts w:ascii="Calibri" w:hAnsi="Calibri" w:cs="Calibri"/>
          <w:color w:val="auto"/>
          <w:sz w:val="22"/>
          <w:lang w:val="en-US"/>
        </w:rPr>
        <w:t>ML/TF crimes</w:t>
      </w:r>
      <w:r w:rsidR="00BD4835">
        <w:rPr>
          <w:rFonts w:ascii="Calibri" w:hAnsi="Calibri" w:cs="Calibri"/>
          <w:color w:val="auto"/>
          <w:sz w:val="22"/>
          <w:lang w:val="en-US"/>
        </w:rPr>
        <w:t>.</w:t>
      </w:r>
      <w:r>
        <w:rPr>
          <w:rFonts w:ascii="Calibri" w:hAnsi="Calibri" w:cs="Calibri"/>
          <w:color w:val="auto"/>
          <w:sz w:val="22"/>
          <w:lang w:val="en-US"/>
        </w:rPr>
        <w:t xml:space="preserve"> </w:t>
      </w:r>
    </w:p>
    <w:p w14:paraId="0305C6B4" w14:textId="6273E169" w:rsidR="00EB497A" w:rsidRDefault="00EB497A" w:rsidP="00994DE6">
      <w:pPr>
        <w:pStyle w:val="ListParagraph"/>
        <w:numPr>
          <w:ilvl w:val="0"/>
          <w:numId w:val="109"/>
        </w:numPr>
        <w:jc w:val="both"/>
        <w:rPr>
          <w:rFonts w:ascii="Calibri" w:hAnsi="Calibri" w:cs="Calibri"/>
          <w:color w:val="auto"/>
          <w:sz w:val="22"/>
          <w:lang w:val="en-US"/>
        </w:rPr>
      </w:pPr>
      <w:r>
        <w:rPr>
          <w:rFonts w:ascii="Calibri" w:hAnsi="Calibri" w:cs="Calibri"/>
          <w:b/>
          <w:bCs/>
          <w:color w:val="auto"/>
          <w:sz w:val="22"/>
          <w:lang w:val="en-US"/>
        </w:rPr>
        <w:t>Terrorism (</w:t>
      </w:r>
      <w:r w:rsidR="00E577C4">
        <w:rPr>
          <w:rFonts w:ascii="Calibri" w:hAnsi="Calibri" w:cs="Calibri"/>
          <w:b/>
          <w:bCs/>
          <w:color w:val="auto"/>
          <w:sz w:val="22"/>
          <w:lang w:val="en-US"/>
        </w:rPr>
        <w:t>Suppression of Financing) Act (TSOFA)</w:t>
      </w:r>
      <w:r w:rsidR="00E577C4" w:rsidRPr="00E577C4">
        <w:rPr>
          <w:rFonts w:ascii="Calibri" w:hAnsi="Calibri" w:cs="Calibri"/>
          <w:color w:val="auto"/>
          <w:sz w:val="22"/>
          <w:lang w:val="en-US"/>
        </w:rPr>
        <w:t>:</w:t>
      </w:r>
      <w:r w:rsidR="00E577C4">
        <w:rPr>
          <w:rFonts w:ascii="Calibri" w:hAnsi="Calibri" w:cs="Calibri"/>
          <w:color w:val="auto"/>
          <w:sz w:val="22"/>
          <w:lang w:val="en-US"/>
        </w:rPr>
        <w:t xml:space="preserve"> </w:t>
      </w:r>
      <w:r w:rsidR="00E577C4" w:rsidRPr="001542AA">
        <w:rPr>
          <w:rFonts w:ascii="Calibri" w:hAnsi="Calibri" w:cs="Calibri"/>
          <w:color w:val="auto"/>
          <w:sz w:val="22"/>
          <w:u w:val="single"/>
          <w:lang w:val="en-US"/>
        </w:rPr>
        <w:t>Crimi</w:t>
      </w:r>
      <w:r w:rsidR="00B551D8" w:rsidRPr="001542AA">
        <w:rPr>
          <w:rFonts w:ascii="Calibri" w:hAnsi="Calibri" w:cs="Calibri"/>
          <w:color w:val="auto"/>
          <w:sz w:val="22"/>
          <w:u w:val="single"/>
          <w:lang w:val="en-US"/>
        </w:rPr>
        <w:t>nalizes TF and allows for seizure and confiscation of property related to terrorism purposes</w:t>
      </w:r>
      <w:r w:rsidR="00D9226C">
        <w:rPr>
          <w:rFonts w:ascii="Calibri" w:hAnsi="Calibri" w:cs="Calibri"/>
          <w:color w:val="auto"/>
          <w:sz w:val="22"/>
          <w:lang w:val="en-US"/>
        </w:rPr>
        <w:t xml:space="preserve">. </w:t>
      </w:r>
    </w:p>
    <w:p w14:paraId="70A75864" w14:textId="3CD90398" w:rsidR="00C6078A" w:rsidRDefault="00C6078A" w:rsidP="00C6078A">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Conviction on TSOFA</w:t>
      </w:r>
      <w:r w:rsidRPr="00C6078A">
        <w:rPr>
          <w:rFonts w:ascii="Calibri" w:hAnsi="Calibri" w:cs="Calibri"/>
          <w:color w:val="auto"/>
          <w:sz w:val="22"/>
          <w:lang w:val="en-US"/>
        </w:rPr>
        <w:t>:</w:t>
      </w:r>
    </w:p>
    <w:p w14:paraId="78564D96" w14:textId="04F04747" w:rsidR="00C6078A" w:rsidRDefault="00C6078A" w:rsidP="00C6078A">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Individuals</w:t>
      </w:r>
      <w:r w:rsidRPr="00C6078A">
        <w:rPr>
          <w:rFonts w:ascii="Calibri" w:hAnsi="Calibri" w:cs="Calibri"/>
          <w:color w:val="auto"/>
          <w:sz w:val="22"/>
          <w:lang w:val="en-US"/>
        </w:rPr>
        <w:t>:</w:t>
      </w:r>
      <w:r>
        <w:rPr>
          <w:rFonts w:ascii="Calibri" w:hAnsi="Calibri" w:cs="Calibri"/>
          <w:color w:val="auto"/>
          <w:sz w:val="22"/>
          <w:lang w:val="en-US"/>
        </w:rPr>
        <w:t xml:space="preserve"> $500K or 10Y imprisonment</w:t>
      </w:r>
      <w:r w:rsidR="005C1FBC">
        <w:rPr>
          <w:rFonts w:ascii="Calibri" w:hAnsi="Calibri" w:cs="Calibri"/>
          <w:color w:val="auto"/>
          <w:sz w:val="22"/>
          <w:lang w:val="en-US"/>
        </w:rPr>
        <w:t xml:space="preserve"> or both (same as Drug Dealing above)</w:t>
      </w:r>
    </w:p>
    <w:p w14:paraId="226B194B" w14:textId="13A42500" w:rsidR="00483083" w:rsidRDefault="00483083" w:rsidP="00C6078A">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Entities</w:t>
      </w:r>
      <w:r w:rsidRPr="00483083">
        <w:rPr>
          <w:rFonts w:ascii="Calibri" w:hAnsi="Calibri" w:cs="Calibri"/>
          <w:color w:val="auto"/>
          <w:sz w:val="22"/>
          <w:lang w:val="en-US"/>
        </w:rPr>
        <w:t>:</w:t>
      </w:r>
      <w:r>
        <w:rPr>
          <w:rFonts w:ascii="Calibri" w:hAnsi="Calibri" w:cs="Calibri"/>
          <w:color w:val="auto"/>
          <w:sz w:val="22"/>
          <w:lang w:val="en-US"/>
        </w:rPr>
        <w:t xml:space="preserve"> </w:t>
      </w:r>
      <w:proofErr w:type="gramStart"/>
      <w:r>
        <w:rPr>
          <w:rFonts w:ascii="Calibri" w:hAnsi="Calibri" w:cs="Calibri"/>
          <w:color w:val="auto"/>
          <w:sz w:val="22"/>
          <w:lang w:val="en-US"/>
        </w:rPr>
        <w:t>Max(</w:t>
      </w:r>
      <w:proofErr w:type="gramEnd"/>
      <w:r>
        <w:rPr>
          <w:rFonts w:ascii="Calibri" w:hAnsi="Calibri" w:cs="Calibri"/>
          <w:color w:val="auto"/>
          <w:sz w:val="22"/>
          <w:lang w:val="en-US"/>
        </w:rPr>
        <w:t>$1M, Twice the value of property and services rendered) fine</w:t>
      </w:r>
    </w:p>
    <w:p w14:paraId="4F573012" w14:textId="514C1139" w:rsidR="0082120B" w:rsidRDefault="00717F2B" w:rsidP="00994DE6">
      <w:pPr>
        <w:pStyle w:val="ListParagraph"/>
        <w:numPr>
          <w:ilvl w:val="0"/>
          <w:numId w:val="109"/>
        </w:numPr>
        <w:jc w:val="both"/>
        <w:rPr>
          <w:rFonts w:ascii="Calibri" w:hAnsi="Calibri" w:cs="Calibri"/>
          <w:color w:val="auto"/>
          <w:sz w:val="22"/>
          <w:lang w:val="en-US"/>
        </w:rPr>
      </w:pPr>
      <w:r w:rsidRPr="00653C12">
        <w:rPr>
          <w:rFonts w:ascii="Calibri" w:hAnsi="Calibri" w:cs="Calibri"/>
          <w:b/>
          <w:bCs/>
          <w:color w:val="auto"/>
          <w:sz w:val="22"/>
          <w:lang w:val="en-US"/>
        </w:rPr>
        <w:t xml:space="preserve">MAS Notice to all FIs </w:t>
      </w:r>
      <w:r w:rsidR="00653C12" w:rsidRPr="00653C12">
        <w:rPr>
          <w:rFonts w:ascii="Calibri" w:hAnsi="Calibri" w:cs="Calibri"/>
          <w:b/>
          <w:bCs/>
          <w:color w:val="auto"/>
          <w:sz w:val="22"/>
          <w:lang w:val="en-US"/>
        </w:rPr>
        <w:t>on Sanctions</w:t>
      </w:r>
      <w:r w:rsidR="00653C12">
        <w:rPr>
          <w:rFonts w:ascii="Calibri" w:hAnsi="Calibri" w:cs="Calibri"/>
          <w:color w:val="auto"/>
          <w:sz w:val="22"/>
          <w:lang w:val="en-US"/>
        </w:rPr>
        <w:t xml:space="preserve">: </w:t>
      </w:r>
      <w:r w:rsidR="00653C12" w:rsidRPr="00DB4725">
        <w:rPr>
          <w:rFonts w:ascii="Calibri" w:hAnsi="Calibri" w:cs="Calibri"/>
          <w:color w:val="auto"/>
          <w:sz w:val="22"/>
          <w:u w:val="single"/>
          <w:lang w:val="en-US"/>
        </w:rPr>
        <w:t xml:space="preserve">FIs should do enhanced due diligence (EDD) </w:t>
      </w:r>
      <w:r w:rsidR="00052060" w:rsidRPr="00DB4725">
        <w:rPr>
          <w:rFonts w:ascii="Calibri" w:hAnsi="Calibri" w:cs="Calibri"/>
          <w:color w:val="auto"/>
          <w:sz w:val="22"/>
          <w:u w:val="single"/>
          <w:lang w:val="en-US"/>
        </w:rPr>
        <w:t>and pay attention to business relations / transactions with person in sanctioned countries</w:t>
      </w:r>
      <w:r w:rsidR="006C6963">
        <w:rPr>
          <w:rFonts w:ascii="Calibri" w:hAnsi="Calibri" w:cs="Calibri"/>
          <w:color w:val="auto"/>
          <w:sz w:val="22"/>
          <w:lang w:val="en-US"/>
        </w:rPr>
        <w:t>.</w:t>
      </w:r>
    </w:p>
    <w:p w14:paraId="37BBAEEE" w14:textId="6C0F5145" w:rsidR="0082120B" w:rsidRDefault="006C6963" w:rsidP="00994DE6">
      <w:pPr>
        <w:pStyle w:val="ListParagraph"/>
        <w:numPr>
          <w:ilvl w:val="0"/>
          <w:numId w:val="109"/>
        </w:numPr>
        <w:jc w:val="both"/>
        <w:rPr>
          <w:rFonts w:ascii="Calibri" w:hAnsi="Calibri" w:cs="Calibri"/>
          <w:color w:val="auto"/>
          <w:sz w:val="22"/>
          <w:lang w:val="en-US"/>
        </w:rPr>
      </w:pPr>
      <w:r>
        <w:rPr>
          <w:rFonts w:ascii="Calibri" w:hAnsi="Calibri" w:cs="Calibri"/>
          <w:b/>
          <w:bCs/>
          <w:color w:val="auto"/>
          <w:sz w:val="22"/>
          <w:lang w:val="en-US"/>
        </w:rPr>
        <w:t xml:space="preserve">MAS Regulations </w:t>
      </w:r>
      <w:r w:rsidR="00DB4725">
        <w:rPr>
          <w:rFonts w:ascii="Calibri" w:hAnsi="Calibri" w:cs="Calibri"/>
          <w:b/>
          <w:bCs/>
          <w:color w:val="auto"/>
          <w:sz w:val="22"/>
          <w:lang w:val="en-US"/>
        </w:rPr>
        <w:t>on Targeted Financial Sanctions related to ML/TF</w:t>
      </w:r>
      <w:r w:rsidR="00DB4725" w:rsidRPr="00DB4725">
        <w:rPr>
          <w:rFonts w:ascii="Calibri" w:hAnsi="Calibri" w:cs="Calibri"/>
          <w:color w:val="auto"/>
          <w:sz w:val="22"/>
          <w:lang w:val="en-US"/>
        </w:rPr>
        <w:t>:</w:t>
      </w:r>
      <w:r w:rsidR="00DB4725">
        <w:rPr>
          <w:rFonts w:ascii="Calibri" w:hAnsi="Calibri" w:cs="Calibri"/>
          <w:b/>
          <w:bCs/>
          <w:color w:val="auto"/>
          <w:sz w:val="22"/>
          <w:lang w:val="en-US"/>
        </w:rPr>
        <w:t xml:space="preserve"> </w:t>
      </w:r>
      <w:r w:rsidR="00DB4725" w:rsidRPr="006807CD">
        <w:rPr>
          <w:rFonts w:ascii="Calibri" w:hAnsi="Calibri" w:cs="Calibri"/>
          <w:color w:val="auto"/>
          <w:sz w:val="22"/>
          <w:lang w:val="en-US"/>
        </w:rPr>
        <w:t xml:space="preserve">Require FIs </w:t>
      </w:r>
      <w:r w:rsidR="006807CD" w:rsidRPr="006807CD">
        <w:rPr>
          <w:rFonts w:ascii="Calibri" w:hAnsi="Calibri" w:cs="Calibri"/>
          <w:color w:val="auto"/>
          <w:sz w:val="22"/>
          <w:lang w:val="en-US"/>
        </w:rPr>
        <w:t>to</w:t>
      </w:r>
    </w:p>
    <w:p w14:paraId="0E41A0D5" w14:textId="16711BAE" w:rsidR="00DB4725" w:rsidRDefault="006807CD" w:rsidP="00DB4725">
      <w:pPr>
        <w:pStyle w:val="ListParagraph"/>
        <w:numPr>
          <w:ilvl w:val="1"/>
          <w:numId w:val="109"/>
        </w:numPr>
        <w:jc w:val="both"/>
        <w:rPr>
          <w:rFonts w:ascii="Calibri" w:hAnsi="Calibri" w:cs="Calibri"/>
          <w:color w:val="auto"/>
          <w:sz w:val="22"/>
          <w:lang w:val="en-US"/>
        </w:rPr>
      </w:pPr>
      <w:r w:rsidRPr="006807CD">
        <w:rPr>
          <w:rFonts w:ascii="Calibri" w:hAnsi="Calibri" w:cs="Calibri"/>
          <w:color w:val="auto"/>
          <w:sz w:val="22"/>
          <w:u w:val="single"/>
          <w:lang w:val="en-US"/>
        </w:rPr>
        <w:t>Freeze funds immediately</w:t>
      </w:r>
      <w:r>
        <w:rPr>
          <w:rFonts w:ascii="Calibri" w:hAnsi="Calibri" w:cs="Calibri"/>
          <w:color w:val="auto"/>
          <w:sz w:val="22"/>
          <w:lang w:val="en-US"/>
        </w:rPr>
        <w:t xml:space="preserve"> of designated individuals and </w:t>
      </w:r>
      <w:proofErr w:type="gramStart"/>
      <w:r>
        <w:rPr>
          <w:rFonts w:ascii="Calibri" w:hAnsi="Calibri" w:cs="Calibri"/>
          <w:color w:val="auto"/>
          <w:sz w:val="22"/>
          <w:lang w:val="en-US"/>
        </w:rPr>
        <w:t>entities</w:t>
      </w:r>
      <w:r w:rsidR="00670C1F">
        <w:rPr>
          <w:rFonts w:ascii="Calibri" w:hAnsi="Calibri" w:cs="Calibri"/>
          <w:color w:val="auto"/>
          <w:sz w:val="22"/>
          <w:lang w:val="en-US"/>
        </w:rPr>
        <w:t>;</w:t>
      </w:r>
      <w:proofErr w:type="gramEnd"/>
    </w:p>
    <w:p w14:paraId="7C24C854" w14:textId="04679FFB" w:rsidR="006807CD" w:rsidRDefault="004B3048" w:rsidP="00DB4725">
      <w:pPr>
        <w:pStyle w:val="ListParagraph"/>
        <w:numPr>
          <w:ilvl w:val="1"/>
          <w:numId w:val="109"/>
        </w:numPr>
        <w:jc w:val="both"/>
        <w:rPr>
          <w:rFonts w:ascii="Calibri" w:hAnsi="Calibri" w:cs="Calibri"/>
          <w:color w:val="auto"/>
          <w:sz w:val="22"/>
          <w:lang w:val="en-US"/>
        </w:rPr>
      </w:pPr>
      <w:r>
        <w:rPr>
          <w:rFonts w:ascii="Calibri" w:hAnsi="Calibri" w:cs="Calibri"/>
          <w:color w:val="auto"/>
          <w:sz w:val="22"/>
          <w:u w:val="single"/>
          <w:lang w:val="en-US"/>
        </w:rPr>
        <w:t>Prohibit</w:t>
      </w:r>
      <w:r w:rsidR="00EE5014" w:rsidRPr="00EE5014">
        <w:rPr>
          <w:rFonts w:ascii="Calibri" w:hAnsi="Calibri" w:cs="Calibri"/>
          <w:color w:val="auto"/>
          <w:sz w:val="22"/>
          <w:u w:val="single"/>
          <w:lang w:val="en-US"/>
        </w:rPr>
        <w:t xml:space="preserve"> financial transactions </w:t>
      </w:r>
      <w:r>
        <w:rPr>
          <w:rFonts w:ascii="Calibri" w:hAnsi="Calibri" w:cs="Calibri"/>
          <w:color w:val="auto"/>
          <w:sz w:val="22"/>
          <w:u w:val="single"/>
          <w:lang w:val="en-US"/>
        </w:rPr>
        <w:t xml:space="preserve">and </w:t>
      </w:r>
      <w:r w:rsidR="00EE5014" w:rsidRPr="00EE5014">
        <w:rPr>
          <w:rFonts w:ascii="Calibri" w:hAnsi="Calibri" w:cs="Calibri"/>
          <w:color w:val="auto"/>
          <w:sz w:val="22"/>
          <w:u w:val="single"/>
          <w:lang w:val="en-US"/>
        </w:rPr>
        <w:t>financial assistance</w:t>
      </w:r>
      <w:r w:rsidR="00EE5014">
        <w:rPr>
          <w:rFonts w:ascii="Calibri" w:hAnsi="Calibri" w:cs="Calibri"/>
          <w:color w:val="auto"/>
          <w:sz w:val="22"/>
          <w:lang w:val="en-US"/>
        </w:rPr>
        <w:t xml:space="preserve"> to designated individuals and entities</w:t>
      </w:r>
      <w:r w:rsidR="00670C1F">
        <w:rPr>
          <w:rFonts w:ascii="Calibri" w:hAnsi="Calibri" w:cs="Calibri"/>
          <w:color w:val="auto"/>
          <w:sz w:val="22"/>
          <w:lang w:val="en-US"/>
        </w:rPr>
        <w:t>; and</w:t>
      </w:r>
    </w:p>
    <w:p w14:paraId="13083F21" w14:textId="35274CBE" w:rsidR="00EE5014" w:rsidRDefault="004B3048" w:rsidP="00DB4725">
      <w:pPr>
        <w:pStyle w:val="ListParagraph"/>
        <w:numPr>
          <w:ilvl w:val="1"/>
          <w:numId w:val="109"/>
        </w:numPr>
        <w:jc w:val="both"/>
        <w:rPr>
          <w:rFonts w:ascii="Calibri" w:hAnsi="Calibri" w:cs="Calibri"/>
          <w:color w:val="auto"/>
          <w:sz w:val="22"/>
          <w:lang w:val="en-US"/>
        </w:rPr>
      </w:pPr>
      <w:r w:rsidRPr="009E55F1">
        <w:rPr>
          <w:rFonts w:ascii="Calibri" w:hAnsi="Calibri" w:cs="Calibri"/>
          <w:color w:val="auto"/>
          <w:sz w:val="22"/>
          <w:u w:val="single"/>
          <w:lang w:val="en-US"/>
        </w:rPr>
        <w:t xml:space="preserve">Notify MAS </w:t>
      </w:r>
      <w:r w:rsidR="00670C1F" w:rsidRPr="009E55F1">
        <w:rPr>
          <w:rFonts w:ascii="Calibri" w:hAnsi="Calibri" w:cs="Calibri"/>
          <w:color w:val="auto"/>
          <w:sz w:val="22"/>
          <w:u w:val="single"/>
          <w:lang w:val="en-US"/>
        </w:rPr>
        <w:t xml:space="preserve">of </w:t>
      </w:r>
      <w:r w:rsidR="00775325" w:rsidRPr="009E55F1">
        <w:rPr>
          <w:rFonts w:ascii="Calibri" w:hAnsi="Calibri" w:cs="Calibri"/>
          <w:color w:val="auto"/>
          <w:sz w:val="22"/>
          <w:u w:val="single"/>
          <w:lang w:val="en-US"/>
        </w:rPr>
        <w:t>any assets or economic resources owned/controlled</w:t>
      </w:r>
      <w:r w:rsidR="00775325">
        <w:rPr>
          <w:rFonts w:ascii="Calibri" w:hAnsi="Calibri" w:cs="Calibri"/>
          <w:color w:val="auto"/>
          <w:sz w:val="22"/>
          <w:lang w:val="en-US"/>
        </w:rPr>
        <w:t xml:space="preserve"> by the designated individuals and entities</w:t>
      </w:r>
    </w:p>
    <w:p w14:paraId="075552F8" w14:textId="77777777" w:rsidR="009E58E0" w:rsidRDefault="009E58E0" w:rsidP="009E58E0">
      <w:pPr>
        <w:pStyle w:val="ListParagraph"/>
        <w:numPr>
          <w:ilvl w:val="0"/>
          <w:numId w:val="109"/>
        </w:numPr>
        <w:jc w:val="both"/>
        <w:rPr>
          <w:rFonts w:ascii="Calibri" w:hAnsi="Calibri" w:cs="Calibri"/>
          <w:color w:val="auto"/>
          <w:sz w:val="22"/>
          <w:lang w:val="en-US"/>
        </w:rPr>
      </w:pPr>
      <w:r w:rsidRPr="00CE761D">
        <w:rPr>
          <w:rFonts w:ascii="Calibri" w:hAnsi="Calibri" w:cs="Calibri"/>
          <w:b/>
          <w:bCs/>
          <w:color w:val="auto"/>
          <w:sz w:val="22"/>
          <w:lang w:val="en-US"/>
        </w:rPr>
        <w:t>Designation of Tax Crimes as ML Predicate Offences</w:t>
      </w:r>
      <w:r>
        <w:rPr>
          <w:rFonts w:ascii="Calibri" w:hAnsi="Calibri" w:cs="Calibri"/>
          <w:color w:val="auto"/>
          <w:sz w:val="22"/>
          <w:lang w:val="en-US"/>
        </w:rPr>
        <w:t xml:space="preserve">: </w:t>
      </w:r>
      <w:r w:rsidRPr="009776B2">
        <w:rPr>
          <w:rFonts w:ascii="Calibri" w:hAnsi="Calibri" w:cs="Calibri"/>
          <w:color w:val="auto"/>
          <w:sz w:val="22"/>
          <w:u w:val="single"/>
          <w:lang w:val="en-US"/>
        </w:rPr>
        <w:t>Fraudulent tax evasion, giving false information/records are deemed ML predicate activities</w:t>
      </w:r>
      <w:r>
        <w:rPr>
          <w:rFonts w:ascii="Calibri" w:hAnsi="Calibri" w:cs="Calibri"/>
          <w:color w:val="auto"/>
          <w:sz w:val="22"/>
          <w:lang w:val="en-US"/>
        </w:rPr>
        <w:t xml:space="preserve"> and are liable under the law. Thus, </w:t>
      </w:r>
      <w:r w:rsidRPr="00DE678C">
        <w:rPr>
          <w:rFonts w:ascii="Calibri" w:hAnsi="Calibri" w:cs="Calibri"/>
          <w:color w:val="auto"/>
          <w:sz w:val="22"/>
          <w:u w:val="single"/>
          <w:lang w:val="en-US"/>
        </w:rPr>
        <w:t>FIs must adequately identify and assess tax-related risks and act to mitigate those risks</w:t>
      </w:r>
      <w:r>
        <w:rPr>
          <w:rFonts w:ascii="Calibri" w:hAnsi="Calibri" w:cs="Calibri"/>
          <w:color w:val="auto"/>
          <w:sz w:val="22"/>
          <w:lang w:val="en-US"/>
        </w:rPr>
        <w:t>.</w:t>
      </w:r>
    </w:p>
    <w:p w14:paraId="7EC6620B" w14:textId="77777777" w:rsidR="007D0DFC" w:rsidRDefault="007D0DFC" w:rsidP="007D0DFC">
      <w:pPr>
        <w:pStyle w:val="ListParagraph"/>
        <w:ind w:left="360"/>
        <w:jc w:val="both"/>
        <w:rPr>
          <w:rFonts w:ascii="Calibri" w:hAnsi="Calibri" w:cs="Calibri"/>
          <w:color w:val="auto"/>
          <w:sz w:val="22"/>
          <w:lang w:val="en-US"/>
        </w:rPr>
      </w:pPr>
    </w:p>
    <w:p w14:paraId="18C4D816" w14:textId="65E4ABF9" w:rsidR="007D0DFC" w:rsidRPr="00F13423" w:rsidRDefault="007D0DFC" w:rsidP="00F13423">
      <w:pPr>
        <w:pStyle w:val="ListParagraph"/>
        <w:ind w:left="360"/>
        <w:jc w:val="both"/>
        <w:rPr>
          <w:rFonts w:ascii="Calibri" w:hAnsi="Calibri" w:cs="Calibri"/>
          <w:color w:val="auto"/>
          <w:sz w:val="22"/>
          <w:lang w:val="en-US"/>
        </w:rPr>
      </w:pPr>
      <w:r>
        <w:rPr>
          <w:rFonts w:ascii="Calibri" w:hAnsi="Calibri" w:cs="Calibri"/>
          <w:color w:val="auto"/>
          <w:sz w:val="22"/>
          <w:lang w:val="en-US"/>
        </w:rPr>
        <w:lastRenderedPageBreak/>
        <w:t xml:space="preserve">A Capital Markets Intermediary (CMI) </w:t>
      </w:r>
      <w:r w:rsidR="0082499F">
        <w:rPr>
          <w:rFonts w:ascii="Calibri" w:hAnsi="Calibri" w:cs="Calibri"/>
          <w:color w:val="auto"/>
          <w:sz w:val="22"/>
          <w:lang w:val="en-US"/>
        </w:rPr>
        <w:t>found to be non-compliant would be fined $1M. T</w:t>
      </w:r>
      <w:r w:rsidR="00495563">
        <w:rPr>
          <w:rFonts w:ascii="Calibri" w:hAnsi="Calibri" w:cs="Calibri"/>
          <w:color w:val="auto"/>
          <w:sz w:val="22"/>
          <w:lang w:val="en-US"/>
        </w:rPr>
        <w:t xml:space="preserve">o avoid paying the price for any of these financial crimes, it </w:t>
      </w:r>
      <w:r>
        <w:rPr>
          <w:rFonts w:ascii="Calibri" w:hAnsi="Calibri" w:cs="Calibri"/>
          <w:color w:val="auto"/>
          <w:sz w:val="22"/>
          <w:lang w:val="en-US"/>
        </w:rPr>
        <w:t xml:space="preserve">has the responsibility to conduct the necessary due diligence. </w:t>
      </w:r>
      <w:r w:rsidRPr="00F13423">
        <w:rPr>
          <w:rFonts w:ascii="Calibri" w:hAnsi="Calibri" w:cs="Calibri"/>
          <w:color w:val="auto"/>
          <w:sz w:val="22"/>
          <w:lang w:val="en-US"/>
        </w:rPr>
        <w:t>However, the</w:t>
      </w:r>
      <w:r w:rsidR="00E0572A">
        <w:rPr>
          <w:rFonts w:ascii="Calibri" w:hAnsi="Calibri" w:cs="Calibri"/>
          <w:color w:val="auto"/>
          <w:sz w:val="22"/>
          <w:lang w:val="en-US"/>
        </w:rPr>
        <w:t xml:space="preserve">se </w:t>
      </w:r>
      <w:r w:rsidRPr="00F13423">
        <w:rPr>
          <w:rFonts w:ascii="Calibri" w:hAnsi="Calibri" w:cs="Calibri"/>
          <w:color w:val="auto"/>
          <w:sz w:val="22"/>
          <w:lang w:val="en-US"/>
        </w:rPr>
        <w:t>issues often complicate the due diligence process</w:t>
      </w:r>
      <w:r w:rsidR="00F13423">
        <w:rPr>
          <w:rFonts w:ascii="Calibri" w:hAnsi="Calibri" w:cs="Calibri"/>
          <w:color w:val="auto"/>
          <w:sz w:val="22"/>
          <w:lang w:val="en-US"/>
        </w:rPr>
        <w:t xml:space="preserve"> –</w:t>
      </w:r>
      <w:r w:rsidRPr="00F13423">
        <w:rPr>
          <w:rFonts w:ascii="Calibri" w:hAnsi="Calibri" w:cs="Calibri"/>
          <w:color w:val="auto"/>
          <w:sz w:val="22"/>
          <w:lang w:val="en-US"/>
        </w:rPr>
        <w:t xml:space="preserve"> </w:t>
      </w:r>
    </w:p>
    <w:p w14:paraId="52A28601" w14:textId="77777777" w:rsidR="007D0DFC" w:rsidRDefault="007D0DFC" w:rsidP="007D0DFC">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 xml:space="preserve">Layering through many subsidiaries/shell companies/SPVs to mask the audit trail of Beneficiary Owner (BO; The </w:t>
      </w:r>
      <w:r w:rsidRPr="00797B13">
        <w:rPr>
          <w:rFonts w:ascii="Calibri" w:hAnsi="Calibri" w:cs="Calibri"/>
          <w:color w:val="auto"/>
          <w:sz w:val="22"/>
          <w:u w:val="single"/>
          <w:lang w:val="en-US"/>
        </w:rPr>
        <w:t>natural person who ultimately owns or controls the customer</w:t>
      </w:r>
      <w:r>
        <w:rPr>
          <w:rFonts w:ascii="Calibri" w:hAnsi="Calibri" w:cs="Calibri"/>
          <w:color w:val="auto"/>
          <w:sz w:val="22"/>
          <w:lang w:val="en-US"/>
        </w:rPr>
        <w:t xml:space="preserve"> or the natural person on whose behalf a transaction is conducted, or business relations are established and includes any </w:t>
      </w:r>
      <w:r w:rsidRPr="002E2FDC">
        <w:rPr>
          <w:rFonts w:ascii="Calibri" w:hAnsi="Calibri" w:cs="Calibri"/>
          <w:color w:val="auto"/>
          <w:sz w:val="22"/>
          <w:u w:val="single"/>
          <w:lang w:val="en-US"/>
        </w:rPr>
        <w:t>person who exercises ultimate effective control over a legal person or legal arrangement</w:t>
      </w:r>
      <w:r>
        <w:rPr>
          <w:rFonts w:ascii="Calibri" w:hAnsi="Calibri" w:cs="Calibri"/>
          <w:color w:val="auto"/>
          <w:sz w:val="22"/>
          <w:lang w:val="en-US"/>
        </w:rPr>
        <w:t xml:space="preserve">).  </w:t>
      </w:r>
    </w:p>
    <w:p w14:paraId="3FFBAF2D" w14:textId="77777777" w:rsidR="007D0DFC" w:rsidRDefault="007D0DFC" w:rsidP="007D0DFC">
      <w:pPr>
        <w:pStyle w:val="ListParagraph"/>
        <w:numPr>
          <w:ilvl w:val="1"/>
          <w:numId w:val="109"/>
        </w:numPr>
        <w:jc w:val="both"/>
        <w:rPr>
          <w:rFonts w:ascii="Calibri" w:hAnsi="Calibri" w:cs="Calibri"/>
          <w:color w:val="auto"/>
          <w:sz w:val="22"/>
          <w:lang w:val="en-US"/>
        </w:rPr>
      </w:pPr>
      <w:r w:rsidRPr="003C58E3">
        <w:rPr>
          <w:rFonts w:ascii="Calibri" w:hAnsi="Calibri" w:cs="Calibri"/>
          <w:color w:val="auto"/>
          <w:sz w:val="22"/>
          <w:u w:val="single"/>
          <w:lang w:val="en-US"/>
        </w:rPr>
        <w:t>BO may change over time especially if the ownership of companies are “bearer” shell companies</w:t>
      </w:r>
      <w:r>
        <w:rPr>
          <w:rFonts w:ascii="Calibri" w:hAnsi="Calibri" w:cs="Calibri"/>
          <w:color w:val="auto"/>
          <w:sz w:val="22"/>
          <w:lang w:val="en-US"/>
        </w:rPr>
        <w:t xml:space="preserve"> and not registered (i.e., In this case, the company BO is the one who holds the share certificate). </w:t>
      </w:r>
    </w:p>
    <w:p w14:paraId="14D2FFB6" w14:textId="77777777" w:rsidR="00AD5E86" w:rsidRDefault="00AD5E86" w:rsidP="003458D4">
      <w:pPr>
        <w:pStyle w:val="ListParagraph"/>
        <w:ind w:left="360"/>
        <w:jc w:val="both"/>
        <w:rPr>
          <w:rFonts w:ascii="Calibri" w:hAnsi="Calibri" w:cs="Calibri"/>
          <w:color w:val="auto"/>
          <w:sz w:val="22"/>
          <w:lang w:val="en-US"/>
        </w:rPr>
      </w:pPr>
    </w:p>
    <w:p w14:paraId="4A2855F1" w14:textId="34597481" w:rsidR="00994DE6" w:rsidRDefault="00D33570" w:rsidP="003530EE">
      <w:pPr>
        <w:pStyle w:val="Heading3"/>
        <w:numPr>
          <w:ilvl w:val="0"/>
          <w:numId w:val="121"/>
        </w:numPr>
        <w:jc w:val="both"/>
        <w:rPr>
          <w:rFonts w:ascii="Calibri" w:hAnsi="Calibri" w:cs="Calibri"/>
          <w:color w:val="auto"/>
          <w:lang w:val="en-US"/>
        </w:rPr>
      </w:pPr>
      <w:r>
        <w:rPr>
          <w:rFonts w:ascii="Calibri" w:hAnsi="Calibri" w:cs="Calibri"/>
          <w:color w:val="auto"/>
          <w:lang w:val="en-US"/>
        </w:rPr>
        <w:t>Know Your Customer (KYC)</w:t>
      </w:r>
    </w:p>
    <w:p w14:paraId="784CAABB" w14:textId="77777777" w:rsidR="00E241C6" w:rsidRDefault="004B1344" w:rsidP="00B41D3D">
      <w:pPr>
        <w:pStyle w:val="ListParagraph"/>
        <w:numPr>
          <w:ilvl w:val="0"/>
          <w:numId w:val="109"/>
        </w:numPr>
        <w:jc w:val="both"/>
        <w:rPr>
          <w:rFonts w:ascii="Calibri" w:hAnsi="Calibri" w:cs="Calibri"/>
          <w:color w:val="auto"/>
          <w:sz w:val="22"/>
          <w:lang w:val="en-US"/>
        </w:rPr>
      </w:pPr>
      <w:r>
        <w:rPr>
          <w:rFonts w:ascii="Calibri" w:hAnsi="Calibri" w:cs="Calibri"/>
          <w:color w:val="auto"/>
          <w:sz w:val="22"/>
          <w:lang w:val="en-US"/>
        </w:rPr>
        <w:t xml:space="preserve">To tackle the due diligence issues above, CMIs/FMCs </w:t>
      </w:r>
      <w:r w:rsidR="00E0572A">
        <w:rPr>
          <w:rFonts w:ascii="Calibri" w:hAnsi="Calibri" w:cs="Calibri"/>
          <w:color w:val="auto"/>
          <w:sz w:val="22"/>
          <w:lang w:val="en-US"/>
        </w:rPr>
        <w:t xml:space="preserve">have strong AML/CFT processes to </w:t>
      </w:r>
      <w:r>
        <w:rPr>
          <w:rFonts w:ascii="Calibri" w:hAnsi="Calibri" w:cs="Calibri"/>
          <w:color w:val="auto"/>
          <w:sz w:val="22"/>
          <w:lang w:val="en-US"/>
        </w:rPr>
        <w:t xml:space="preserve">conduct </w:t>
      </w:r>
      <w:r w:rsidR="00E241C6">
        <w:rPr>
          <w:rFonts w:ascii="Calibri" w:hAnsi="Calibri" w:cs="Calibri"/>
          <w:color w:val="auto"/>
          <w:sz w:val="22"/>
          <w:lang w:val="en-US"/>
        </w:rPr>
        <w:t xml:space="preserve">the </w:t>
      </w:r>
      <w:r>
        <w:rPr>
          <w:rFonts w:ascii="Calibri" w:hAnsi="Calibri" w:cs="Calibri"/>
          <w:color w:val="auto"/>
          <w:sz w:val="22"/>
          <w:lang w:val="en-US"/>
        </w:rPr>
        <w:t>necessary</w:t>
      </w:r>
      <w:r w:rsidR="00E241C6">
        <w:rPr>
          <w:rFonts w:ascii="Calibri" w:hAnsi="Calibri" w:cs="Calibri"/>
          <w:color w:val="auto"/>
          <w:sz w:val="22"/>
          <w:lang w:val="en-US"/>
        </w:rPr>
        <w:t xml:space="preserve"> reviews.</w:t>
      </w:r>
      <w:r>
        <w:rPr>
          <w:rFonts w:ascii="Calibri" w:hAnsi="Calibri" w:cs="Calibri"/>
          <w:color w:val="auto"/>
          <w:sz w:val="22"/>
          <w:lang w:val="en-US"/>
        </w:rPr>
        <w:t xml:space="preserve"> </w:t>
      </w:r>
    </w:p>
    <w:p w14:paraId="4729CC20" w14:textId="7984D783" w:rsidR="00B41D3D" w:rsidRPr="00B41D3D" w:rsidRDefault="00481C9E" w:rsidP="00B41D3D">
      <w:pPr>
        <w:pStyle w:val="ListParagraph"/>
        <w:numPr>
          <w:ilvl w:val="0"/>
          <w:numId w:val="109"/>
        </w:numPr>
        <w:jc w:val="both"/>
        <w:rPr>
          <w:rFonts w:ascii="Calibri" w:hAnsi="Calibri" w:cs="Calibri"/>
          <w:color w:val="auto"/>
          <w:sz w:val="22"/>
          <w:lang w:val="en-US"/>
        </w:rPr>
      </w:pPr>
      <w:r>
        <w:rPr>
          <w:rFonts w:ascii="Calibri" w:hAnsi="Calibri" w:cs="Calibri"/>
          <w:color w:val="auto"/>
          <w:sz w:val="22"/>
          <w:lang w:val="en-US"/>
        </w:rPr>
        <w:t xml:space="preserve">During </w:t>
      </w:r>
      <w:r w:rsidR="003F1076">
        <w:rPr>
          <w:rFonts w:ascii="Calibri" w:hAnsi="Calibri" w:cs="Calibri"/>
          <w:color w:val="auto"/>
          <w:sz w:val="22"/>
          <w:lang w:val="en-US"/>
        </w:rPr>
        <w:t>client onboarding</w:t>
      </w:r>
      <w:r w:rsidR="000700DE">
        <w:rPr>
          <w:rFonts w:ascii="Calibri" w:hAnsi="Calibri" w:cs="Calibri"/>
          <w:color w:val="auto"/>
          <w:sz w:val="22"/>
          <w:lang w:val="en-US"/>
        </w:rPr>
        <w:t xml:space="preserve"> by </w:t>
      </w:r>
      <w:r w:rsidR="00707874">
        <w:rPr>
          <w:rFonts w:ascii="Calibri" w:hAnsi="Calibri" w:cs="Calibri"/>
          <w:color w:val="auto"/>
          <w:sz w:val="22"/>
          <w:lang w:val="en-US"/>
        </w:rPr>
        <w:t>CMI/</w:t>
      </w:r>
      <w:r w:rsidR="00B72D51">
        <w:rPr>
          <w:rFonts w:ascii="Calibri" w:hAnsi="Calibri" w:cs="Calibri"/>
          <w:color w:val="auto"/>
          <w:sz w:val="22"/>
          <w:lang w:val="en-US"/>
        </w:rPr>
        <w:t>LFMC</w:t>
      </w:r>
      <w:r w:rsidR="003F1076">
        <w:rPr>
          <w:rFonts w:ascii="Calibri" w:hAnsi="Calibri" w:cs="Calibri"/>
          <w:color w:val="auto"/>
          <w:sz w:val="22"/>
          <w:lang w:val="en-US"/>
        </w:rPr>
        <w:t xml:space="preserve">, it is important to gather personal information </w:t>
      </w:r>
      <w:r w:rsidR="00B41D3D">
        <w:rPr>
          <w:rFonts w:ascii="Calibri" w:hAnsi="Calibri" w:cs="Calibri"/>
          <w:color w:val="auto"/>
          <w:sz w:val="22"/>
          <w:lang w:val="en-US"/>
        </w:rPr>
        <w:t>–</w:t>
      </w:r>
    </w:p>
    <w:p w14:paraId="42A35B85" w14:textId="7A89A22A" w:rsidR="00997CF3" w:rsidRDefault="009D17F9" w:rsidP="009D17F9">
      <w:pPr>
        <w:pStyle w:val="ListParagraph"/>
        <w:numPr>
          <w:ilvl w:val="1"/>
          <w:numId w:val="109"/>
        </w:numPr>
        <w:jc w:val="both"/>
        <w:rPr>
          <w:rFonts w:ascii="Calibri" w:hAnsi="Calibri" w:cs="Calibri"/>
          <w:color w:val="auto"/>
          <w:sz w:val="22"/>
          <w:lang w:val="en-US"/>
        </w:rPr>
      </w:pPr>
      <w:r w:rsidRPr="009D17F9">
        <w:rPr>
          <w:rFonts w:ascii="Calibri" w:hAnsi="Calibri" w:cs="Calibri"/>
          <w:b/>
          <w:bCs/>
          <w:color w:val="auto"/>
          <w:sz w:val="22"/>
          <w:lang w:val="en-US"/>
        </w:rPr>
        <w:t>Individual</w:t>
      </w:r>
      <w:r>
        <w:rPr>
          <w:rFonts w:ascii="Calibri" w:hAnsi="Calibri" w:cs="Calibri"/>
          <w:color w:val="auto"/>
          <w:sz w:val="22"/>
          <w:lang w:val="en-US"/>
        </w:rPr>
        <w:t xml:space="preserve">: Age, </w:t>
      </w:r>
      <w:r w:rsidR="00997CF3">
        <w:rPr>
          <w:rFonts w:ascii="Calibri" w:hAnsi="Calibri" w:cs="Calibri"/>
          <w:color w:val="auto"/>
          <w:sz w:val="22"/>
          <w:lang w:val="en-US"/>
        </w:rPr>
        <w:t xml:space="preserve">Address, Employment, </w:t>
      </w:r>
      <w:r>
        <w:rPr>
          <w:rFonts w:ascii="Calibri" w:hAnsi="Calibri" w:cs="Calibri"/>
          <w:color w:val="auto"/>
          <w:sz w:val="22"/>
          <w:lang w:val="en-US"/>
        </w:rPr>
        <w:t>Source of wealth</w:t>
      </w:r>
      <w:r w:rsidR="00997CF3">
        <w:rPr>
          <w:rFonts w:ascii="Calibri" w:hAnsi="Calibri" w:cs="Calibri"/>
          <w:color w:val="auto"/>
          <w:sz w:val="22"/>
          <w:lang w:val="en-US"/>
        </w:rPr>
        <w:t xml:space="preserve"> </w:t>
      </w:r>
      <w:r w:rsidR="00BE3C9D">
        <w:rPr>
          <w:rFonts w:ascii="Calibri" w:hAnsi="Calibri" w:cs="Calibri"/>
          <w:color w:val="auto"/>
          <w:sz w:val="22"/>
          <w:lang w:val="en-US"/>
        </w:rPr>
        <w:t>from individual’s original identification records, official subscribed databases etc.</w:t>
      </w:r>
    </w:p>
    <w:p w14:paraId="7647F76F" w14:textId="668DBB8B" w:rsidR="00D40E1F" w:rsidRDefault="00EA50C0" w:rsidP="009D17F9">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Entity/Legal Person/Legal Arrangement</w:t>
      </w:r>
      <w:r w:rsidRPr="00EA50C0">
        <w:rPr>
          <w:rFonts w:ascii="Calibri" w:hAnsi="Calibri" w:cs="Calibri"/>
          <w:color w:val="auto"/>
          <w:sz w:val="22"/>
          <w:lang w:val="en-US"/>
        </w:rPr>
        <w:t>:</w:t>
      </w:r>
      <w:r>
        <w:rPr>
          <w:rFonts w:ascii="Calibri" w:hAnsi="Calibri" w:cs="Calibri"/>
          <w:color w:val="auto"/>
          <w:sz w:val="22"/>
          <w:lang w:val="en-US"/>
        </w:rPr>
        <w:t xml:space="preserve"> Type of business</w:t>
      </w:r>
      <w:r w:rsidR="00271841">
        <w:rPr>
          <w:rFonts w:ascii="Calibri" w:hAnsi="Calibri" w:cs="Calibri"/>
          <w:color w:val="auto"/>
          <w:sz w:val="22"/>
          <w:lang w:val="en-US"/>
        </w:rPr>
        <w:t xml:space="preserve"> (to better understand source </w:t>
      </w:r>
      <w:r w:rsidR="0099304B">
        <w:rPr>
          <w:rFonts w:ascii="Calibri" w:hAnsi="Calibri" w:cs="Calibri"/>
          <w:color w:val="auto"/>
          <w:sz w:val="22"/>
          <w:lang w:val="en-US"/>
        </w:rPr>
        <w:t>of revenue)</w:t>
      </w:r>
      <w:r>
        <w:rPr>
          <w:rFonts w:ascii="Calibri" w:hAnsi="Calibri" w:cs="Calibri"/>
          <w:color w:val="auto"/>
          <w:sz w:val="22"/>
          <w:lang w:val="en-US"/>
        </w:rPr>
        <w:t>, Country of Incorporation</w:t>
      </w:r>
      <w:r w:rsidR="00D40E1F">
        <w:rPr>
          <w:rFonts w:ascii="Calibri" w:hAnsi="Calibri" w:cs="Calibri"/>
          <w:color w:val="auto"/>
          <w:sz w:val="22"/>
          <w:lang w:val="en-US"/>
        </w:rPr>
        <w:t>, Full name of connected persons</w:t>
      </w:r>
      <w:r w:rsidR="00BE3C9D">
        <w:rPr>
          <w:rFonts w:ascii="Calibri" w:hAnsi="Calibri" w:cs="Calibri"/>
          <w:color w:val="auto"/>
          <w:sz w:val="22"/>
          <w:lang w:val="en-US"/>
        </w:rPr>
        <w:t xml:space="preserve"> from individual’s original identification records, </w:t>
      </w:r>
      <w:r w:rsidR="002E1EAB">
        <w:rPr>
          <w:rFonts w:ascii="Calibri" w:hAnsi="Calibri" w:cs="Calibri"/>
          <w:color w:val="auto"/>
          <w:sz w:val="22"/>
          <w:lang w:val="en-US"/>
        </w:rPr>
        <w:t xml:space="preserve">business constitution documents, board resolutions, trust deed, </w:t>
      </w:r>
      <w:r w:rsidR="00BE3C9D">
        <w:rPr>
          <w:rFonts w:ascii="Calibri" w:hAnsi="Calibri" w:cs="Calibri"/>
          <w:color w:val="auto"/>
          <w:sz w:val="22"/>
          <w:lang w:val="en-US"/>
        </w:rPr>
        <w:t>official subscribed databases etc.</w:t>
      </w:r>
    </w:p>
    <w:p w14:paraId="5C2F99D7" w14:textId="77777777" w:rsidR="00966495" w:rsidRDefault="000937B2" w:rsidP="00D40E1F">
      <w:pPr>
        <w:pStyle w:val="ListParagraph"/>
        <w:numPr>
          <w:ilvl w:val="2"/>
          <w:numId w:val="109"/>
        </w:numPr>
        <w:jc w:val="both"/>
        <w:rPr>
          <w:rFonts w:ascii="Calibri" w:hAnsi="Calibri" w:cs="Calibri"/>
          <w:color w:val="auto"/>
          <w:sz w:val="22"/>
          <w:lang w:val="en-US"/>
        </w:rPr>
      </w:pPr>
      <w:r w:rsidRPr="000700DE">
        <w:rPr>
          <w:rFonts w:ascii="Calibri" w:hAnsi="Calibri" w:cs="Calibri"/>
          <w:b/>
          <w:bCs/>
          <w:color w:val="auto"/>
          <w:sz w:val="22"/>
          <w:lang w:val="en-US"/>
        </w:rPr>
        <w:t>Connected person for Legal Person</w:t>
      </w:r>
      <w:r>
        <w:rPr>
          <w:rFonts w:ascii="Calibri" w:hAnsi="Calibri" w:cs="Calibri"/>
          <w:color w:val="auto"/>
          <w:sz w:val="22"/>
          <w:lang w:val="en-US"/>
        </w:rPr>
        <w:t xml:space="preserve"> (i.e., company</w:t>
      </w:r>
      <w:r w:rsidR="00966495">
        <w:rPr>
          <w:rFonts w:ascii="Calibri" w:hAnsi="Calibri" w:cs="Calibri"/>
          <w:color w:val="auto"/>
          <w:sz w:val="22"/>
          <w:lang w:val="en-US"/>
        </w:rPr>
        <w:t>)</w:t>
      </w:r>
      <w:r>
        <w:rPr>
          <w:rFonts w:ascii="Calibri" w:hAnsi="Calibri" w:cs="Calibri"/>
          <w:color w:val="auto"/>
          <w:sz w:val="22"/>
          <w:lang w:val="en-US"/>
        </w:rPr>
        <w:t>:</w:t>
      </w:r>
      <w:r w:rsidR="00966495">
        <w:rPr>
          <w:rFonts w:ascii="Calibri" w:hAnsi="Calibri" w:cs="Calibri"/>
          <w:color w:val="auto"/>
          <w:sz w:val="22"/>
          <w:lang w:val="en-US"/>
        </w:rPr>
        <w:t xml:space="preserve"> Directors or any natural person with executive authority</w:t>
      </w:r>
    </w:p>
    <w:p w14:paraId="34D8486F" w14:textId="77777777" w:rsidR="00AD4717" w:rsidRDefault="00966495" w:rsidP="00D40E1F">
      <w:pPr>
        <w:pStyle w:val="ListParagraph"/>
        <w:numPr>
          <w:ilvl w:val="2"/>
          <w:numId w:val="109"/>
        </w:numPr>
        <w:jc w:val="both"/>
        <w:rPr>
          <w:rFonts w:ascii="Calibri" w:hAnsi="Calibri" w:cs="Calibri"/>
          <w:color w:val="auto"/>
          <w:sz w:val="22"/>
          <w:lang w:val="en-US"/>
        </w:rPr>
      </w:pPr>
      <w:r w:rsidRPr="000700DE">
        <w:rPr>
          <w:rFonts w:ascii="Calibri" w:hAnsi="Calibri" w:cs="Calibri"/>
          <w:b/>
          <w:bCs/>
          <w:color w:val="auto"/>
          <w:sz w:val="22"/>
          <w:lang w:val="en-US"/>
        </w:rPr>
        <w:t>Connected person for partnership</w:t>
      </w:r>
      <w:r>
        <w:rPr>
          <w:rFonts w:ascii="Calibri" w:hAnsi="Calibri" w:cs="Calibri"/>
          <w:color w:val="auto"/>
          <w:sz w:val="22"/>
          <w:lang w:val="en-US"/>
        </w:rPr>
        <w:t>: Managing part</w:t>
      </w:r>
      <w:r w:rsidR="00AD4717">
        <w:rPr>
          <w:rFonts w:ascii="Calibri" w:hAnsi="Calibri" w:cs="Calibri"/>
          <w:color w:val="auto"/>
          <w:sz w:val="22"/>
          <w:lang w:val="en-US"/>
        </w:rPr>
        <w:t>ner</w:t>
      </w:r>
    </w:p>
    <w:p w14:paraId="376E5F0D" w14:textId="3CA6D2C9" w:rsidR="009D17F9" w:rsidRPr="0095746C" w:rsidRDefault="00AD4717" w:rsidP="0095746C">
      <w:pPr>
        <w:pStyle w:val="ListParagraph"/>
        <w:numPr>
          <w:ilvl w:val="2"/>
          <w:numId w:val="109"/>
        </w:numPr>
        <w:jc w:val="both"/>
        <w:rPr>
          <w:rFonts w:ascii="Calibri" w:hAnsi="Calibri" w:cs="Calibri"/>
          <w:color w:val="auto"/>
          <w:sz w:val="22"/>
          <w:lang w:val="en-US"/>
        </w:rPr>
      </w:pPr>
      <w:r w:rsidRPr="000700DE">
        <w:rPr>
          <w:rFonts w:ascii="Calibri" w:hAnsi="Calibri" w:cs="Calibri"/>
          <w:b/>
          <w:bCs/>
          <w:color w:val="auto"/>
          <w:sz w:val="22"/>
          <w:lang w:val="en-US"/>
        </w:rPr>
        <w:t>Connected person for legal arrangement</w:t>
      </w:r>
      <w:r>
        <w:rPr>
          <w:rFonts w:ascii="Calibri" w:hAnsi="Calibri" w:cs="Calibri"/>
          <w:color w:val="auto"/>
          <w:sz w:val="22"/>
          <w:lang w:val="en-US"/>
        </w:rPr>
        <w:t>: Any natural person with executive authority on the legal arrangement</w:t>
      </w:r>
    </w:p>
    <w:p w14:paraId="7CB53337" w14:textId="16CC6C22" w:rsidR="00A5093E" w:rsidRPr="00A5093E" w:rsidRDefault="00A325D8" w:rsidP="00A5093E">
      <w:pPr>
        <w:pStyle w:val="ListParagraph"/>
        <w:numPr>
          <w:ilvl w:val="1"/>
          <w:numId w:val="109"/>
        </w:numPr>
        <w:jc w:val="both"/>
        <w:rPr>
          <w:rFonts w:ascii="Calibri" w:hAnsi="Calibri" w:cs="Calibri"/>
          <w:color w:val="auto"/>
          <w:sz w:val="22"/>
          <w:lang w:val="en-US"/>
        </w:rPr>
      </w:pPr>
      <w:r w:rsidRPr="00AF0345">
        <w:rPr>
          <w:rFonts w:ascii="Calibri" w:hAnsi="Calibri" w:cs="Calibri"/>
          <w:color w:val="auto"/>
          <w:sz w:val="22"/>
          <w:u w:val="single"/>
          <w:lang w:val="en-US"/>
        </w:rPr>
        <w:t>Good policy</w:t>
      </w:r>
      <w:r w:rsidR="00700310">
        <w:rPr>
          <w:rFonts w:ascii="Calibri" w:hAnsi="Calibri" w:cs="Calibri"/>
          <w:color w:val="auto"/>
          <w:sz w:val="22"/>
          <w:u w:val="single"/>
          <w:lang w:val="en-US"/>
        </w:rPr>
        <w:t xml:space="preserve"> for CMI/</w:t>
      </w:r>
      <w:r w:rsidR="00B72D51">
        <w:rPr>
          <w:rFonts w:ascii="Calibri" w:hAnsi="Calibri" w:cs="Calibri"/>
          <w:color w:val="auto"/>
          <w:sz w:val="22"/>
          <w:u w:val="single"/>
          <w:lang w:val="en-US"/>
        </w:rPr>
        <w:t>LFMC</w:t>
      </w:r>
      <w:r w:rsidRPr="00AF0345">
        <w:rPr>
          <w:rFonts w:ascii="Calibri" w:hAnsi="Calibri" w:cs="Calibri"/>
          <w:color w:val="auto"/>
          <w:sz w:val="22"/>
          <w:u w:val="single"/>
          <w:lang w:val="en-US"/>
        </w:rPr>
        <w:t xml:space="preserve"> </w:t>
      </w:r>
      <w:r w:rsidR="0095746C" w:rsidRPr="00AF0345">
        <w:rPr>
          <w:rFonts w:ascii="Calibri" w:hAnsi="Calibri" w:cs="Calibri"/>
          <w:color w:val="auto"/>
          <w:sz w:val="22"/>
          <w:u w:val="single"/>
          <w:lang w:val="en-US"/>
        </w:rPr>
        <w:t>to reject</w:t>
      </w:r>
      <w:r w:rsidRPr="00AF0345">
        <w:rPr>
          <w:rFonts w:ascii="Calibri" w:hAnsi="Calibri" w:cs="Calibri"/>
          <w:color w:val="auto"/>
          <w:sz w:val="22"/>
          <w:u w:val="single"/>
          <w:lang w:val="en-US"/>
        </w:rPr>
        <w:t xml:space="preserve"> </w:t>
      </w:r>
      <w:r w:rsidR="00712E7B">
        <w:rPr>
          <w:rFonts w:ascii="Calibri" w:hAnsi="Calibri" w:cs="Calibri"/>
          <w:color w:val="auto"/>
          <w:sz w:val="22"/>
          <w:u w:val="single"/>
          <w:lang w:val="en-US"/>
        </w:rPr>
        <w:t xml:space="preserve">companies with </w:t>
      </w:r>
      <w:r w:rsidR="00700310">
        <w:rPr>
          <w:rFonts w:ascii="Calibri" w:hAnsi="Calibri" w:cs="Calibri"/>
          <w:color w:val="auto"/>
          <w:sz w:val="22"/>
          <w:u w:val="single"/>
          <w:lang w:val="en-US"/>
        </w:rPr>
        <w:t>bearer shares</w:t>
      </w:r>
      <w:r w:rsidR="003C58E3" w:rsidRPr="00AF0345">
        <w:rPr>
          <w:rFonts w:ascii="Calibri" w:hAnsi="Calibri" w:cs="Calibri"/>
          <w:color w:val="auto"/>
          <w:sz w:val="22"/>
          <w:u w:val="single"/>
          <w:lang w:val="en-US"/>
        </w:rPr>
        <w:t xml:space="preserve"> </w:t>
      </w:r>
      <w:r w:rsidR="00712E7B">
        <w:rPr>
          <w:rFonts w:ascii="Calibri" w:hAnsi="Calibri" w:cs="Calibri"/>
          <w:color w:val="auto"/>
          <w:sz w:val="22"/>
          <w:u w:val="single"/>
          <w:lang w:val="en-US"/>
        </w:rPr>
        <w:t xml:space="preserve">or nominee shareholders </w:t>
      </w:r>
      <w:r w:rsidR="003C58E3" w:rsidRPr="00AF0345">
        <w:rPr>
          <w:rFonts w:ascii="Calibri" w:hAnsi="Calibri" w:cs="Calibri"/>
          <w:color w:val="auto"/>
          <w:sz w:val="22"/>
          <w:u w:val="single"/>
          <w:lang w:val="en-US"/>
        </w:rPr>
        <w:t>as clients because of the inability to know the identity of the BO</w:t>
      </w:r>
      <w:r w:rsidR="003C58E3">
        <w:rPr>
          <w:rFonts w:ascii="Calibri" w:hAnsi="Calibri" w:cs="Calibri"/>
          <w:color w:val="auto"/>
          <w:sz w:val="22"/>
          <w:lang w:val="en-US"/>
        </w:rPr>
        <w:t>.</w:t>
      </w:r>
    </w:p>
    <w:p w14:paraId="7C40D1A2" w14:textId="518DD70E" w:rsidR="00A61BDD" w:rsidRDefault="00A5093E" w:rsidP="0095746C">
      <w:pPr>
        <w:pStyle w:val="ListParagraph"/>
        <w:numPr>
          <w:ilvl w:val="1"/>
          <w:numId w:val="109"/>
        </w:numPr>
        <w:jc w:val="both"/>
        <w:rPr>
          <w:rFonts w:ascii="Calibri" w:hAnsi="Calibri" w:cs="Calibri"/>
          <w:color w:val="auto"/>
          <w:sz w:val="22"/>
          <w:lang w:val="en-US"/>
        </w:rPr>
      </w:pPr>
      <w:r>
        <w:rPr>
          <w:rFonts w:ascii="Calibri" w:hAnsi="Calibri" w:cs="Calibri"/>
          <w:color w:val="auto"/>
          <w:sz w:val="22"/>
          <w:u w:val="single"/>
          <w:lang w:val="en-US"/>
        </w:rPr>
        <w:t xml:space="preserve">If the </w:t>
      </w:r>
      <w:r w:rsidR="004239D8">
        <w:rPr>
          <w:rFonts w:ascii="Calibri" w:hAnsi="Calibri" w:cs="Calibri"/>
          <w:color w:val="auto"/>
          <w:sz w:val="22"/>
          <w:u w:val="single"/>
          <w:lang w:val="en-US"/>
        </w:rPr>
        <w:t>CMI/</w:t>
      </w:r>
      <w:r w:rsidR="00B72D51">
        <w:rPr>
          <w:rFonts w:ascii="Calibri" w:hAnsi="Calibri" w:cs="Calibri"/>
          <w:color w:val="auto"/>
          <w:sz w:val="22"/>
          <w:u w:val="single"/>
          <w:lang w:val="en-US"/>
        </w:rPr>
        <w:t>LFMC</w:t>
      </w:r>
      <w:r>
        <w:rPr>
          <w:rFonts w:ascii="Calibri" w:hAnsi="Calibri" w:cs="Calibri"/>
          <w:color w:val="auto"/>
          <w:sz w:val="22"/>
          <w:u w:val="single"/>
          <w:lang w:val="en-US"/>
        </w:rPr>
        <w:t xml:space="preserve"> wishes to undertake any transactions </w:t>
      </w:r>
      <w:r w:rsidR="00AB101B">
        <w:rPr>
          <w:rFonts w:ascii="Calibri" w:hAnsi="Calibri" w:cs="Calibri"/>
          <w:color w:val="auto"/>
          <w:sz w:val="22"/>
          <w:u w:val="single"/>
          <w:lang w:val="en-US"/>
        </w:rPr>
        <w:t>&gt;$20K with any customer that has no existing business relations, it</w:t>
      </w:r>
      <w:r w:rsidR="00147697" w:rsidRPr="002556F1">
        <w:rPr>
          <w:rFonts w:ascii="Calibri" w:hAnsi="Calibri" w:cs="Calibri"/>
          <w:color w:val="auto"/>
          <w:sz w:val="22"/>
          <w:u w:val="single"/>
          <w:lang w:val="en-US"/>
        </w:rPr>
        <w:t xml:space="preserve"> should take reasonable </w:t>
      </w:r>
      <w:r w:rsidR="00AA48B2" w:rsidRPr="002556F1">
        <w:rPr>
          <w:rFonts w:ascii="Calibri" w:hAnsi="Calibri" w:cs="Calibri"/>
          <w:color w:val="auto"/>
          <w:sz w:val="22"/>
          <w:u w:val="single"/>
          <w:lang w:val="en-US"/>
        </w:rPr>
        <w:t>steps</w:t>
      </w:r>
      <w:r w:rsidR="00147697" w:rsidRPr="002556F1">
        <w:rPr>
          <w:rFonts w:ascii="Calibri" w:hAnsi="Calibri" w:cs="Calibri"/>
          <w:color w:val="auto"/>
          <w:sz w:val="22"/>
          <w:u w:val="single"/>
          <w:lang w:val="en-US"/>
        </w:rPr>
        <w:t xml:space="preserve"> to </w:t>
      </w:r>
      <w:r w:rsidR="00B54604">
        <w:rPr>
          <w:rFonts w:ascii="Calibri" w:hAnsi="Calibri" w:cs="Calibri"/>
          <w:color w:val="auto"/>
          <w:sz w:val="22"/>
          <w:u w:val="single"/>
          <w:lang w:val="en-US"/>
        </w:rPr>
        <w:t>screen their customers</w:t>
      </w:r>
      <w:r w:rsidR="00AB101B">
        <w:rPr>
          <w:rFonts w:ascii="Calibri" w:hAnsi="Calibri" w:cs="Calibri"/>
          <w:color w:val="auto"/>
          <w:sz w:val="22"/>
          <w:u w:val="single"/>
          <w:lang w:val="en-US"/>
        </w:rPr>
        <w:t xml:space="preserve"> as soon as </w:t>
      </w:r>
      <w:r w:rsidR="00700310">
        <w:rPr>
          <w:rFonts w:ascii="Calibri" w:hAnsi="Calibri" w:cs="Calibri"/>
          <w:color w:val="auto"/>
          <w:sz w:val="22"/>
          <w:u w:val="single"/>
          <w:lang w:val="en-US"/>
        </w:rPr>
        <w:t>practicable</w:t>
      </w:r>
      <w:r w:rsidR="00272D75">
        <w:rPr>
          <w:rFonts w:ascii="Calibri" w:hAnsi="Calibri" w:cs="Calibri"/>
          <w:color w:val="auto"/>
          <w:sz w:val="22"/>
          <w:lang w:val="en-US"/>
        </w:rPr>
        <w:t xml:space="preserve">. If the customer is </w:t>
      </w:r>
      <w:r w:rsidR="00272D75" w:rsidRPr="002556F1">
        <w:rPr>
          <w:rFonts w:ascii="Calibri" w:hAnsi="Calibri" w:cs="Calibri"/>
          <w:color w:val="auto"/>
          <w:sz w:val="22"/>
          <w:u w:val="single"/>
          <w:lang w:val="en-US"/>
        </w:rPr>
        <w:t>not a natural person</w:t>
      </w:r>
      <w:r w:rsidR="00272D75">
        <w:rPr>
          <w:rFonts w:ascii="Calibri" w:hAnsi="Calibri" w:cs="Calibri"/>
          <w:color w:val="auto"/>
          <w:sz w:val="22"/>
          <w:lang w:val="en-US"/>
        </w:rPr>
        <w:t xml:space="preserve">, the </w:t>
      </w:r>
      <w:r w:rsidR="004239D8" w:rsidRPr="004239D8">
        <w:rPr>
          <w:rFonts w:ascii="Calibri" w:hAnsi="Calibri" w:cs="Calibri"/>
          <w:color w:val="auto"/>
          <w:sz w:val="22"/>
          <w:u w:val="single"/>
          <w:lang w:val="en-US"/>
        </w:rPr>
        <w:t>CMI/</w:t>
      </w:r>
      <w:r w:rsidR="00B72D51">
        <w:rPr>
          <w:rFonts w:ascii="Calibri" w:hAnsi="Calibri" w:cs="Calibri"/>
          <w:color w:val="auto"/>
          <w:sz w:val="22"/>
          <w:u w:val="single"/>
          <w:lang w:val="en-US"/>
        </w:rPr>
        <w:t>LFMC</w:t>
      </w:r>
      <w:r w:rsidR="00272D75" w:rsidRPr="002556F1">
        <w:rPr>
          <w:rFonts w:ascii="Calibri" w:hAnsi="Calibri" w:cs="Calibri"/>
          <w:color w:val="auto"/>
          <w:sz w:val="22"/>
          <w:u w:val="single"/>
          <w:lang w:val="en-US"/>
        </w:rPr>
        <w:t xml:space="preserve"> should</w:t>
      </w:r>
      <w:r w:rsidR="00AA48B2" w:rsidRPr="002556F1">
        <w:rPr>
          <w:rFonts w:ascii="Calibri" w:hAnsi="Calibri" w:cs="Calibri"/>
          <w:color w:val="auto"/>
          <w:sz w:val="22"/>
          <w:u w:val="single"/>
          <w:lang w:val="en-US"/>
        </w:rPr>
        <w:t xml:space="preserve"> investigate the customer’s business and ownership structure</w:t>
      </w:r>
      <w:r w:rsidR="00B014E9">
        <w:rPr>
          <w:rFonts w:ascii="Calibri" w:hAnsi="Calibri" w:cs="Calibri"/>
          <w:color w:val="auto"/>
          <w:sz w:val="22"/>
          <w:u w:val="single"/>
          <w:lang w:val="en-US"/>
        </w:rPr>
        <w:t xml:space="preserve">, </w:t>
      </w:r>
      <w:proofErr w:type="gramStart"/>
      <w:r w:rsidR="00B014E9">
        <w:rPr>
          <w:rFonts w:ascii="Calibri" w:hAnsi="Calibri" w:cs="Calibri"/>
          <w:color w:val="auto"/>
          <w:sz w:val="22"/>
          <w:u w:val="single"/>
          <w:lang w:val="en-US"/>
        </w:rPr>
        <w:t>connected</w:t>
      </w:r>
      <w:proofErr w:type="gramEnd"/>
      <w:r w:rsidR="00B014E9">
        <w:rPr>
          <w:rFonts w:ascii="Calibri" w:hAnsi="Calibri" w:cs="Calibri"/>
          <w:color w:val="auto"/>
          <w:sz w:val="22"/>
          <w:u w:val="single"/>
          <w:lang w:val="en-US"/>
        </w:rPr>
        <w:t xml:space="preserve"> parties and </w:t>
      </w:r>
      <w:r w:rsidR="00B014E9" w:rsidRPr="002556F1">
        <w:rPr>
          <w:rFonts w:ascii="Calibri" w:hAnsi="Calibri" w:cs="Calibri"/>
          <w:color w:val="auto"/>
          <w:sz w:val="22"/>
          <w:u w:val="single"/>
          <w:lang w:val="en-US"/>
        </w:rPr>
        <w:t>identify the ultimate BOs</w:t>
      </w:r>
      <w:r w:rsidR="00AA48B2">
        <w:rPr>
          <w:rFonts w:ascii="Calibri" w:hAnsi="Calibri" w:cs="Calibri"/>
          <w:color w:val="auto"/>
          <w:sz w:val="22"/>
          <w:lang w:val="en-US"/>
        </w:rPr>
        <w:t>.</w:t>
      </w:r>
      <w:r w:rsidR="00AF2EE0">
        <w:rPr>
          <w:rFonts w:ascii="Calibri" w:hAnsi="Calibri" w:cs="Calibri"/>
          <w:color w:val="auto"/>
          <w:sz w:val="22"/>
          <w:lang w:val="en-US"/>
        </w:rPr>
        <w:t xml:space="preserve"> </w:t>
      </w:r>
      <w:r w:rsidR="002556F1">
        <w:rPr>
          <w:rFonts w:ascii="Calibri" w:hAnsi="Calibri" w:cs="Calibri"/>
          <w:color w:val="auto"/>
          <w:sz w:val="22"/>
          <w:lang w:val="en-US"/>
        </w:rPr>
        <w:t xml:space="preserve">However, </w:t>
      </w:r>
      <w:r w:rsidR="002556F1" w:rsidRPr="002556F1">
        <w:rPr>
          <w:rFonts w:ascii="Calibri" w:hAnsi="Calibri" w:cs="Calibri"/>
          <w:color w:val="auto"/>
          <w:sz w:val="22"/>
          <w:u w:val="single"/>
          <w:lang w:val="en-US"/>
        </w:rPr>
        <w:t xml:space="preserve">if the customer falls into any of these categories, there is no need to determine BO </w:t>
      </w:r>
      <w:r w:rsidR="002556F1">
        <w:rPr>
          <w:rFonts w:ascii="Calibri" w:hAnsi="Calibri" w:cs="Calibri"/>
          <w:color w:val="auto"/>
          <w:sz w:val="22"/>
          <w:lang w:val="en-US"/>
        </w:rPr>
        <w:t xml:space="preserve">– </w:t>
      </w:r>
    </w:p>
    <w:p w14:paraId="1EE2EDB8" w14:textId="7255F322" w:rsidR="002556F1" w:rsidRPr="00AE4E76" w:rsidRDefault="009A50CF" w:rsidP="002556F1">
      <w:pPr>
        <w:pStyle w:val="ListParagraph"/>
        <w:numPr>
          <w:ilvl w:val="2"/>
          <w:numId w:val="109"/>
        </w:numPr>
        <w:jc w:val="both"/>
        <w:rPr>
          <w:rFonts w:ascii="Calibri" w:hAnsi="Calibri" w:cs="Calibri"/>
          <w:color w:val="auto"/>
          <w:sz w:val="22"/>
          <w:u w:val="single"/>
          <w:lang w:val="en-US"/>
        </w:rPr>
      </w:pPr>
      <w:r w:rsidRPr="00AE4E76">
        <w:rPr>
          <w:rFonts w:ascii="Calibri" w:hAnsi="Calibri" w:cs="Calibri"/>
          <w:color w:val="auto"/>
          <w:sz w:val="22"/>
          <w:u w:val="single"/>
          <w:lang w:val="en-US"/>
        </w:rPr>
        <w:t>Entity listed under SGX or other foreign exchanges</w:t>
      </w:r>
    </w:p>
    <w:p w14:paraId="57D404F7" w14:textId="60987562" w:rsidR="00AC79F4" w:rsidRPr="00AE4E76" w:rsidRDefault="00AC79F4" w:rsidP="002556F1">
      <w:pPr>
        <w:pStyle w:val="ListParagraph"/>
        <w:numPr>
          <w:ilvl w:val="2"/>
          <w:numId w:val="109"/>
        </w:numPr>
        <w:jc w:val="both"/>
        <w:rPr>
          <w:rFonts w:ascii="Calibri" w:hAnsi="Calibri" w:cs="Calibri"/>
          <w:color w:val="auto"/>
          <w:sz w:val="22"/>
          <w:u w:val="single"/>
          <w:lang w:val="en-US"/>
        </w:rPr>
      </w:pPr>
      <w:r w:rsidRPr="00AE4E76">
        <w:rPr>
          <w:rFonts w:ascii="Calibri" w:hAnsi="Calibri" w:cs="Calibri"/>
          <w:color w:val="auto"/>
          <w:sz w:val="22"/>
          <w:u w:val="single"/>
          <w:lang w:val="en-US"/>
        </w:rPr>
        <w:t>Certain financial institutions supervised by MAS</w:t>
      </w:r>
    </w:p>
    <w:p w14:paraId="3F9CD3C7" w14:textId="271D8E9E" w:rsidR="00AC79F4" w:rsidRPr="00AE4E76" w:rsidRDefault="00AC79F4" w:rsidP="002556F1">
      <w:pPr>
        <w:pStyle w:val="ListParagraph"/>
        <w:numPr>
          <w:ilvl w:val="2"/>
          <w:numId w:val="109"/>
        </w:numPr>
        <w:jc w:val="both"/>
        <w:rPr>
          <w:rFonts w:ascii="Calibri" w:hAnsi="Calibri" w:cs="Calibri"/>
          <w:color w:val="auto"/>
          <w:sz w:val="22"/>
          <w:u w:val="single"/>
          <w:lang w:val="en-US"/>
        </w:rPr>
      </w:pPr>
      <w:r w:rsidRPr="00AE4E76">
        <w:rPr>
          <w:rFonts w:ascii="Calibri" w:hAnsi="Calibri" w:cs="Calibri"/>
          <w:color w:val="auto"/>
          <w:sz w:val="22"/>
          <w:u w:val="single"/>
          <w:lang w:val="en-US"/>
        </w:rPr>
        <w:t xml:space="preserve">FIs incorporated outside Singapore but subject to AML/CFT requirements consistent with </w:t>
      </w:r>
      <w:r w:rsidR="0052029E" w:rsidRPr="00AE4E76">
        <w:rPr>
          <w:rFonts w:ascii="Calibri" w:hAnsi="Calibri" w:cs="Calibri"/>
          <w:color w:val="auto"/>
          <w:sz w:val="22"/>
          <w:u w:val="single"/>
          <w:lang w:val="en-US"/>
        </w:rPr>
        <w:t>standards set Financial Action Task Force (FATF)</w:t>
      </w:r>
    </w:p>
    <w:p w14:paraId="5D24C231" w14:textId="1D212C20" w:rsidR="0052029E" w:rsidRPr="00AE4E76" w:rsidRDefault="0052029E" w:rsidP="002556F1">
      <w:pPr>
        <w:pStyle w:val="ListParagraph"/>
        <w:numPr>
          <w:ilvl w:val="2"/>
          <w:numId w:val="109"/>
        </w:numPr>
        <w:jc w:val="both"/>
        <w:rPr>
          <w:rFonts w:ascii="Calibri" w:hAnsi="Calibri" w:cs="Calibri"/>
          <w:color w:val="auto"/>
          <w:sz w:val="22"/>
          <w:u w:val="single"/>
          <w:lang w:val="en-US"/>
        </w:rPr>
      </w:pPr>
      <w:r w:rsidRPr="00AE4E76">
        <w:rPr>
          <w:rFonts w:ascii="Calibri" w:hAnsi="Calibri" w:cs="Calibri"/>
          <w:color w:val="auto"/>
          <w:sz w:val="22"/>
          <w:u w:val="single"/>
          <w:lang w:val="en-US"/>
        </w:rPr>
        <w:t xml:space="preserve">Investment vehicles created by </w:t>
      </w:r>
      <w:r w:rsidR="00AE4E76" w:rsidRPr="00AE4E76">
        <w:rPr>
          <w:rFonts w:ascii="Calibri" w:hAnsi="Calibri" w:cs="Calibri"/>
          <w:color w:val="auto"/>
          <w:sz w:val="22"/>
          <w:u w:val="single"/>
          <w:lang w:val="en-US"/>
        </w:rPr>
        <w:t>the last 2 categories</w:t>
      </w:r>
    </w:p>
    <w:p w14:paraId="3AECD92F" w14:textId="35FF78B3" w:rsidR="00AE4E76" w:rsidRPr="00AE4E76" w:rsidRDefault="00AE4E76" w:rsidP="002556F1">
      <w:pPr>
        <w:pStyle w:val="ListParagraph"/>
        <w:numPr>
          <w:ilvl w:val="2"/>
          <w:numId w:val="109"/>
        </w:numPr>
        <w:jc w:val="both"/>
        <w:rPr>
          <w:rFonts w:ascii="Calibri" w:hAnsi="Calibri" w:cs="Calibri"/>
          <w:color w:val="auto"/>
          <w:sz w:val="22"/>
          <w:u w:val="single"/>
          <w:lang w:val="en-US"/>
        </w:rPr>
      </w:pPr>
      <w:r w:rsidRPr="00AE4E76">
        <w:rPr>
          <w:rFonts w:ascii="Calibri" w:hAnsi="Calibri" w:cs="Calibri"/>
          <w:color w:val="auto"/>
          <w:sz w:val="22"/>
          <w:u w:val="single"/>
          <w:lang w:val="en-US"/>
        </w:rPr>
        <w:t>Singapore Government entities</w:t>
      </w:r>
    </w:p>
    <w:p w14:paraId="6FB3E39F" w14:textId="516F2596" w:rsidR="00C53DAC" w:rsidRDefault="00E675CB" w:rsidP="0095746C">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lastRenderedPageBreak/>
        <w:t xml:space="preserve">On a </w:t>
      </w:r>
      <w:r w:rsidRPr="0092264F">
        <w:rPr>
          <w:rFonts w:ascii="Calibri" w:hAnsi="Calibri" w:cs="Calibri"/>
          <w:color w:val="auto"/>
          <w:sz w:val="22"/>
          <w:u w:val="single"/>
          <w:lang w:val="en-US"/>
        </w:rPr>
        <w:t>periodic basis</w:t>
      </w:r>
      <w:r>
        <w:rPr>
          <w:rFonts w:ascii="Calibri" w:hAnsi="Calibri" w:cs="Calibri"/>
          <w:color w:val="auto"/>
          <w:sz w:val="22"/>
          <w:lang w:val="en-US"/>
        </w:rPr>
        <w:t xml:space="preserve">, the </w:t>
      </w:r>
      <w:r w:rsidR="004239D8">
        <w:rPr>
          <w:rFonts w:ascii="Calibri" w:hAnsi="Calibri" w:cs="Calibri"/>
          <w:color w:val="auto"/>
          <w:sz w:val="22"/>
          <w:lang w:val="en-US"/>
        </w:rPr>
        <w:t>CMI/</w:t>
      </w:r>
      <w:r w:rsidR="00B72D51">
        <w:rPr>
          <w:rFonts w:ascii="Calibri" w:hAnsi="Calibri" w:cs="Calibri"/>
          <w:color w:val="auto"/>
          <w:sz w:val="22"/>
          <w:lang w:val="en-US"/>
        </w:rPr>
        <w:t>LFMC</w:t>
      </w:r>
      <w:r>
        <w:rPr>
          <w:rFonts w:ascii="Calibri" w:hAnsi="Calibri" w:cs="Calibri"/>
          <w:color w:val="auto"/>
          <w:sz w:val="22"/>
          <w:lang w:val="en-US"/>
        </w:rPr>
        <w:t xml:space="preserve"> should also </w:t>
      </w:r>
      <w:r w:rsidR="00141054">
        <w:rPr>
          <w:rFonts w:ascii="Calibri" w:hAnsi="Calibri" w:cs="Calibri"/>
          <w:color w:val="auto"/>
          <w:sz w:val="22"/>
          <w:lang w:val="en-US"/>
        </w:rPr>
        <w:t>(</w:t>
      </w:r>
      <w:proofErr w:type="spellStart"/>
      <w:r w:rsidR="00141054">
        <w:rPr>
          <w:rFonts w:ascii="Calibri" w:hAnsi="Calibri" w:cs="Calibri"/>
          <w:color w:val="auto"/>
          <w:sz w:val="22"/>
          <w:lang w:val="en-US"/>
        </w:rPr>
        <w:t>i</w:t>
      </w:r>
      <w:proofErr w:type="spellEnd"/>
      <w:r w:rsidR="00141054">
        <w:rPr>
          <w:rFonts w:ascii="Calibri" w:hAnsi="Calibri" w:cs="Calibri"/>
          <w:color w:val="auto"/>
          <w:sz w:val="22"/>
          <w:lang w:val="en-US"/>
        </w:rPr>
        <w:t xml:space="preserve">) </w:t>
      </w:r>
      <w:r w:rsidRPr="0092264F">
        <w:rPr>
          <w:rFonts w:ascii="Calibri" w:hAnsi="Calibri" w:cs="Calibri"/>
          <w:color w:val="auto"/>
          <w:sz w:val="22"/>
          <w:u w:val="single"/>
          <w:lang w:val="en-US"/>
        </w:rPr>
        <w:t xml:space="preserve">screen </w:t>
      </w:r>
      <w:r w:rsidR="00286227" w:rsidRPr="0092264F">
        <w:rPr>
          <w:rFonts w:ascii="Calibri" w:hAnsi="Calibri" w:cs="Calibri"/>
          <w:color w:val="auto"/>
          <w:sz w:val="22"/>
          <w:u w:val="single"/>
          <w:lang w:val="en-US"/>
        </w:rPr>
        <w:t xml:space="preserve">the customer </w:t>
      </w:r>
      <w:r w:rsidR="00B74E32" w:rsidRPr="0092264F">
        <w:rPr>
          <w:rFonts w:ascii="Calibri" w:hAnsi="Calibri" w:cs="Calibri"/>
          <w:color w:val="auto"/>
          <w:sz w:val="22"/>
          <w:u w:val="single"/>
          <w:lang w:val="en-US"/>
        </w:rPr>
        <w:t>against the latest list of designated individuals and entities</w:t>
      </w:r>
      <w:r w:rsidR="00141054">
        <w:rPr>
          <w:rFonts w:ascii="Calibri" w:hAnsi="Calibri" w:cs="Calibri"/>
          <w:color w:val="auto"/>
          <w:sz w:val="22"/>
          <w:lang w:val="en-US"/>
        </w:rPr>
        <w:t>, (ii</w:t>
      </w:r>
      <w:r w:rsidR="00141054" w:rsidRPr="0092264F">
        <w:rPr>
          <w:rFonts w:ascii="Calibri" w:hAnsi="Calibri" w:cs="Calibri"/>
          <w:color w:val="auto"/>
          <w:sz w:val="22"/>
          <w:u w:val="single"/>
          <w:lang w:val="en-US"/>
        </w:rPr>
        <w:t xml:space="preserve">) </w:t>
      </w:r>
      <w:r w:rsidRPr="0092264F">
        <w:rPr>
          <w:rFonts w:ascii="Calibri" w:hAnsi="Calibri" w:cs="Calibri"/>
          <w:color w:val="auto"/>
          <w:sz w:val="22"/>
          <w:u w:val="single"/>
          <w:lang w:val="en-US"/>
        </w:rPr>
        <w:t>monitor</w:t>
      </w:r>
      <w:r w:rsidR="00286227" w:rsidRPr="0092264F">
        <w:rPr>
          <w:rFonts w:ascii="Calibri" w:hAnsi="Calibri" w:cs="Calibri"/>
          <w:color w:val="auto"/>
          <w:sz w:val="22"/>
          <w:u w:val="single"/>
          <w:lang w:val="en-US"/>
        </w:rPr>
        <w:t xml:space="preserve"> any changes/updates in customers’ status or risks</w:t>
      </w:r>
      <w:r w:rsidR="00141054">
        <w:rPr>
          <w:rFonts w:ascii="Calibri" w:hAnsi="Calibri" w:cs="Calibri"/>
          <w:color w:val="auto"/>
          <w:sz w:val="22"/>
          <w:lang w:val="en-US"/>
        </w:rPr>
        <w:t xml:space="preserve"> (e.g., change in connected parties)</w:t>
      </w:r>
      <w:r w:rsidR="00286227">
        <w:rPr>
          <w:rFonts w:ascii="Calibri" w:hAnsi="Calibri" w:cs="Calibri"/>
          <w:color w:val="auto"/>
          <w:sz w:val="22"/>
          <w:lang w:val="en-US"/>
        </w:rPr>
        <w:t xml:space="preserve">, </w:t>
      </w:r>
      <w:r w:rsidR="00141054">
        <w:rPr>
          <w:rFonts w:ascii="Calibri" w:hAnsi="Calibri" w:cs="Calibri"/>
          <w:color w:val="auto"/>
          <w:sz w:val="22"/>
          <w:lang w:val="en-US"/>
        </w:rPr>
        <w:t xml:space="preserve">and (iii) </w:t>
      </w:r>
      <w:r w:rsidR="00286227" w:rsidRPr="0092264F">
        <w:rPr>
          <w:rFonts w:ascii="Calibri" w:hAnsi="Calibri" w:cs="Calibri"/>
          <w:color w:val="auto"/>
          <w:sz w:val="22"/>
          <w:u w:val="single"/>
          <w:lang w:val="en-US"/>
        </w:rPr>
        <w:t>assess whether to impose additional ML/TF risk mitigation measures</w:t>
      </w:r>
      <w:r w:rsidR="00286227">
        <w:rPr>
          <w:rFonts w:ascii="Calibri" w:hAnsi="Calibri" w:cs="Calibri"/>
          <w:color w:val="auto"/>
          <w:sz w:val="22"/>
          <w:lang w:val="en-US"/>
        </w:rPr>
        <w:t xml:space="preserve">. </w:t>
      </w:r>
      <w:r>
        <w:rPr>
          <w:rFonts w:ascii="Calibri" w:hAnsi="Calibri" w:cs="Calibri"/>
          <w:color w:val="auto"/>
          <w:sz w:val="22"/>
          <w:lang w:val="en-US"/>
        </w:rPr>
        <w:t xml:space="preserve"> </w:t>
      </w:r>
    </w:p>
    <w:p w14:paraId="525C8D42" w14:textId="510FE7A0" w:rsidR="00BB0207" w:rsidRDefault="00826C2C" w:rsidP="003458D4">
      <w:pPr>
        <w:pStyle w:val="ListParagraph"/>
        <w:numPr>
          <w:ilvl w:val="0"/>
          <w:numId w:val="109"/>
        </w:numPr>
        <w:jc w:val="both"/>
        <w:rPr>
          <w:rFonts w:ascii="Calibri" w:hAnsi="Calibri" w:cs="Calibri"/>
          <w:color w:val="auto"/>
          <w:sz w:val="22"/>
          <w:lang w:val="en-US"/>
        </w:rPr>
      </w:pPr>
      <w:r w:rsidRPr="00826C2C">
        <w:rPr>
          <w:rFonts w:ascii="Calibri" w:hAnsi="Calibri" w:cs="Calibri"/>
          <w:b/>
          <w:bCs/>
          <w:color w:val="auto"/>
          <w:sz w:val="22"/>
          <w:lang w:val="en-US"/>
        </w:rPr>
        <w:t>Risk-based Customer Due Diligence (CDD)</w:t>
      </w:r>
      <w:r>
        <w:rPr>
          <w:rFonts w:ascii="Calibri" w:hAnsi="Calibri" w:cs="Calibri"/>
          <w:color w:val="auto"/>
          <w:sz w:val="22"/>
          <w:lang w:val="en-US"/>
        </w:rPr>
        <w:t xml:space="preserve">: </w:t>
      </w:r>
      <w:r w:rsidR="003458D4">
        <w:rPr>
          <w:rFonts w:ascii="Calibri" w:hAnsi="Calibri" w:cs="Calibri"/>
          <w:color w:val="auto"/>
          <w:sz w:val="22"/>
          <w:lang w:val="en-US"/>
        </w:rPr>
        <w:t xml:space="preserve">MAS allows for a </w:t>
      </w:r>
      <w:r w:rsidR="003458D4" w:rsidRPr="00C64280">
        <w:rPr>
          <w:rFonts w:ascii="Calibri" w:hAnsi="Calibri" w:cs="Calibri"/>
          <w:color w:val="auto"/>
          <w:sz w:val="22"/>
          <w:u w:val="single"/>
          <w:lang w:val="en-US"/>
        </w:rPr>
        <w:t>risk-based approach</w:t>
      </w:r>
      <w:r w:rsidR="003458D4">
        <w:rPr>
          <w:rFonts w:ascii="Calibri" w:hAnsi="Calibri" w:cs="Calibri"/>
          <w:color w:val="auto"/>
          <w:sz w:val="22"/>
          <w:lang w:val="en-US"/>
        </w:rPr>
        <w:t xml:space="preserve"> to be adopted by CMIs</w:t>
      </w:r>
      <w:r w:rsidR="004239D8">
        <w:rPr>
          <w:rFonts w:ascii="Calibri" w:hAnsi="Calibri" w:cs="Calibri"/>
          <w:color w:val="auto"/>
          <w:sz w:val="22"/>
          <w:lang w:val="en-US"/>
        </w:rPr>
        <w:t>/</w:t>
      </w:r>
      <w:r w:rsidR="00B72D51">
        <w:rPr>
          <w:rFonts w:ascii="Calibri" w:hAnsi="Calibri" w:cs="Calibri"/>
          <w:color w:val="auto"/>
          <w:sz w:val="22"/>
          <w:lang w:val="en-US"/>
        </w:rPr>
        <w:t>LFMC</w:t>
      </w:r>
      <w:r w:rsidR="004239D8">
        <w:rPr>
          <w:rFonts w:ascii="Calibri" w:hAnsi="Calibri" w:cs="Calibri"/>
          <w:color w:val="auto"/>
          <w:sz w:val="22"/>
          <w:lang w:val="en-US"/>
        </w:rPr>
        <w:t>s</w:t>
      </w:r>
      <w:r>
        <w:rPr>
          <w:rFonts w:ascii="Calibri" w:hAnsi="Calibri" w:cs="Calibri"/>
          <w:color w:val="auto"/>
          <w:sz w:val="22"/>
          <w:lang w:val="en-US"/>
        </w:rPr>
        <w:t>, i.e., Risk-based CDD</w:t>
      </w:r>
      <w:r w:rsidR="003458D4">
        <w:rPr>
          <w:rFonts w:ascii="Calibri" w:hAnsi="Calibri" w:cs="Calibri"/>
          <w:color w:val="auto"/>
          <w:sz w:val="22"/>
          <w:lang w:val="en-US"/>
        </w:rPr>
        <w:t xml:space="preserve">. </w:t>
      </w:r>
      <w:r w:rsidR="00C64280">
        <w:rPr>
          <w:rFonts w:ascii="Calibri" w:hAnsi="Calibri" w:cs="Calibri"/>
          <w:color w:val="auto"/>
          <w:sz w:val="22"/>
          <w:lang w:val="en-US"/>
        </w:rPr>
        <w:t xml:space="preserve">Under this approach, </w:t>
      </w:r>
      <w:r w:rsidR="003458D4">
        <w:rPr>
          <w:rFonts w:ascii="Calibri" w:hAnsi="Calibri" w:cs="Calibri"/>
          <w:color w:val="auto"/>
          <w:sz w:val="22"/>
          <w:lang w:val="en-US"/>
        </w:rPr>
        <w:t>CMIs</w:t>
      </w:r>
      <w:r w:rsidR="00C64280">
        <w:rPr>
          <w:rFonts w:ascii="Calibri" w:hAnsi="Calibri" w:cs="Calibri"/>
          <w:color w:val="auto"/>
          <w:sz w:val="22"/>
          <w:lang w:val="en-US"/>
        </w:rPr>
        <w:t xml:space="preserve"> are required to </w:t>
      </w:r>
      <w:r w:rsidR="00C64280" w:rsidRPr="00C53F48">
        <w:rPr>
          <w:rFonts w:ascii="Calibri" w:hAnsi="Calibri" w:cs="Calibri"/>
          <w:color w:val="auto"/>
          <w:sz w:val="22"/>
          <w:u w:val="single"/>
          <w:lang w:val="en-US"/>
        </w:rPr>
        <w:t>accord risk scores to different customers</w:t>
      </w:r>
      <w:r w:rsidR="00C64280">
        <w:rPr>
          <w:rFonts w:ascii="Calibri" w:hAnsi="Calibri" w:cs="Calibri"/>
          <w:color w:val="auto"/>
          <w:sz w:val="22"/>
          <w:lang w:val="en-US"/>
        </w:rPr>
        <w:t xml:space="preserve"> </w:t>
      </w:r>
      <w:r w:rsidR="00CC21FE">
        <w:rPr>
          <w:rFonts w:ascii="Calibri" w:hAnsi="Calibri" w:cs="Calibri"/>
          <w:color w:val="auto"/>
          <w:sz w:val="22"/>
          <w:lang w:val="en-US"/>
        </w:rPr>
        <w:t>based on their characteristics</w:t>
      </w:r>
      <w:r>
        <w:rPr>
          <w:rFonts w:ascii="Calibri" w:hAnsi="Calibri" w:cs="Calibri"/>
          <w:color w:val="auto"/>
          <w:sz w:val="22"/>
          <w:lang w:val="en-US"/>
        </w:rPr>
        <w:t>.</w:t>
      </w:r>
    </w:p>
    <w:p w14:paraId="691970C6" w14:textId="1A3E9510" w:rsidR="005C6573" w:rsidRDefault="00A67C1F" w:rsidP="00BB0207">
      <w:pPr>
        <w:pStyle w:val="ListParagraph"/>
        <w:numPr>
          <w:ilvl w:val="1"/>
          <w:numId w:val="109"/>
        </w:numPr>
        <w:jc w:val="both"/>
        <w:rPr>
          <w:rFonts w:ascii="Calibri" w:hAnsi="Calibri" w:cs="Calibri"/>
          <w:color w:val="auto"/>
          <w:sz w:val="22"/>
          <w:lang w:val="en-US"/>
        </w:rPr>
      </w:pPr>
      <w:r w:rsidRPr="00A67C1F">
        <w:rPr>
          <w:rFonts w:ascii="Calibri" w:hAnsi="Calibri" w:cs="Calibri"/>
          <w:b/>
          <w:bCs/>
          <w:color w:val="auto"/>
          <w:sz w:val="22"/>
          <w:lang w:val="en-US"/>
        </w:rPr>
        <w:t>Politically Exposed Person</w:t>
      </w:r>
      <w:r>
        <w:rPr>
          <w:rFonts w:ascii="Calibri" w:hAnsi="Calibri" w:cs="Calibri"/>
          <w:color w:val="auto"/>
          <w:sz w:val="22"/>
          <w:lang w:val="en-US"/>
        </w:rPr>
        <w:t xml:space="preserve"> </w:t>
      </w:r>
      <w:r w:rsidRPr="00A67C1F">
        <w:rPr>
          <w:rFonts w:ascii="Calibri" w:hAnsi="Calibri" w:cs="Calibri"/>
          <w:b/>
          <w:bCs/>
          <w:color w:val="auto"/>
          <w:sz w:val="22"/>
          <w:lang w:val="en-US"/>
        </w:rPr>
        <w:t>(PEP)</w:t>
      </w:r>
      <w:r w:rsidR="00C24328">
        <w:rPr>
          <w:rFonts w:ascii="Calibri" w:hAnsi="Calibri" w:cs="Calibri"/>
          <w:b/>
          <w:bCs/>
          <w:color w:val="auto"/>
          <w:sz w:val="22"/>
          <w:lang w:val="en-US"/>
        </w:rPr>
        <w:t>, including Singapore PEP</w:t>
      </w:r>
      <w:r>
        <w:rPr>
          <w:rFonts w:ascii="Calibri" w:hAnsi="Calibri" w:cs="Calibri"/>
          <w:color w:val="auto"/>
          <w:sz w:val="22"/>
          <w:lang w:val="en-US"/>
        </w:rPr>
        <w:t xml:space="preserve">: </w:t>
      </w:r>
      <w:r w:rsidRPr="00E91635">
        <w:rPr>
          <w:rFonts w:ascii="Calibri" w:hAnsi="Calibri" w:cs="Calibri"/>
          <w:color w:val="auto"/>
          <w:sz w:val="22"/>
          <w:u w:val="single"/>
          <w:lang w:val="en-US"/>
        </w:rPr>
        <w:t>Accorded high risk</w:t>
      </w:r>
      <w:r>
        <w:rPr>
          <w:rFonts w:ascii="Calibri" w:hAnsi="Calibri" w:cs="Calibri"/>
          <w:color w:val="auto"/>
          <w:sz w:val="22"/>
          <w:lang w:val="en-US"/>
        </w:rPr>
        <w:t>.</w:t>
      </w:r>
    </w:p>
    <w:p w14:paraId="1D50E824" w14:textId="427C889F" w:rsidR="00B10036" w:rsidRPr="005C6573" w:rsidRDefault="00B10036" w:rsidP="00B10036">
      <w:pPr>
        <w:pStyle w:val="ListParagraph"/>
        <w:numPr>
          <w:ilvl w:val="2"/>
          <w:numId w:val="109"/>
        </w:numPr>
        <w:jc w:val="both"/>
        <w:rPr>
          <w:rFonts w:ascii="Calibri" w:hAnsi="Calibri" w:cs="Calibri"/>
          <w:color w:val="auto"/>
          <w:sz w:val="22"/>
          <w:lang w:val="en-US"/>
        </w:rPr>
      </w:pPr>
      <w:r>
        <w:rPr>
          <w:rFonts w:ascii="Calibri" w:hAnsi="Calibri" w:cs="Calibri"/>
          <w:b/>
          <w:bCs/>
          <w:color w:val="auto"/>
          <w:sz w:val="22"/>
          <w:lang w:val="en-US"/>
        </w:rPr>
        <w:t>Note #1</w:t>
      </w:r>
      <w:r w:rsidRPr="00B10036">
        <w:rPr>
          <w:rFonts w:ascii="Calibri" w:hAnsi="Calibri" w:cs="Calibri"/>
          <w:color w:val="auto"/>
          <w:sz w:val="22"/>
          <w:lang w:val="en-US"/>
        </w:rPr>
        <w:t>:</w:t>
      </w:r>
      <w:r>
        <w:rPr>
          <w:rFonts w:ascii="Calibri" w:hAnsi="Calibri" w:cs="Calibri"/>
          <w:color w:val="auto"/>
          <w:sz w:val="22"/>
          <w:lang w:val="en-US"/>
        </w:rPr>
        <w:t xml:space="preserve"> </w:t>
      </w:r>
      <w:r w:rsidRPr="00081F40">
        <w:rPr>
          <w:rFonts w:ascii="Calibri" w:hAnsi="Calibri" w:cs="Calibri"/>
          <w:color w:val="auto"/>
          <w:sz w:val="22"/>
          <w:u w:val="single"/>
          <w:lang w:val="en-US"/>
        </w:rPr>
        <w:t xml:space="preserve">There is a need to obtain senior management’s approval to </w:t>
      </w:r>
      <w:r w:rsidR="00507BB6" w:rsidRPr="00081F40">
        <w:rPr>
          <w:rFonts w:ascii="Calibri" w:hAnsi="Calibri" w:cs="Calibri"/>
          <w:color w:val="auto"/>
          <w:sz w:val="22"/>
          <w:u w:val="single"/>
          <w:lang w:val="en-US"/>
        </w:rPr>
        <w:t>continue business relations with a customer or BO who is a PEP</w:t>
      </w:r>
      <w:r w:rsidR="00507BB6">
        <w:rPr>
          <w:rFonts w:ascii="Calibri" w:hAnsi="Calibri" w:cs="Calibri"/>
          <w:color w:val="auto"/>
          <w:sz w:val="22"/>
          <w:lang w:val="en-US"/>
        </w:rPr>
        <w:t>.</w:t>
      </w:r>
    </w:p>
    <w:p w14:paraId="2EC7A124" w14:textId="74C7FB10" w:rsidR="00502FBB" w:rsidRDefault="00BB0207" w:rsidP="00BB0207">
      <w:pPr>
        <w:pStyle w:val="ListParagraph"/>
        <w:numPr>
          <w:ilvl w:val="1"/>
          <w:numId w:val="109"/>
        </w:numPr>
        <w:jc w:val="both"/>
        <w:rPr>
          <w:rFonts w:ascii="Calibri" w:hAnsi="Calibri" w:cs="Calibri"/>
          <w:color w:val="auto"/>
          <w:sz w:val="22"/>
          <w:lang w:val="en-US"/>
        </w:rPr>
      </w:pPr>
      <w:r w:rsidRPr="00BB0207">
        <w:rPr>
          <w:rFonts w:ascii="Calibri" w:hAnsi="Calibri" w:cs="Calibri"/>
          <w:b/>
          <w:bCs/>
          <w:color w:val="auto"/>
          <w:sz w:val="22"/>
          <w:lang w:val="en-US"/>
        </w:rPr>
        <w:t>Country Risk Rating</w:t>
      </w:r>
      <w:r>
        <w:rPr>
          <w:rFonts w:ascii="Calibri" w:hAnsi="Calibri" w:cs="Calibri"/>
          <w:color w:val="auto"/>
          <w:sz w:val="22"/>
          <w:lang w:val="en-US"/>
        </w:rPr>
        <w:t>:</w:t>
      </w:r>
      <w:r w:rsidR="003458D4">
        <w:rPr>
          <w:rFonts w:ascii="Calibri" w:hAnsi="Calibri" w:cs="Calibri"/>
          <w:color w:val="auto"/>
          <w:sz w:val="22"/>
          <w:lang w:val="en-US"/>
        </w:rPr>
        <w:t xml:space="preserve"> </w:t>
      </w:r>
      <w:r w:rsidRPr="00502FBB">
        <w:rPr>
          <w:rFonts w:ascii="Calibri" w:hAnsi="Calibri" w:cs="Calibri"/>
          <w:color w:val="auto"/>
          <w:sz w:val="22"/>
          <w:u w:val="single"/>
          <w:lang w:val="en-US"/>
        </w:rPr>
        <w:t xml:space="preserve">North Korea, Myanmar and Iran </w:t>
      </w:r>
      <w:r w:rsidR="00E91635">
        <w:rPr>
          <w:rFonts w:ascii="Calibri" w:hAnsi="Calibri" w:cs="Calibri"/>
          <w:color w:val="auto"/>
          <w:sz w:val="22"/>
          <w:u w:val="single"/>
          <w:lang w:val="en-US"/>
        </w:rPr>
        <w:t xml:space="preserve">are accorded high risk because they </w:t>
      </w:r>
      <w:r w:rsidRPr="00502FBB">
        <w:rPr>
          <w:rFonts w:ascii="Calibri" w:hAnsi="Calibri" w:cs="Calibri"/>
          <w:color w:val="auto"/>
          <w:sz w:val="22"/>
          <w:u w:val="single"/>
          <w:lang w:val="en-US"/>
        </w:rPr>
        <w:t xml:space="preserve">have poor AML/CFT </w:t>
      </w:r>
      <w:r w:rsidR="00502FBB" w:rsidRPr="00502FBB">
        <w:rPr>
          <w:rFonts w:ascii="Calibri" w:hAnsi="Calibri" w:cs="Calibri"/>
          <w:color w:val="auto"/>
          <w:sz w:val="22"/>
          <w:u w:val="single"/>
          <w:lang w:val="en-US"/>
        </w:rPr>
        <w:t>measures and are found in FATF blacklist</w:t>
      </w:r>
      <w:r w:rsidR="00502FBB">
        <w:rPr>
          <w:rFonts w:ascii="Calibri" w:hAnsi="Calibri" w:cs="Calibri"/>
          <w:color w:val="auto"/>
          <w:sz w:val="22"/>
          <w:lang w:val="en-US"/>
        </w:rPr>
        <w:t>.</w:t>
      </w:r>
    </w:p>
    <w:p w14:paraId="06C269BD" w14:textId="4232E315" w:rsidR="001D4ACA" w:rsidRPr="001D4ACA" w:rsidRDefault="00E04A8B" w:rsidP="001D4ACA">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Business Risk Rating</w:t>
      </w:r>
      <w:r w:rsidR="002F305D">
        <w:rPr>
          <w:rFonts w:ascii="Calibri" w:hAnsi="Calibri" w:cs="Calibri"/>
          <w:b/>
          <w:bCs/>
          <w:color w:val="auto"/>
          <w:sz w:val="22"/>
          <w:lang w:val="en-US"/>
        </w:rPr>
        <w:t xml:space="preserve"> that are accorded high-risk</w:t>
      </w:r>
      <w:r w:rsidRPr="00E04A8B">
        <w:rPr>
          <w:rFonts w:ascii="Calibri" w:hAnsi="Calibri" w:cs="Calibri"/>
          <w:color w:val="auto"/>
          <w:sz w:val="22"/>
          <w:lang w:val="en-US"/>
        </w:rPr>
        <w:t>:</w:t>
      </w:r>
      <w:r>
        <w:rPr>
          <w:rFonts w:ascii="Calibri" w:hAnsi="Calibri" w:cs="Calibri"/>
          <w:color w:val="auto"/>
          <w:sz w:val="22"/>
          <w:lang w:val="en-US"/>
        </w:rPr>
        <w:t xml:space="preserve"> </w:t>
      </w:r>
    </w:p>
    <w:p w14:paraId="604AC0C7" w14:textId="39424088" w:rsidR="003C558B" w:rsidRDefault="005017BC" w:rsidP="00147C44">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 xml:space="preserve">Businesses that are </w:t>
      </w:r>
      <w:r w:rsidRPr="00520555">
        <w:rPr>
          <w:rFonts w:ascii="Calibri" w:hAnsi="Calibri" w:cs="Calibri"/>
          <w:color w:val="auto"/>
          <w:sz w:val="22"/>
          <w:u w:val="single"/>
          <w:lang w:val="en-US"/>
        </w:rPr>
        <w:t xml:space="preserve">involved in </w:t>
      </w:r>
      <w:r w:rsidR="00F17CE4" w:rsidRPr="00520555">
        <w:rPr>
          <w:rFonts w:ascii="Calibri" w:hAnsi="Calibri" w:cs="Calibri"/>
          <w:color w:val="auto"/>
          <w:sz w:val="22"/>
          <w:u w:val="single"/>
          <w:lang w:val="en-US"/>
        </w:rPr>
        <w:t>(</w:t>
      </w:r>
      <w:proofErr w:type="spellStart"/>
      <w:r w:rsidR="00F17CE4" w:rsidRPr="00520555">
        <w:rPr>
          <w:rFonts w:ascii="Calibri" w:hAnsi="Calibri" w:cs="Calibri"/>
          <w:color w:val="auto"/>
          <w:sz w:val="22"/>
          <w:u w:val="single"/>
          <w:lang w:val="en-US"/>
        </w:rPr>
        <w:t>i</w:t>
      </w:r>
      <w:proofErr w:type="spellEnd"/>
      <w:r w:rsidR="00F17CE4" w:rsidRPr="00520555">
        <w:rPr>
          <w:rFonts w:ascii="Calibri" w:hAnsi="Calibri" w:cs="Calibri"/>
          <w:color w:val="auto"/>
          <w:sz w:val="22"/>
          <w:u w:val="single"/>
          <w:lang w:val="en-US"/>
        </w:rPr>
        <w:t xml:space="preserve">) </w:t>
      </w:r>
      <w:r w:rsidRPr="00520555">
        <w:rPr>
          <w:rFonts w:ascii="Calibri" w:hAnsi="Calibri" w:cs="Calibri"/>
          <w:color w:val="auto"/>
          <w:sz w:val="22"/>
          <w:u w:val="single"/>
          <w:lang w:val="en-US"/>
        </w:rPr>
        <w:t xml:space="preserve">personal investments, </w:t>
      </w:r>
      <w:r w:rsidR="00F17CE4" w:rsidRPr="00520555">
        <w:rPr>
          <w:rFonts w:ascii="Calibri" w:hAnsi="Calibri" w:cs="Calibri"/>
          <w:color w:val="auto"/>
          <w:sz w:val="22"/>
          <w:u w:val="single"/>
          <w:lang w:val="en-US"/>
        </w:rPr>
        <w:t xml:space="preserve">(ii) </w:t>
      </w:r>
      <w:r w:rsidRPr="00520555">
        <w:rPr>
          <w:rFonts w:ascii="Calibri" w:hAnsi="Calibri" w:cs="Calibri"/>
          <w:color w:val="auto"/>
          <w:sz w:val="22"/>
          <w:u w:val="single"/>
          <w:lang w:val="en-US"/>
        </w:rPr>
        <w:t xml:space="preserve">gambling, </w:t>
      </w:r>
      <w:r w:rsidR="00F17CE4" w:rsidRPr="00520555">
        <w:rPr>
          <w:rFonts w:ascii="Calibri" w:hAnsi="Calibri" w:cs="Calibri"/>
          <w:color w:val="auto"/>
          <w:sz w:val="22"/>
          <w:u w:val="single"/>
          <w:lang w:val="en-US"/>
        </w:rPr>
        <w:t xml:space="preserve">(iii) </w:t>
      </w:r>
      <w:r w:rsidRPr="00520555">
        <w:rPr>
          <w:rFonts w:ascii="Calibri" w:hAnsi="Calibri" w:cs="Calibri"/>
          <w:color w:val="auto"/>
          <w:sz w:val="22"/>
          <w:u w:val="single"/>
          <w:lang w:val="en-US"/>
        </w:rPr>
        <w:t>remittance</w:t>
      </w:r>
      <w:r w:rsidR="00F17CE4" w:rsidRPr="00520555">
        <w:rPr>
          <w:rFonts w:ascii="Calibri" w:hAnsi="Calibri" w:cs="Calibri"/>
          <w:color w:val="auto"/>
          <w:sz w:val="22"/>
          <w:u w:val="single"/>
          <w:lang w:val="en-US"/>
        </w:rPr>
        <w:t>/money</w:t>
      </w:r>
      <w:r w:rsidRPr="00520555">
        <w:rPr>
          <w:rFonts w:ascii="Calibri" w:hAnsi="Calibri" w:cs="Calibri"/>
          <w:color w:val="auto"/>
          <w:sz w:val="22"/>
          <w:u w:val="single"/>
          <w:lang w:val="en-US"/>
        </w:rPr>
        <w:t xml:space="preserve"> services</w:t>
      </w:r>
      <w:r w:rsidR="00F17CE4" w:rsidRPr="00520555">
        <w:rPr>
          <w:rFonts w:ascii="Calibri" w:hAnsi="Calibri" w:cs="Calibri"/>
          <w:color w:val="auto"/>
          <w:sz w:val="22"/>
          <w:u w:val="single"/>
          <w:lang w:val="en-US"/>
        </w:rPr>
        <w:t>, (iv) precious metals/diamonds</w:t>
      </w:r>
      <w:r w:rsidRPr="00520555">
        <w:rPr>
          <w:rFonts w:ascii="Calibri" w:hAnsi="Calibri" w:cs="Calibri"/>
          <w:color w:val="auto"/>
          <w:sz w:val="22"/>
          <w:u w:val="single"/>
          <w:lang w:val="en-US"/>
        </w:rPr>
        <w:t xml:space="preserve"> </w:t>
      </w:r>
      <w:r w:rsidR="00F17CE4" w:rsidRPr="00520555">
        <w:rPr>
          <w:rFonts w:ascii="Calibri" w:hAnsi="Calibri" w:cs="Calibri"/>
          <w:color w:val="auto"/>
          <w:sz w:val="22"/>
          <w:u w:val="single"/>
          <w:lang w:val="en-US"/>
        </w:rPr>
        <w:t xml:space="preserve">and </w:t>
      </w:r>
      <w:r w:rsidR="006E095D" w:rsidRPr="00520555">
        <w:rPr>
          <w:rFonts w:ascii="Calibri" w:hAnsi="Calibri" w:cs="Calibri"/>
          <w:color w:val="auto"/>
          <w:sz w:val="22"/>
          <w:u w:val="single"/>
          <w:lang w:val="en-US"/>
        </w:rPr>
        <w:t xml:space="preserve">(v) </w:t>
      </w:r>
      <w:r w:rsidR="00F17CE4" w:rsidRPr="00520555">
        <w:rPr>
          <w:rFonts w:ascii="Calibri" w:hAnsi="Calibri" w:cs="Calibri"/>
          <w:color w:val="auto"/>
          <w:sz w:val="22"/>
          <w:u w:val="single"/>
          <w:lang w:val="en-US"/>
        </w:rPr>
        <w:t>cash intensive</w:t>
      </w:r>
      <w:r w:rsidR="006E095D" w:rsidRPr="00520555">
        <w:rPr>
          <w:rFonts w:ascii="Calibri" w:hAnsi="Calibri" w:cs="Calibri"/>
          <w:color w:val="auto"/>
          <w:sz w:val="22"/>
          <w:u w:val="single"/>
          <w:lang w:val="en-US"/>
        </w:rPr>
        <w:t xml:space="preserve"> operations (e.g., pawnshop, restaurant, convenience shop, money changers)</w:t>
      </w:r>
      <w:r w:rsidR="00A04561">
        <w:rPr>
          <w:rFonts w:ascii="Calibri" w:hAnsi="Calibri" w:cs="Calibri"/>
          <w:color w:val="auto"/>
          <w:sz w:val="22"/>
          <w:lang w:val="en-US"/>
        </w:rPr>
        <w:t xml:space="preserve"> </w:t>
      </w:r>
    </w:p>
    <w:p w14:paraId="1B919629" w14:textId="2AE9BF07" w:rsidR="00E04A8B" w:rsidRDefault="003C558B" w:rsidP="00147C44">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 xml:space="preserve">Businesses that accept </w:t>
      </w:r>
      <w:r w:rsidRPr="003C558B">
        <w:rPr>
          <w:rFonts w:ascii="Calibri" w:hAnsi="Calibri" w:cs="Calibri"/>
          <w:color w:val="auto"/>
          <w:sz w:val="22"/>
          <w:u w:val="single"/>
          <w:lang w:val="en-US"/>
        </w:rPr>
        <w:t>large cash</w:t>
      </w:r>
      <w:r w:rsidR="00A04561" w:rsidRPr="003C558B">
        <w:rPr>
          <w:rFonts w:ascii="Calibri" w:hAnsi="Calibri" w:cs="Calibri"/>
          <w:color w:val="auto"/>
          <w:sz w:val="22"/>
          <w:u w:val="single"/>
          <w:lang w:val="en-US"/>
        </w:rPr>
        <w:t xml:space="preserve"> payment</w:t>
      </w:r>
      <w:r w:rsidRPr="003C558B">
        <w:rPr>
          <w:rFonts w:ascii="Calibri" w:hAnsi="Calibri" w:cs="Calibri"/>
          <w:color w:val="auto"/>
          <w:sz w:val="22"/>
          <w:u w:val="single"/>
          <w:lang w:val="en-US"/>
        </w:rPr>
        <w:t>, i.e., above $20K</w:t>
      </w:r>
      <w:r>
        <w:rPr>
          <w:rFonts w:ascii="Calibri" w:hAnsi="Calibri" w:cs="Calibri"/>
          <w:color w:val="auto"/>
          <w:sz w:val="22"/>
          <w:lang w:val="en-US"/>
        </w:rPr>
        <w:t>.</w:t>
      </w:r>
    </w:p>
    <w:p w14:paraId="3247F597" w14:textId="3DB27E05" w:rsidR="005D0672" w:rsidRDefault="005D0672" w:rsidP="00147C44">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Businesses that have</w:t>
      </w:r>
      <w:r w:rsidR="00BF4E19">
        <w:rPr>
          <w:rFonts w:ascii="Calibri" w:hAnsi="Calibri" w:cs="Calibri"/>
          <w:color w:val="auto"/>
          <w:sz w:val="22"/>
          <w:lang w:val="en-US"/>
        </w:rPr>
        <w:t xml:space="preserve"> </w:t>
      </w:r>
      <w:r w:rsidR="00BF4E19" w:rsidRPr="00272581">
        <w:rPr>
          <w:rFonts w:ascii="Calibri" w:hAnsi="Calibri" w:cs="Calibri"/>
          <w:color w:val="auto"/>
          <w:sz w:val="22"/>
          <w:u w:val="single"/>
          <w:lang w:val="en-US"/>
        </w:rPr>
        <w:t>an ownership structure that appears unusual</w:t>
      </w:r>
      <w:r w:rsidRPr="00272581">
        <w:rPr>
          <w:rFonts w:ascii="Calibri" w:hAnsi="Calibri" w:cs="Calibri"/>
          <w:color w:val="auto"/>
          <w:sz w:val="22"/>
          <w:u w:val="single"/>
          <w:lang w:val="en-US"/>
        </w:rPr>
        <w:t xml:space="preserve"> or</w:t>
      </w:r>
      <w:r w:rsidRPr="00520555">
        <w:rPr>
          <w:rFonts w:ascii="Calibri" w:hAnsi="Calibri" w:cs="Calibri"/>
          <w:color w:val="auto"/>
          <w:sz w:val="22"/>
          <w:u w:val="single"/>
          <w:lang w:val="en-US"/>
        </w:rPr>
        <w:t xml:space="preserve"> </w:t>
      </w:r>
      <w:r w:rsidR="00272581">
        <w:rPr>
          <w:rFonts w:ascii="Calibri" w:hAnsi="Calibri" w:cs="Calibri"/>
          <w:color w:val="auto"/>
          <w:sz w:val="22"/>
          <w:u w:val="single"/>
          <w:lang w:val="en-US"/>
        </w:rPr>
        <w:t xml:space="preserve">excessively </w:t>
      </w:r>
      <w:r w:rsidRPr="00520555">
        <w:rPr>
          <w:rFonts w:ascii="Calibri" w:hAnsi="Calibri" w:cs="Calibri"/>
          <w:color w:val="auto"/>
          <w:sz w:val="22"/>
          <w:u w:val="single"/>
          <w:lang w:val="en-US"/>
        </w:rPr>
        <w:t>complicated</w:t>
      </w:r>
      <w:r w:rsidR="008227F2">
        <w:rPr>
          <w:rFonts w:ascii="Calibri" w:hAnsi="Calibri" w:cs="Calibri"/>
          <w:color w:val="auto"/>
          <w:sz w:val="22"/>
          <w:lang w:val="en-US"/>
        </w:rPr>
        <w:t>.</w:t>
      </w:r>
    </w:p>
    <w:p w14:paraId="511A6A49" w14:textId="4B308136" w:rsidR="00A45711" w:rsidRDefault="00A45711" w:rsidP="00147C44">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 xml:space="preserve">Companies that have </w:t>
      </w:r>
      <w:r w:rsidRPr="00712E7B">
        <w:rPr>
          <w:rFonts w:ascii="Calibri" w:hAnsi="Calibri" w:cs="Calibri"/>
          <w:color w:val="auto"/>
          <w:sz w:val="22"/>
          <w:u w:val="single"/>
          <w:lang w:val="en-US"/>
        </w:rPr>
        <w:t>nominee shareholders</w:t>
      </w:r>
      <w:r>
        <w:rPr>
          <w:rFonts w:ascii="Calibri" w:hAnsi="Calibri" w:cs="Calibri"/>
          <w:color w:val="auto"/>
          <w:sz w:val="22"/>
          <w:lang w:val="en-US"/>
        </w:rPr>
        <w:t xml:space="preserve"> </w:t>
      </w:r>
      <w:r w:rsidR="00712E7B">
        <w:rPr>
          <w:rFonts w:ascii="Calibri" w:hAnsi="Calibri" w:cs="Calibri"/>
          <w:color w:val="auto"/>
          <w:sz w:val="22"/>
          <w:lang w:val="en-US"/>
        </w:rPr>
        <w:t xml:space="preserve">or </w:t>
      </w:r>
      <w:r w:rsidR="00712E7B" w:rsidRPr="00712E7B">
        <w:rPr>
          <w:rFonts w:ascii="Calibri" w:hAnsi="Calibri" w:cs="Calibri"/>
          <w:color w:val="auto"/>
          <w:sz w:val="22"/>
          <w:u w:val="single"/>
          <w:lang w:val="en-US"/>
        </w:rPr>
        <w:t>shares in bearer form</w:t>
      </w:r>
    </w:p>
    <w:p w14:paraId="19C58187" w14:textId="0A2AB9D1" w:rsidR="000B74D6" w:rsidRDefault="001D4ACA" w:rsidP="00147C44">
      <w:pPr>
        <w:pStyle w:val="ListParagraph"/>
        <w:numPr>
          <w:ilvl w:val="2"/>
          <w:numId w:val="109"/>
        </w:numPr>
        <w:jc w:val="both"/>
        <w:rPr>
          <w:rFonts w:ascii="Calibri" w:hAnsi="Calibri" w:cs="Calibri"/>
          <w:color w:val="auto"/>
          <w:sz w:val="22"/>
          <w:lang w:val="en-US"/>
        </w:rPr>
      </w:pPr>
      <w:r>
        <w:rPr>
          <w:rFonts w:ascii="Calibri" w:hAnsi="Calibri" w:cs="Calibri"/>
          <w:color w:val="auto"/>
          <w:sz w:val="22"/>
          <w:lang w:val="en-US"/>
        </w:rPr>
        <w:t>L</w:t>
      </w:r>
      <w:r w:rsidR="000B74D6">
        <w:rPr>
          <w:rFonts w:ascii="Calibri" w:hAnsi="Calibri" w:cs="Calibri"/>
          <w:color w:val="auto"/>
          <w:sz w:val="22"/>
          <w:lang w:val="en-US"/>
        </w:rPr>
        <w:t xml:space="preserve">egal persons or legal arrangements </w:t>
      </w:r>
      <w:r>
        <w:rPr>
          <w:rFonts w:ascii="Calibri" w:hAnsi="Calibri" w:cs="Calibri"/>
          <w:color w:val="auto"/>
          <w:sz w:val="22"/>
          <w:lang w:val="en-US"/>
        </w:rPr>
        <w:t xml:space="preserve">that are </w:t>
      </w:r>
      <w:r w:rsidRPr="001D4ACA">
        <w:rPr>
          <w:rFonts w:ascii="Calibri" w:hAnsi="Calibri" w:cs="Calibri"/>
          <w:color w:val="auto"/>
          <w:sz w:val="22"/>
          <w:u w:val="single"/>
          <w:lang w:val="en-US"/>
        </w:rPr>
        <w:t>personal asset holding vehicles</w:t>
      </w:r>
      <w:r>
        <w:rPr>
          <w:rFonts w:ascii="Calibri" w:hAnsi="Calibri" w:cs="Calibri"/>
          <w:color w:val="auto"/>
          <w:sz w:val="22"/>
          <w:lang w:val="en-US"/>
        </w:rPr>
        <w:t>.</w:t>
      </w:r>
    </w:p>
    <w:p w14:paraId="3FC20CFB" w14:textId="31AC2748" w:rsidR="00BA3434" w:rsidRDefault="00BA3434" w:rsidP="00147C44">
      <w:pPr>
        <w:pStyle w:val="ListParagraph"/>
        <w:numPr>
          <w:ilvl w:val="2"/>
          <w:numId w:val="109"/>
        </w:numPr>
        <w:jc w:val="both"/>
        <w:rPr>
          <w:rFonts w:ascii="Calibri" w:hAnsi="Calibri" w:cs="Calibri"/>
          <w:color w:val="auto"/>
          <w:sz w:val="22"/>
          <w:lang w:val="en-US"/>
        </w:rPr>
      </w:pPr>
      <w:r w:rsidRPr="00B45443">
        <w:rPr>
          <w:rFonts w:ascii="Calibri" w:hAnsi="Calibri" w:cs="Calibri"/>
          <w:color w:val="auto"/>
          <w:sz w:val="22"/>
          <w:u w:val="single"/>
          <w:lang w:val="en-US"/>
        </w:rPr>
        <w:t>BO of the customer is from a country where FATF has called for counter</w:t>
      </w:r>
      <w:r w:rsidR="00B45443" w:rsidRPr="00B45443">
        <w:rPr>
          <w:rFonts w:ascii="Calibri" w:hAnsi="Calibri" w:cs="Calibri"/>
          <w:color w:val="auto"/>
          <w:sz w:val="22"/>
          <w:u w:val="single"/>
          <w:lang w:val="en-US"/>
        </w:rPr>
        <w:t>measures</w:t>
      </w:r>
      <w:r w:rsidR="00B45443">
        <w:rPr>
          <w:rFonts w:ascii="Calibri" w:hAnsi="Calibri" w:cs="Calibri"/>
          <w:color w:val="auto"/>
          <w:sz w:val="22"/>
          <w:lang w:val="en-US"/>
        </w:rPr>
        <w:t xml:space="preserve"> (i.e., FATF </w:t>
      </w:r>
      <w:proofErr w:type="gramStart"/>
      <w:r w:rsidR="00B45443">
        <w:rPr>
          <w:rFonts w:ascii="Calibri" w:hAnsi="Calibri" w:cs="Calibri"/>
          <w:color w:val="auto"/>
          <w:sz w:val="22"/>
          <w:lang w:val="en-US"/>
        </w:rPr>
        <w:t>blacklist;</w:t>
      </w:r>
      <w:proofErr w:type="gramEnd"/>
      <w:r w:rsidR="00B45443">
        <w:rPr>
          <w:rFonts w:ascii="Calibri" w:hAnsi="Calibri" w:cs="Calibri"/>
          <w:color w:val="auto"/>
          <w:sz w:val="22"/>
          <w:lang w:val="en-US"/>
        </w:rPr>
        <w:t xml:space="preserve"> North Korea, Iran and Myanmar)</w:t>
      </w:r>
    </w:p>
    <w:p w14:paraId="32FD0316" w14:textId="4508DA44" w:rsidR="008227F2" w:rsidRDefault="006A4270" w:rsidP="00147C44">
      <w:pPr>
        <w:pStyle w:val="ListParagraph"/>
        <w:numPr>
          <w:ilvl w:val="2"/>
          <w:numId w:val="109"/>
        </w:numPr>
        <w:jc w:val="both"/>
        <w:rPr>
          <w:rFonts w:ascii="Calibri" w:hAnsi="Calibri" w:cs="Calibri"/>
          <w:color w:val="auto"/>
          <w:sz w:val="22"/>
          <w:lang w:val="en-US"/>
        </w:rPr>
      </w:pPr>
      <w:r w:rsidRPr="005F66CF">
        <w:rPr>
          <w:rFonts w:ascii="Calibri" w:hAnsi="Calibri" w:cs="Calibri"/>
          <w:b/>
          <w:bCs/>
          <w:color w:val="auto"/>
          <w:sz w:val="22"/>
          <w:lang w:val="en-US"/>
        </w:rPr>
        <w:t>Note</w:t>
      </w:r>
      <w:r w:rsidR="00A30AF4" w:rsidRPr="005F66CF">
        <w:rPr>
          <w:rFonts w:ascii="Calibri" w:hAnsi="Calibri" w:cs="Calibri"/>
          <w:b/>
          <w:bCs/>
          <w:color w:val="auto"/>
          <w:sz w:val="22"/>
          <w:lang w:val="en-US"/>
        </w:rPr>
        <w:t xml:space="preserve"> #1</w:t>
      </w:r>
      <w:r>
        <w:rPr>
          <w:rFonts w:ascii="Calibri" w:hAnsi="Calibri" w:cs="Calibri"/>
          <w:color w:val="auto"/>
          <w:sz w:val="22"/>
          <w:lang w:val="en-US"/>
        </w:rPr>
        <w:t xml:space="preserve">: There is a </w:t>
      </w:r>
      <w:r w:rsidRPr="006A4270">
        <w:rPr>
          <w:rFonts w:ascii="Calibri" w:hAnsi="Calibri" w:cs="Calibri"/>
          <w:color w:val="auto"/>
          <w:sz w:val="22"/>
          <w:u w:val="single"/>
          <w:lang w:val="en-US"/>
        </w:rPr>
        <w:t>risk that a</w:t>
      </w:r>
      <w:r w:rsidR="00520555" w:rsidRPr="006A4270">
        <w:rPr>
          <w:rFonts w:ascii="Calibri" w:hAnsi="Calibri" w:cs="Calibri"/>
          <w:color w:val="auto"/>
          <w:sz w:val="22"/>
          <w:u w:val="single"/>
          <w:lang w:val="en-US"/>
        </w:rPr>
        <w:t>ccountants, lawyers, notaries, trustees etc</w:t>
      </w:r>
      <w:r w:rsidRPr="006A4270">
        <w:rPr>
          <w:rFonts w:ascii="Calibri" w:hAnsi="Calibri" w:cs="Calibri"/>
          <w:color w:val="auto"/>
          <w:sz w:val="22"/>
          <w:u w:val="single"/>
          <w:lang w:val="en-US"/>
        </w:rPr>
        <w:t xml:space="preserve">. may become conduits for </w:t>
      </w:r>
      <w:r w:rsidR="00670198">
        <w:rPr>
          <w:rFonts w:ascii="Calibri" w:hAnsi="Calibri" w:cs="Calibri"/>
          <w:color w:val="auto"/>
          <w:sz w:val="22"/>
          <w:u w:val="single"/>
          <w:lang w:val="en-US"/>
        </w:rPr>
        <w:t>ML/TF</w:t>
      </w:r>
      <w:r>
        <w:rPr>
          <w:rFonts w:ascii="Calibri" w:hAnsi="Calibri" w:cs="Calibri"/>
          <w:color w:val="auto"/>
          <w:sz w:val="22"/>
          <w:lang w:val="en-US"/>
        </w:rPr>
        <w:t xml:space="preserve"> (where the BO makes use of their credibility to perform ML/TF</w:t>
      </w:r>
      <w:r w:rsidR="00670198">
        <w:rPr>
          <w:rFonts w:ascii="Calibri" w:hAnsi="Calibri" w:cs="Calibri"/>
          <w:color w:val="auto"/>
          <w:sz w:val="22"/>
          <w:lang w:val="en-US"/>
        </w:rPr>
        <w:t xml:space="preserve"> activities</w:t>
      </w:r>
      <w:r>
        <w:rPr>
          <w:rFonts w:ascii="Calibri" w:hAnsi="Calibri" w:cs="Calibri"/>
          <w:color w:val="auto"/>
          <w:sz w:val="22"/>
          <w:lang w:val="en-US"/>
        </w:rPr>
        <w:t>).</w:t>
      </w:r>
    </w:p>
    <w:p w14:paraId="25FC76B8" w14:textId="06142B01" w:rsidR="00A30AF4" w:rsidRDefault="00A30AF4" w:rsidP="00147C44">
      <w:pPr>
        <w:pStyle w:val="ListParagraph"/>
        <w:numPr>
          <w:ilvl w:val="2"/>
          <w:numId w:val="109"/>
        </w:numPr>
        <w:jc w:val="both"/>
        <w:rPr>
          <w:rFonts w:ascii="Calibri" w:hAnsi="Calibri" w:cs="Calibri"/>
          <w:color w:val="auto"/>
          <w:sz w:val="22"/>
          <w:lang w:val="en-US"/>
        </w:rPr>
      </w:pPr>
      <w:r w:rsidRPr="005F66CF">
        <w:rPr>
          <w:rFonts w:ascii="Calibri" w:hAnsi="Calibri" w:cs="Calibri"/>
          <w:b/>
          <w:bCs/>
          <w:color w:val="auto"/>
          <w:sz w:val="22"/>
          <w:lang w:val="en-US"/>
        </w:rPr>
        <w:t>Note #2</w:t>
      </w:r>
      <w:r>
        <w:rPr>
          <w:rFonts w:ascii="Calibri" w:hAnsi="Calibri" w:cs="Calibri"/>
          <w:color w:val="auto"/>
          <w:sz w:val="22"/>
          <w:lang w:val="en-US"/>
        </w:rPr>
        <w:t xml:space="preserve">: </w:t>
      </w:r>
      <w:r w:rsidRPr="005F66CF">
        <w:rPr>
          <w:rFonts w:ascii="Calibri" w:hAnsi="Calibri" w:cs="Calibri"/>
          <w:color w:val="auto"/>
          <w:sz w:val="22"/>
          <w:u w:val="single"/>
          <w:lang w:val="en-US"/>
        </w:rPr>
        <w:t xml:space="preserve">Businesses involved in the import/export of retail items, shipping etc. can also be used </w:t>
      </w:r>
      <w:r w:rsidR="00670198" w:rsidRPr="005F66CF">
        <w:rPr>
          <w:rFonts w:ascii="Calibri" w:hAnsi="Calibri" w:cs="Calibri"/>
          <w:color w:val="auto"/>
          <w:sz w:val="22"/>
          <w:u w:val="single"/>
          <w:lang w:val="en-US"/>
        </w:rPr>
        <w:t>for trade-based ML</w:t>
      </w:r>
      <w:r w:rsidR="00670198">
        <w:rPr>
          <w:rFonts w:ascii="Calibri" w:hAnsi="Calibri" w:cs="Calibri"/>
          <w:color w:val="auto"/>
          <w:sz w:val="22"/>
          <w:lang w:val="en-US"/>
        </w:rPr>
        <w:t xml:space="preserve"> through false trade pricing, fic</w:t>
      </w:r>
      <w:r w:rsidR="005F66CF">
        <w:rPr>
          <w:rFonts w:ascii="Calibri" w:hAnsi="Calibri" w:cs="Calibri"/>
          <w:color w:val="auto"/>
          <w:sz w:val="22"/>
          <w:lang w:val="en-US"/>
        </w:rPr>
        <w:t>t</w:t>
      </w:r>
      <w:r w:rsidR="00670198">
        <w:rPr>
          <w:rFonts w:ascii="Calibri" w:hAnsi="Calibri" w:cs="Calibri"/>
          <w:color w:val="auto"/>
          <w:sz w:val="22"/>
          <w:lang w:val="en-US"/>
        </w:rPr>
        <w:t>itious invoicing</w:t>
      </w:r>
      <w:r w:rsidR="005F66CF">
        <w:rPr>
          <w:rFonts w:ascii="Calibri" w:hAnsi="Calibri" w:cs="Calibri"/>
          <w:color w:val="auto"/>
          <w:sz w:val="22"/>
          <w:lang w:val="en-US"/>
        </w:rPr>
        <w:t xml:space="preserve"> etc.</w:t>
      </w:r>
    </w:p>
    <w:p w14:paraId="3EAC389E" w14:textId="5E48DF07" w:rsidR="00C53F48" w:rsidRDefault="00C53F48" w:rsidP="00FC074B">
      <w:pPr>
        <w:pStyle w:val="ListParagraph"/>
        <w:numPr>
          <w:ilvl w:val="0"/>
          <w:numId w:val="109"/>
        </w:numPr>
        <w:jc w:val="both"/>
        <w:rPr>
          <w:rFonts w:ascii="Calibri" w:hAnsi="Calibri" w:cs="Calibri"/>
          <w:color w:val="auto"/>
          <w:sz w:val="22"/>
          <w:lang w:val="en-US"/>
        </w:rPr>
      </w:pPr>
      <w:r w:rsidRPr="00516E9F">
        <w:rPr>
          <w:rFonts w:ascii="Calibri" w:hAnsi="Calibri" w:cs="Calibri"/>
          <w:b/>
          <w:bCs/>
          <w:color w:val="auto"/>
          <w:sz w:val="22"/>
          <w:lang w:val="en-US"/>
        </w:rPr>
        <w:t>Simplified CDD</w:t>
      </w:r>
      <w:r w:rsidR="00516E9F">
        <w:rPr>
          <w:rFonts w:ascii="Calibri" w:hAnsi="Calibri" w:cs="Calibri"/>
          <w:color w:val="auto"/>
          <w:sz w:val="22"/>
          <w:lang w:val="en-US"/>
        </w:rPr>
        <w:t>:</w:t>
      </w:r>
      <w:r>
        <w:rPr>
          <w:rFonts w:ascii="Calibri" w:hAnsi="Calibri" w:cs="Calibri"/>
          <w:color w:val="auto"/>
          <w:sz w:val="22"/>
          <w:lang w:val="en-US"/>
        </w:rPr>
        <w:t xml:space="preserve"> </w:t>
      </w:r>
      <w:r w:rsidR="00D36537">
        <w:rPr>
          <w:rFonts w:ascii="Calibri" w:hAnsi="Calibri" w:cs="Calibri"/>
          <w:color w:val="auto"/>
          <w:sz w:val="22"/>
          <w:lang w:val="en-US"/>
        </w:rPr>
        <w:t xml:space="preserve">For those </w:t>
      </w:r>
      <w:r w:rsidR="006458D8" w:rsidRPr="002067D0">
        <w:rPr>
          <w:rFonts w:ascii="Calibri" w:hAnsi="Calibri" w:cs="Calibri"/>
          <w:color w:val="auto"/>
          <w:sz w:val="22"/>
          <w:u w:val="single"/>
          <w:lang w:val="en-US"/>
        </w:rPr>
        <w:t>customers rated as low-risk</w:t>
      </w:r>
      <w:r w:rsidR="006458D8">
        <w:rPr>
          <w:rFonts w:ascii="Calibri" w:hAnsi="Calibri" w:cs="Calibri"/>
          <w:color w:val="auto"/>
          <w:sz w:val="22"/>
          <w:lang w:val="en-US"/>
        </w:rPr>
        <w:t xml:space="preserve"> under the Risk-Based CDD</w:t>
      </w:r>
      <w:r>
        <w:rPr>
          <w:rFonts w:ascii="Calibri" w:hAnsi="Calibri" w:cs="Calibri"/>
          <w:color w:val="auto"/>
          <w:sz w:val="22"/>
          <w:lang w:val="en-US"/>
        </w:rPr>
        <w:t xml:space="preserve">, </w:t>
      </w:r>
      <w:r w:rsidR="00516E9F" w:rsidRPr="002067D0">
        <w:rPr>
          <w:rFonts w:ascii="Calibri" w:hAnsi="Calibri" w:cs="Calibri"/>
          <w:color w:val="auto"/>
          <w:sz w:val="22"/>
          <w:u w:val="single"/>
          <w:lang w:val="en-US"/>
        </w:rPr>
        <w:t xml:space="preserve">Simplified CDD </w:t>
      </w:r>
      <w:r w:rsidRPr="002067D0">
        <w:rPr>
          <w:rFonts w:ascii="Calibri" w:hAnsi="Calibri" w:cs="Calibri"/>
          <w:color w:val="auto"/>
          <w:sz w:val="22"/>
          <w:u w:val="single"/>
          <w:lang w:val="en-US"/>
        </w:rPr>
        <w:t>can be implemented</w:t>
      </w:r>
      <w:r w:rsidR="006458D8">
        <w:rPr>
          <w:rFonts w:ascii="Calibri" w:hAnsi="Calibri" w:cs="Calibri"/>
          <w:color w:val="auto"/>
          <w:sz w:val="22"/>
          <w:lang w:val="en-US"/>
        </w:rPr>
        <w:t>. Notable examples would include</w:t>
      </w:r>
      <w:r w:rsidR="00226B4F">
        <w:rPr>
          <w:rFonts w:ascii="Calibri" w:hAnsi="Calibri" w:cs="Calibri"/>
          <w:color w:val="auto"/>
          <w:sz w:val="22"/>
          <w:lang w:val="en-US"/>
        </w:rPr>
        <w:t xml:space="preserve"> –</w:t>
      </w:r>
    </w:p>
    <w:p w14:paraId="7002BF1B" w14:textId="77777777" w:rsidR="008A47C1" w:rsidRDefault="008A47C1" w:rsidP="008A47C1">
      <w:pPr>
        <w:pStyle w:val="ListParagraph"/>
        <w:numPr>
          <w:ilvl w:val="1"/>
          <w:numId w:val="109"/>
        </w:numPr>
        <w:jc w:val="both"/>
        <w:rPr>
          <w:rFonts w:ascii="Calibri" w:hAnsi="Calibri" w:cs="Calibri"/>
          <w:color w:val="auto"/>
          <w:sz w:val="22"/>
          <w:u w:val="single"/>
          <w:lang w:val="en-US"/>
        </w:rPr>
      </w:pPr>
      <w:r w:rsidRPr="00AE4E76">
        <w:rPr>
          <w:rFonts w:ascii="Calibri" w:hAnsi="Calibri" w:cs="Calibri"/>
          <w:color w:val="auto"/>
          <w:sz w:val="22"/>
          <w:u w:val="single"/>
          <w:lang w:val="en-US"/>
        </w:rPr>
        <w:t>Entity listed under SGX or other foreign exchanges</w:t>
      </w:r>
    </w:p>
    <w:p w14:paraId="49F985E2" w14:textId="77777777" w:rsidR="008A47C1" w:rsidRDefault="008A47C1" w:rsidP="008A47C1">
      <w:pPr>
        <w:pStyle w:val="ListParagraph"/>
        <w:numPr>
          <w:ilvl w:val="1"/>
          <w:numId w:val="109"/>
        </w:numPr>
        <w:jc w:val="both"/>
        <w:rPr>
          <w:rFonts w:ascii="Calibri" w:hAnsi="Calibri" w:cs="Calibri"/>
          <w:color w:val="auto"/>
          <w:sz w:val="22"/>
          <w:u w:val="single"/>
          <w:lang w:val="en-US"/>
        </w:rPr>
      </w:pPr>
      <w:r w:rsidRPr="008A47C1">
        <w:rPr>
          <w:rFonts w:ascii="Calibri" w:hAnsi="Calibri" w:cs="Calibri"/>
          <w:color w:val="auto"/>
          <w:sz w:val="22"/>
          <w:u w:val="single"/>
          <w:lang w:val="en-US"/>
        </w:rPr>
        <w:t>Certain financial institutions supervised by MAS</w:t>
      </w:r>
    </w:p>
    <w:p w14:paraId="01A8A867" w14:textId="77777777" w:rsidR="008A47C1" w:rsidRDefault="008A47C1" w:rsidP="008A47C1">
      <w:pPr>
        <w:pStyle w:val="ListParagraph"/>
        <w:numPr>
          <w:ilvl w:val="1"/>
          <w:numId w:val="109"/>
        </w:numPr>
        <w:jc w:val="both"/>
        <w:rPr>
          <w:rFonts w:ascii="Calibri" w:hAnsi="Calibri" w:cs="Calibri"/>
          <w:color w:val="auto"/>
          <w:sz w:val="22"/>
          <w:u w:val="single"/>
          <w:lang w:val="en-US"/>
        </w:rPr>
      </w:pPr>
      <w:r w:rsidRPr="008A47C1">
        <w:rPr>
          <w:rFonts w:ascii="Calibri" w:hAnsi="Calibri" w:cs="Calibri"/>
          <w:color w:val="auto"/>
          <w:sz w:val="22"/>
          <w:u w:val="single"/>
          <w:lang w:val="en-US"/>
        </w:rPr>
        <w:t>FIs incorporated outside Singapore but subject to AML/CFT requirements consistent with standards set Financial Action Task Force (FATF)</w:t>
      </w:r>
    </w:p>
    <w:p w14:paraId="762A65BB" w14:textId="77777777" w:rsidR="008A47C1" w:rsidRDefault="008A47C1" w:rsidP="008A47C1">
      <w:pPr>
        <w:pStyle w:val="ListParagraph"/>
        <w:numPr>
          <w:ilvl w:val="1"/>
          <w:numId w:val="109"/>
        </w:numPr>
        <w:jc w:val="both"/>
        <w:rPr>
          <w:rFonts w:ascii="Calibri" w:hAnsi="Calibri" w:cs="Calibri"/>
          <w:color w:val="auto"/>
          <w:sz w:val="22"/>
          <w:u w:val="single"/>
          <w:lang w:val="en-US"/>
        </w:rPr>
      </w:pPr>
      <w:r w:rsidRPr="008A47C1">
        <w:rPr>
          <w:rFonts w:ascii="Calibri" w:hAnsi="Calibri" w:cs="Calibri"/>
          <w:color w:val="auto"/>
          <w:sz w:val="22"/>
          <w:u w:val="single"/>
          <w:lang w:val="en-US"/>
        </w:rPr>
        <w:t>Investment vehicles created by the last 2 categories</w:t>
      </w:r>
    </w:p>
    <w:p w14:paraId="73F1A254" w14:textId="045619DA" w:rsidR="008A47C1" w:rsidRPr="008A47C1" w:rsidRDefault="008A47C1" w:rsidP="008A47C1">
      <w:pPr>
        <w:pStyle w:val="ListParagraph"/>
        <w:numPr>
          <w:ilvl w:val="1"/>
          <w:numId w:val="109"/>
        </w:numPr>
        <w:jc w:val="both"/>
        <w:rPr>
          <w:rFonts w:ascii="Calibri" w:hAnsi="Calibri" w:cs="Calibri"/>
          <w:color w:val="auto"/>
          <w:sz w:val="22"/>
          <w:u w:val="single"/>
          <w:lang w:val="en-US"/>
        </w:rPr>
      </w:pPr>
      <w:r w:rsidRPr="008A47C1">
        <w:rPr>
          <w:rFonts w:ascii="Calibri" w:hAnsi="Calibri" w:cs="Calibri"/>
          <w:color w:val="auto"/>
          <w:sz w:val="22"/>
          <w:u w:val="single"/>
          <w:lang w:val="en-US"/>
        </w:rPr>
        <w:t>Singapore Government entities</w:t>
      </w:r>
    </w:p>
    <w:p w14:paraId="49619384" w14:textId="08BB5083" w:rsidR="00226B4F" w:rsidRPr="008A47C1" w:rsidRDefault="002067D0" w:rsidP="008A47C1">
      <w:pPr>
        <w:ind w:left="360"/>
        <w:jc w:val="both"/>
        <w:rPr>
          <w:rFonts w:ascii="Calibri" w:hAnsi="Calibri" w:cs="Calibri"/>
          <w:color w:val="auto"/>
          <w:sz w:val="22"/>
          <w:lang w:val="en-US"/>
        </w:rPr>
      </w:pPr>
      <w:r>
        <w:rPr>
          <w:rFonts w:ascii="Calibri" w:hAnsi="Calibri" w:cs="Calibri"/>
          <w:color w:val="auto"/>
          <w:sz w:val="22"/>
          <w:u w:val="single"/>
          <w:lang w:val="en-US"/>
        </w:rPr>
        <w:t>W</w:t>
      </w:r>
      <w:r w:rsidRPr="00710CA7">
        <w:rPr>
          <w:rFonts w:ascii="Calibri" w:hAnsi="Calibri" w:cs="Calibri"/>
          <w:color w:val="auto"/>
          <w:sz w:val="22"/>
          <w:u w:val="single"/>
          <w:lang w:val="en-US"/>
        </w:rPr>
        <w:t>here a CMI/</w:t>
      </w:r>
      <w:r>
        <w:rPr>
          <w:rFonts w:ascii="Calibri" w:hAnsi="Calibri" w:cs="Calibri"/>
          <w:color w:val="auto"/>
          <w:sz w:val="22"/>
          <w:u w:val="single"/>
          <w:lang w:val="en-US"/>
        </w:rPr>
        <w:t>LFMC</w:t>
      </w:r>
      <w:r w:rsidRPr="00710CA7">
        <w:rPr>
          <w:rFonts w:ascii="Calibri" w:hAnsi="Calibri" w:cs="Calibri"/>
          <w:color w:val="auto"/>
          <w:sz w:val="22"/>
          <w:u w:val="single"/>
          <w:lang w:val="en-US"/>
        </w:rPr>
        <w:t xml:space="preserve"> applies simplified CDD, it shall document the details and perform ongoing monitoring of business relations</w:t>
      </w:r>
      <w:r>
        <w:rPr>
          <w:rFonts w:ascii="Calibri" w:hAnsi="Calibri" w:cs="Calibri"/>
          <w:color w:val="auto"/>
          <w:sz w:val="22"/>
          <w:lang w:val="en-US"/>
        </w:rPr>
        <w:t xml:space="preserve">. </w:t>
      </w:r>
      <w:r w:rsidR="008A47C1">
        <w:rPr>
          <w:rFonts w:ascii="Calibri" w:hAnsi="Calibri" w:cs="Calibri"/>
          <w:color w:val="auto"/>
          <w:sz w:val="22"/>
          <w:lang w:val="en-US"/>
        </w:rPr>
        <w:t>Having said that, if there are reasonable doubts</w:t>
      </w:r>
      <w:r w:rsidR="00050FF2">
        <w:rPr>
          <w:rFonts w:ascii="Calibri" w:hAnsi="Calibri" w:cs="Calibri"/>
          <w:color w:val="auto"/>
          <w:sz w:val="22"/>
          <w:lang w:val="en-US"/>
        </w:rPr>
        <w:t xml:space="preserve">, a full due diligence </w:t>
      </w:r>
      <w:r w:rsidR="00827D7C">
        <w:rPr>
          <w:rFonts w:ascii="Calibri" w:hAnsi="Calibri" w:cs="Calibri"/>
          <w:color w:val="auto"/>
          <w:sz w:val="22"/>
          <w:lang w:val="en-US"/>
        </w:rPr>
        <w:t xml:space="preserve">should still be conducted. </w:t>
      </w:r>
    </w:p>
    <w:p w14:paraId="63C0B232" w14:textId="7D66CAFF" w:rsidR="00516E9F" w:rsidRDefault="008E6788" w:rsidP="00FC074B">
      <w:pPr>
        <w:pStyle w:val="ListParagraph"/>
        <w:numPr>
          <w:ilvl w:val="0"/>
          <w:numId w:val="109"/>
        </w:numPr>
        <w:jc w:val="both"/>
        <w:rPr>
          <w:rFonts w:ascii="Calibri" w:hAnsi="Calibri" w:cs="Calibri"/>
          <w:color w:val="auto"/>
          <w:sz w:val="22"/>
          <w:lang w:val="en-US"/>
        </w:rPr>
      </w:pPr>
      <w:r w:rsidRPr="008E6788">
        <w:rPr>
          <w:rFonts w:ascii="Calibri" w:hAnsi="Calibri" w:cs="Calibri"/>
          <w:b/>
          <w:bCs/>
          <w:color w:val="auto"/>
          <w:sz w:val="22"/>
          <w:lang w:val="en-US"/>
        </w:rPr>
        <w:t>CDD on joint accounts</w:t>
      </w:r>
      <w:r>
        <w:rPr>
          <w:rFonts w:ascii="Calibri" w:hAnsi="Calibri" w:cs="Calibri"/>
          <w:color w:val="auto"/>
          <w:sz w:val="22"/>
          <w:lang w:val="en-US"/>
        </w:rPr>
        <w:t xml:space="preserve">: </w:t>
      </w:r>
      <w:r w:rsidR="00F117F9">
        <w:rPr>
          <w:rFonts w:ascii="Calibri" w:hAnsi="Calibri" w:cs="Calibri"/>
          <w:color w:val="auto"/>
          <w:sz w:val="22"/>
          <w:lang w:val="en-US"/>
        </w:rPr>
        <w:t>CMI/</w:t>
      </w:r>
      <w:r w:rsidR="00B72D51">
        <w:rPr>
          <w:rFonts w:ascii="Calibri" w:hAnsi="Calibri" w:cs="Calibri"/>
          <w:color w:val="auto"/>
          <w:sz w:val="22"/>
          <w:lang w:val="en-US"/>
        </w:rPr>
        <w:t>LFMC</w:t>
      </w:r>
      <w:r w:rsidR="00F117F9">
        <w:rPr>
          <w:rFonts w:ascii="Calibri" w:hAnsi="Calibri" w:cs="Calibri"/>
          <w:color w:val="auto"/>
          <w:sz w:val="22"/>
          <w:lang w:val="en-US"/>
        </w:rPr>
        <w:t xml:space="preserve"> should </w:t>
      </w:r>
      <w:r w:rsidR="00F117F9" w:rsidRPr="00516E9F">
        <w:rPr>
          <w:rFonts w:ascii="Calibri" w:hAnsi="Calibri" w:cs="Calibri"/>
          <w:color w:val="auto"/>
          <w:sz w:val="22"/>
          <w:u w:val="single"/>
          <w:lang w:val="en-US"/>
        </w:rPr>
        <w:t xml:space="preserve">conduct </w:t>
      </w:r>
      <w:r w:rsidR="00902B40" w:rsidRPr="00516E9F">
        <w:rPr>
          <w:rFonts w:ascii="Calibri" w:hAnsi="Calibri" w:cs="Calibri"/>
          <w:color w:val="auto"/>
          <w:sz w:val="22"/>
          <w:u w:val="single"/>
          <w:lang w:val="en-US"/>
        </w:rPr>
        <w:t>due diligence on all joint account holders as if each of them was individually customers of the CMI/</w:t>
      </w:r>
      <w:r w:rsidR="00B72D51">
        <w:rPr>
          <w:rFonts w:ascii="Calibri" w:hAnsi="Calibri" w:cs="Calibri"/>
          <w:color w:val="auto"/>
          <w:sz w:val="22"/>
          <w:u w:val="single"/>
          <w:lang w:val="en-US"/>
        </w:rPr>
        <w:t>LFMC</w:t>
      </w:r>
      <w:r w:rsidR="00902B40">
        <w:rPr>
          <w:rFonts w:ascii="Calibri" w:hAnsi="Calibri" w:cs="Calibri"/>
          <w:color w:val="auto"/>
          <w:sz w:val="22"/>
          <w:lang w:val="en-US"/>
        </w:rPr>
        <w:t xml:space="preserve">. If the joint account holders </w:t>
      </w:r>
      <w:r w:rsidR="00902B40">
        <w:rPr>
          <w:rFonts w:ascii="Calibri" w:hAnsi="Calibri" w:cs="Calibri"/>
          <w:color w:val="auto"/>
          <w:sz w:val="22"/>
          <w:lang w:val="en-US"/>
        </w:rPr>
        <w:lastRenderedPageBreak/>
        <w:t>conspire to break</w:t>
      </w:r>
      <w:r w:rsidR="00752A92">
        <w:rPr>
          <w:rFonts w:ascii="Calibri" w:hAnsi="Calibri" w:cs="Calibri"/>
          <w:color w:val="auto"/>
          <w:sz w:val="22"/>
          <w:lang w:val="en-US"/>
        </w:rPr>
        <w:t xml:space="preserve"> the transaction into smaller transactions (e.g., each transaction falls below $20K), the CMI/</w:t>
      </w:r>
      <w:r w:rsidR="00B72D51">
        <w:rPr>
          <w:rFonts w:ascii="Calibri" w:hAnsi="Calibri" w:cs="Calibri"/>
          <w:color w:val="auto"/>
          <w:sz w:val="22"/>
          <w:lang w:val="en-US"/>
        </w:rPr>
        <w:t>LFMC</w:t>
      </w:r>
      <w:r w:rsidR="00752A92">
        <w:rPr>
          <w:rFonts w:ascii="Calibri" w:hAnsi="Calibri" w:cs="Calibri"/>
          <w:color w:val="auto"/>
          <w:sz w:val="22"/>
          <w:lang w:val="en-US"/>
        </w:rPr>
        <w:t xml:space="preserve"> must aggregate the values </w:t>
      </w:r>
      <w:r w:rsidR="00516E9F">
        <w:rPr>
          <w:rFonts w:ascii="Calibri" w:hAnsi="Calibri" w:cs="Calibri"/>
          <w:color w:val="auto"/>
          <w:sz w:val="22"/>
          <w:lang w:val="en-US"/>
        </w:rPr>
        <w:t xml:space="preserve">for the purpose of AML/CFT and CDD. </w:t>
      </w:r>
    </w:p>
    <w:p w14:paraId="1D069D6B" w14:textId="2790AB9C" w:rsidR="00C30AFF" w:rsidRDefault="008E6788" w:rsidP="00FC074B">
      <w:pPr>
        <w:pStyle w:val="ListParagraph"/>
        <w:numPr>
          <w:ilvl w:val="0"/>
          <w:numId w:val="109"/>
        </w:numPr>
        <w:jc w:val="both"/>
        <w:rPr>
          <w:rFonts w:ascii="Calibri" w:hAnsi="Calibri" w:cs="Calibri"/>
          <w:color w:val="auto"/>
          <w:sz w:val="22"/>
          <w:lang w:val="en-US"/>
        </w:rPr>
      </w:pPr>
      <w:r w:rsidRPr="008E6788">
        <w:rPr>
          <w:rFonts w:ascii="Calibri" w:hAnsi="Calibri" w:cs="Calibri"/>
          <w:b/>
          <w:bCs/>
          <w:color w:val="auto"/>
          <w:sz w:val="22"/>
          <w:lang w:val="en-US"/>
        </w:rPr>
        <w:t>Enhanced CDD</w:t>
      </w:r>
      <w:r>
        <w:rPr>
          <w:rFonts w:ascii="Calibri" w:hAnsi="Calibri" w:cs="Calibri"/>
          <w:color w:val="auto"/>
          <w:sz w:val="22"/>
          <w:lang w:val="en-US"/>
        </w:rPr>
        <w:t xml:space="preserve">: Where the risk score is high, </w:t>
      </w:r>
      <w:r w:rsidRPr="00BB20F6">
        <w:rPr>
          <w:rFonts w:ascii="Calibri" w:hAnsi="Calibri" w:cs="Calibri"/>
          <w:color w:val="auto"/>
          <w:sz w:val="22"/>
          <w:u w:val="single"/>
          <w:lang w:val="en-US"/>
        </w:rPr>
        <w:t>an Enhanced CDD must be carried out</w:t>
      </w:r>
      <w:r w:rsidR="00BB20F6" w:rsidRPr="00BB20F6">
        <w:rPr>
          <w:rFonts w:ascii="Calibri" w:hAnsi="Calibri" w:cs="Calibri"/>
          <w:color w:val="auto"/>
          <w:sz w:val="22"/>
          <w:u w:val="single"/>
          <w:lang w:val="en-US"/>
        </w:rPr>
        <w:t xml:space="preserve"> on an annual basis</w:t>
      </w:r>
      <w:r>
        <w:rPr>
          <w:rFonts w:ascii="Calibri" w:hAnsi="Calibri" w:cs="Calibri"/>
          <w:color w:val="auto"/>
          <w:sz w:val="22"/>
          <w:lang w:val="en-US"/>
        </w:rPr>
        <w:t>.</w:t>
      </w:r>
      <w:r w:rsidR="00AD2383">
        <w:rPr>
          <w:rFonts w:ascii="Calibri" w:hAnsi="Calibri" w:cs="Calibri"/>
          <w:color w:val="auto"/>
          <w:sz w:val="22"/>
          <w:lang w:val="en-US"/>
        </w:rPr>
        <w:t xml:space="preserve"> Under this approach, </w:t>
      </w:r>
      <w:r w:rsidR="00AD2383" w:rsidRPr="005F505B">
        <w:rPr>
          <w:rFonts w:ascii="Calibri" w:hAnsi="Calibri" w:cs="Calibri"/>
          <w:color w:val="auto"/>
          <w:sz w:val="22"/>
          <w:u w:val="single"/>
          <w:lang w:val="en-US"/>
        </w:rPr>
        <w:t>CMI/</w:t>
      </w:r>
      <w:r w:rsidR="00B72D51">
        <w:rPr>
          <w:rFonts w:ascii="Calibri" w:hAnsi="Calibri" w:cs="Calibri"/>
          <w:color w:val="auto"/>
          <w:sz w:val="22"/>
          <w:u w:val="single"/>
          <w:lang w:val="en-US"/>
        </w:rPr>
        <w:t>LFMC</w:t>
      </w:r>
      <w:r w:rsidR="00AD2383" w:rsidRPr="005F505B">
        <w:rPr>
          <w:rFonts w:ascii="Calibri" w:hAnsi="Calibri" w:cs="Calibri"/>
          <w:color w:val="auto"/>
          <w:sz w:val="22"/>
          <w:u w:val="single"/>
          <w:lang w:val="en-US"/>
        </w:rPr>
        <w:t xml:space="preserve"> must take reasonable steps to establish and corroborate their source of wealth</w:t>
      </w:r>
      <w:r w:rsidR="00A84067" w:rsidRPr="005F505B">
        <w:rPr>
          <w:rFonts w:ascii="Calibri" w:hAnsi="Calibri" w:cs="Calibri"/>
          <w:color w:val="auto"/>
          <w:sz w:val="22"/>
          <w:u w:val="single"/>
          <w:lang w:val="en-US"/>
        </w:rPr>
        <w:t>/funds</w:t>
      </w:r>
      <w:r w:rsidR="00AD2383" w:rsidRPr="005F505B">
        <w:rPr>
          <w:rFonts w:ascii="Calibri" w:hAnsi="Calibri" w:cs="Calibri"/>
          <w:color w:val="auto"/>
          <w:sz w:val="22"/>
          <w:u w:val="single"/>
          <w:lang w:val="en-US"/>
        </w:rPr>
        <w:t xml:space="preserve"> </w:t>
      </w:r>
      <w:r w:rsidR="008C40E9" w:rsidRPr="005F505B">
        <w:rPr>
          <w:rFonts w:ascii="Calibri" w:hAnsi="Calibri" w:cs="Calibri"/>
          <w:color w:val="auto"/>
          <w:sz w:val="22"/>
          <w:u w:val="single"/>
          <w:lang w:val="en-US"/>
        </w:rPr>
        <w:t>(</w:t>
      </w:r>
      <w:r w:rsidR="00C30AFF">
        <w:rPr>
          <w:rFonts w:ascii="Calibri" w:hAnsi="Calibri" w:cs="Calibri"/>
          <w:color w:val="auto"/>
          <w:sz w:val="22"/>
          <w:u w:val="single"/>
          <w:lang w:val="en-US"/>
        </w:rPr>
        <w:t>vs.</w:t>
      </w:r>
      <w:r w:rsidR="008C40E9" w:rsidRPr="005F505B">
        <w:rPr>
          <w:rFonts w:ascii="Calibri" w:hAnsi="Calibri" w:cs="Calibri"/>
          <w:color w:val="auto"/>
          <w:sz w:val="22"/>
          <w:u w:val="single"/>
          <w:lang w:val="en-US"/>
        </w:rPr>
        <w:t xml:space="preserve"> not a requirement under</w:t>
      </w:r>
      <w:r w:rsidR="00BB20F6">
        <w:rPr>
          <w:rFonts w:ascii="Calibri" w:hAnsi="Calibri" w:cs="Calibri"/>
          <w:color w:val="auto"/>
          <w:sz w:val="22"/>
          <w:u w:val="single"/>
          <w:lang w:val="en-US"/>
        </w:rPr>
        <w:t xml:space="preserve"> CDD for</w:t>
      </w:r>
      <w:r w:rsidR="008C40E9" w:rsidRPr="005F505B">
        <w:rPr>
          <w:rFonts w:ascii="Calibri" w:hAnsi="Calibri" w:cs="Calibri"/>
          <w:color w:val="auto"/>
          <w:sz w:val="22"/>
          <w:u w:val="single"/>
          <w:lang w:val="en-US"/>
        </w:rPr>
        <w:t xml:space="preserve"> </w:t>
      </w:r>
      <w:r w:rsidR="00BB20F6">
        <w:rPr>
          <w:rFonts w:ascii="Calibri" w:hAnsi="Calibri" w:cs="Calibri"/>
          <w:color w:val="auto"/>
          <w:sz w:val="22"/>
          <w:u w:val="single"/>
          <w:lang w:val="en-US"/>
        </w:rPr>
        <w:t>l</w:t>
      </w:r>
      <w:r w:rsidR="00A84067" w:rsidRPr="005F505B">
        <w:rPr>
          <w:rFonts w:ascii="Calibri" w:hAnsi="Calibri" w:cs="Calibri"/>
          <w:color w:val="auto"/>
          <w:sz w:val="22"/>
          <w:u w:val="single"/>
          <w:lang w:val="en-US"/>
        </w:rPr>
        <w:t>ow-</w:t>
      </w:r>
      <w:r w:rsidR="00BB20F6">
        <w:rPr>
          <w:rFonts w:ascii="Calibri" w:hAnsi="Calibri" w:cs="Calibri"/>
          <w:color w:val="auto"/>
          <w:sz w:val="22"/>
          <w:u w:val="single"/>
          <w:lang w:val="en-US"/>
        </w:rPr>
        <w:t>m</w:t>
      </w:r>
      <w:r w:rsidR="00A84067" w:rsidRPr="005F505B">
        <w:rPr>
          <w:rFonts w:ascii="Calibri" w:hAnsi="Calibri" w:cs="Calibri"/>
          <w:color w:val="auto"/>
          <w:sz w:val="22"/>
          <w:u w:val="single"/>
          <w:lang w:val="en-US"/>
        </w:rPr>
        <w:t xml:space="preserve">edium </w:t>
      </w:r>
      <w:r w:rsidR="00BB20F6">
        <w:rPr>
          <w:rFonts w:ascii="Calibri" w:hAnsi="Calibri" w:cs="Calibri"/>
          <w:color w:val="auto"/>
          <w:sz w:val="22"/>
          <w:u w:val="single"/>
          <w:lang w:val="en-US"/>
        </w:rPr>
        <w:t>r</w:t>
      </w:r>
      <w:r w:rsidR="00A84067" w:rsidRPr="005F505B">
        <w:rPr>
          <w:rFonts w:ascii="Calibri" w:hAnsi="Calibri" w:cs="Calibri"/>
          <w:color w:val="auto"/>
          <w:sz w:val="22"/>
          <w:u w:val="single"/>
          <w:lang w:val="en-US"/>
        </w:rPr>
        <w:t xml:space="preserve">isk </w:t>
      </w:r>
      <w:r w:rsidR="00BB20F6">
        <w:rPr>
          <w:rFonts w:ascii="Calibri" w:hAnsi="Calibri" w:cs="Calibri"/>
          <w:color w:val="auto"/>
          <w:sz w:val="22"/>
          <w:u w:val="single"/>
          <w:lang w:val="en-US"/>
        </w:rPr>
        <w:t>customers</w:t>
      </w:r>
      <w:r w:rsidR="008C40E9" w:rsidRPr="005F505B">
        <w:rPr>
          <w:rFonts w:ascii="Calibri" w:hAnsi="Calibri" w:cs="Calibri"/>
          <w:color w:val="auto"/>
          <w:sz w:val="22"/>
          <w:u w:val="single"/>
          <w:lang w:val="en-US"/>
        </w:rPr>
        <w:t>)</w:t>
      </w:r>
      <w:r w:rsidR="005F505B">
        <w:rPr>
          <w:rFonts w:ascii="Calibri" w:hAnsi="Calibri" w:cs="Calibri"/>
          <w:color w:val="auto"/>
          <w:sz w:val="22"/>
          <w:lang w:val="en-US"/>
        </w:rPr>
        <w:t xml:space="preserve"> </w:t>
      </w:r>
      <w:r w:rsidR="00C30AFF">
        <w:rPr>
          <w:rFonts w:ascii="Calibri" w:hAnsi="Calibri" w:cs="Calibri"/>
          <w:color w:val="auto"/>
          <w:sz w:val="22"/>
          <w:lang w:val="en-US"/>
        </w:rPr>
        <w:t xml:space="preserve">– </w:t>
      </w:r>
    </w:p>
    <w:p w14:paraId="695F47C5" w14:textId="78D96F81" w:rsidR="00C30AFF" w:rsidRDefault="00C30AFF" w:rsidP="00C30AFF">
      <w:pPr>
        <w:pStyle w:val="ListParagraph"/>
        <w:numPr>
          <w:ilvl w:val="1"/>
          <w:numId w:val="109"/>
        </w:numPr>
        <w:jc w:val="both"/>
        <w:rPr>
          <w:rFonts w:ascii="Calibri" w:hAnsi="Calibri" w:cs="Calibri"/>
          <w:color w:val="auto"/>
          <w:sz w:val="22"/>
          <w:lang w:val="en-US"/>
        </w:rPr>
      </w:pPr>
      <w:r>
        <w:rPr>
          <w:rFonts w:ascii="Calibri" w:hAnsi="Calibri" w:cs="Calibri"/>
          <w:color w:val="auto"/>
          <w:sz w:val="22"/>
          <w:u w:val="single"/>
          <w:lang w:val="en-US"/>
        </w:rPr>
        <w:t>O</w:t>
      </w:r>
      <w:r w:rsidRPr="005F505B">
        <w:rPr>
          <w:rFonts w:ascii="Calibri" w:hAnsi="Calibri" w:cs="Calibri"/>
          <w:color w:val="auto"/>
          <w:sz w:val="22"/>
          <w:u w:val="single"/>
          <w:lang w:val="en-US"/>
        </w:rPr>
        <w:t>btain reliable supporting documents</w:t>
      </w:r>
      <w:r w:rsidRPr="00C30AFF">
        <w:rPr>
          <w:rFonts w:ascii="Calibri" w:hAnsi="Calibri" w:cs="Calibri"/>
          <w:color w:val="auto"/>
          <w:sz w:val="22"/>
          <w:lang w:val="en-US"/>
        </w:rPr>
        <w:t xml:space="preserve"> (</w:t>
      </w:r>
      <w:r w:rsidR="0013016F">
        <w:rPr>
          <w:rFonts w:ascii="Calibri" w:hAnsi="Calibri" w:cs="Calibri"/>
          <w:color w:val="auto"/>
          <w:sz w:val="22"/>
          <w:lang w:val="en-US"/>
        </w:rPr>
        <w:t xml:space="preserve">e.g., </w:t>
      </w:r>
      <w:r>
        <w:rPr>
          <w:rFonts w:ascii="Calibri" w:hAnsi="Calibri" w:cs="Calibri"/>
          <w:color w:val="auto"/>
          <w:sz w:val="22"/>
          <w:lang w:val="en-US"/>
        </w:rPr>
        <w:t xml:space="preserve">annual financial statements, </w:t>
      </w:r>
      <w:proofErr w:type="spellStart"/>
      <w:r>
        <w:rPr>
          <w:rFonts w:ascii="Calibri" w:hAnsi="Calibri" w:cs="Calibri"/>
          <w:color w:val="auto"/>
          <w:sz w:val="22"/>
          <w:lang w:val="en-US"/>
        </w:rPr>
        <w:t>payslips</w:t>
      </w:r>
      <w:proofErr w:type="spellEnd"/>
      <w:r w:rsidR="00357DC7">
        <w:rPr>
          <w:rFonts w:ascii="Calibri" w:hAnsi="Calibri" w:cs="Calibri"/>
          <w:color w:val="auto"/>
          <w:sz w:val="22"/>
          <w:lang w:val="en-US"/>
        </w:rPr>
        <w:t xml:space="preserve">, tax returns </w:t>
      </w:r>
      <w:r w:rsidRPr="00C30AFF">
        <w:rPr>
          <w:rFonts w:ascii="Calibri" w:hAnsi="Calibri" w:cs="Calibri"/>
          <w:color w:val="auto"/>
          <w:sz w:val="22"/>
          <w:lang w:val="en-US"/>
        </w:rPr>
        <w:t>etc</w:t>
      </w:r>
      <w:r>
        <w:rPr>
          <w:rFonts w:ascii="Calibri" w:hAnsi="Calibri" w:cs="Calibri"/>
          <w:color w:val="auto"/>
          <w:sz w:val="22"/>
          <w:lang w:val="en-US"/>
        </w:rPr>
        <w:t>.</w:t>
      </w:r>
      <w:r w:rsidRPr="00C30AFF">
        <w:rPr>
          <w:rFonts w:ascii="Calibri" w:hAnsi="Calibri" w:cs="Calibri"/>
          <w:color w:val="auto"/>
          <w:sz w:val="22"/>
          <w:lang w:val="en-US"/>
        </w:rPr>
        <w:t xml:space="preserve">) </w:t>
      </w:r>
      <w:r w:rsidRPr="005F505B">
        <w:rPr>
          <w:rFonts w:ascii="Calibri" w:hAnsi="Calibri" w:cs="Calibri"/>
          <w:color w:val="auto"/>
          <w:sz w:val="22"/>
          <w:u w:val="single"/>
          <w:lang w:val="en-US"/>
        </w:rPr>
        <w:t>from customer</w:t>
      </w:r>
      <w:r w:rsidR="00E2323F" w:rsidRPr="00616924">
        <w:rPr>
          <w:rFonts w:ascii="Calibri" w:hAnsi="Calibri" w:cs="Calibri"/>
          <w:color w:val="auto"/>
          <w:sz w:val="22"/>
          <w:lang w:val="en-US"/>
        </w:rPr>
        <w:t>.</w:t>
      </w:r>
    </w:p>
    <w:p w14:paraId="41CEADEC" w14:textId="136BA23C" w:rsidR="008E6788" w:rsidRDefault="00C30AFF" w:rsidP="00C30AFF">
      <w:pPr>
        <w:pStyle w:val="ListParagraph"/>
        <w:numPr>
          <w:ilvl w:val="1"/>
          <w:numId w:val="109"/>
        </w:numPr>
        <w:jc w:val="both"/>
        <w:rPr>
          <w:rFonts w:ascii="Calibri" w:hAnsi="Calibri" w:cs="Calibri"/>
          <w:color w:val="auto"/>
          <w:sz w:val="22"/>
          <w:lang w:val="en-US"/>
        </w:rPr>
      </w:pPr>
      <w:r w:rsidRPr="00357DC7">
        <w:rPr>
          <w:rFonts w:ascii="Calibri" w:hAnsi="Calibri" w:cs="Calibri"/>
          <w:color w:val="auto"/>
          <w:sz w:val="22"/>
          <w:u w:val="single"/>
          <w:lang w:val="en-US"/>
        </w:rPr>
        <w:t xml:space="preserve">Validate </w:t>
      </w:r>
      <w:r w:rsidR="0013016F" w:rsidRPr="00357DC7">
        <w:rPr>
          <w:rFonts w:ascii="Calibri" w:hAnsi="Calibri" w:cs="Calibri"/>
          <w:color w:val="auto"/>
          <w:sz w:val="22"/>
          <w:u w:val="single"/>
          <w:lang w:val="en-US"/>
        </w:rPr>
        <w:t>abov</w:t>
      </w:r>
      <w:r w:rsidR="006C035E" w:rsidRPr="00357DC7">
        <w:rPr>
          <w:rFonts w:ascii="Calibri" w:hAnsi="Calibri" w:cs="Calibri"/>
          <w:color w:val="auto"/>
          <w:sz w:val="22"/>
          <w:u w:val="single"/>
          <w:lang w:val="en-US"/>
        </w:rPr>
        <w:t>e supporting documents against independent sources</w:t>
      </w:r>
      <w:r w:rsidR="006C035E">
        <w:rPr>
          <w:rFonts w:ascii="Calibri" w:hAnsi="Calibri" w:cs="Calibri"/>
          <w:color w:val="auto"/>
          <w:sz w:val="22"/>
          <w:lang w:val="en-US"/>
        </w:rPr>
        <w:t xml:space="preserve"> of information (e.g., </w:t>
      </w:r>
      <w:r w:rsidR="0013016F">
        <w:rPr>
          <w:rFonts w:ascii="Calibri" w:hAnsi="Calibri" w:cs="Calibri"/>
          <w:color w:val="auto"/>
          <w:sz w:val="22"/>
          <w:lang w:val="en-US"/>
        </w:rPr>
        <w:t xml:space="preserve">financial reports of similar scale companies, </w:t>
      </w:r>
      <w:r w:rsidR="006C035E">
        <w:rPr>
          <w:rFonts w:ascii="Calibri" w:hAnsi="Calibri" w:cs="Calibri"/>
          <w:color w:val="auto"/>
          <w:sz w:val="22"/>
          <w:lang w:val="en-US"/>
        </w:rPr>
        <w:t>salary benchmarking reports</w:t>
      </w:r>
      <w:r>
        <w:rPr>
          <w:rFonts w:ascii="Calibri" w:hAnsi="Calibri" w:cs="Calibri"/>
          <w:color w:val="auto"/>
          <w:sz w:val="22"/>
          <w:lang w:val="en-US"/>
        </w:rPr>
        <w:t>)</w:t>
      </w:r>
      <w:r w:rsidR="00616924">
        <w:rPr>
          <w:rFonts w:ascii="Calibri" w:hAnsi="Calibri" w:cs="Calibri"/>
          <w:color w:val="auto"/>
          <w:sz w:val="22"/>
          <w:lang w:val="en-US"/>
        </w:rPr>
        <w:t>.</w:t>
      </w:r>
    </w:p>
    <w:p w14:paraId="327F1B04" w14:textId="6A76C431" w:rsidR="0013016F" w:rsidRDefault="0013016F" w:rsidP="00C30AFF">
      <w:pPr>
        <w:pStyle w:val="ListParagraph"/>
        <w:numPr>
          <w:ilvl w:val="1"/>
          <w:numId w:val="109"/>
        </w:numPr>
        <w:jc w:val="both"/>
        <w:rPr>
          <w:rFonts w:ascii="Calibri" w:hAnsi="Calibri" w:cs="Calibri"/>
          <w:color w:val="auto"/>
          <w:sz w:val="22"/>
          <w:lang w:val="en-US"/>
        </w:rPr>
      </w:pPr>
      <w:r w:rsidRPr="00357DC7">
        <w:rPr>
          <w:rFonts w:ascii="Calibri" w:hAnsi="Calibri" w:cs="Calibri"/>
          <w:color w:val="auto"/>
          <w:sz w:val="22"/>
          <w:u w:val="single"/>
          <w:lang w:val="en-US"/>
        </w:rPr>
        <w:t xml:space="preserve">Document </w:t>
      </w:r>
      <w:r w:rsidR="00357DC7" w:rsidRPr="00357DC7">
        <w:rPr>
          <w:rFonts w:ascii="Calibri" w:hAnsi="Calibri" w:cs="Calibri"/>
          <w:color w:val="auto"/>
          <w:sz w:val="22"/>
          <w:u w:val="single"/>
          <w:lang w:val="en-US"/>
        </w:rPr>
        <w:t>its assessment</w:t>
      </w:r>
      <w:r w:rsidR="00357DC7">
        <w:rPr>
          <w:rFonts w:ascii="Calibri" w:hAnsi="Calibri" w:cs="Calibri"/>
          <w:color w:val="auto"/>
          <w:sz w:val="22"/>
          <w:lang w:val="en-US"/>
        </w:rPr>
        <w:t xml:space="preserve"> of the plausibility of its customers’ wealth</w:t>
      </w:r>
      <w:r w:rsidR="00E2323F">
        <w:rPr>
          <w:rFonts w:ascii="Calibri" w:hAnsi="Calibri" w:cs="Calibri"/>
          <w:color w:val="auto"/>
          <w:sz w:val="22"/>
          <w:lang w:val="en-US"/>
        </w:rPr>
        <w:t>.</w:t>
      </w:r>
    </w:p>
    <w:p w14:paraId="2C455726" w14:textId="059D6036" w:rsidR="00966A2A" w:rsidRPr="0069351D" w:rsidRDefault="0069351D" w:rsidP="00C30AFF">
      <w:pPr>
        <w:pStyle w:val="ListParagraph"/>
        <w:numPr>
          <w:ilvl w:val="1"/>
          <w:numId w:val="109"/>
        </w:numPr>
        <w:jc w:val="both"/>
        <w:rPr>
          <w:rFonts w:ascii="Calibri" w:hAnsi="Calibri" w:cs="Calibri"/>
          <w:color w:val="auto"/>
          <w:sz w:val="22"/>
          <w:lang w:val="en-US"/>
        </w:rPr>
      </w:pPr>
      <w:r w:rsidRPr="00FF7743">
        <w:rPr>
          <w:rFonts w:ascii="Calibri" w:hAnsi="Calibri" w:cs="Calibri"/>
          <w:color w:val="auto"/>
          <w:sz w:val="22"/>
          <w:u w:val="single"/>
          <w:lang w:val="en-US"/>
        </w:rPr>
        <w:t xml:space="preserve">After </w:t>
      </w:r>
      <w:r w:rsidR="00FF7743" w:rsidRPr="00FF7743">
        <w:rPr>
          <w:rFonts w:ascii="Calibri" w:hAnsi="Calibri" w:cs="Calibri"/>
          <w:color w:val="auto"/>
          <w:sz w:val="22"/>
          <w:u w:val="single"/>
          <w:lang w:val="en-US"/>
        </w:rPr>
        <w:t xml:space="preserve">high-risk </w:t>
      </w:r>
      <w:r w:rsidRPr="00FF7743">
        <w:rPr>
          <w:rFonts w:ascii="Calibri" w:hAnsi="Calibri" w:cs="Calibri"/>
          <w:color w:val="auto"/>
          <w:sz w:val="22"/>
          <w:u w:val="single"/>
          <w:lang w:val="en-US"/>
        </w:rPr>
        <w:t>client onboarding, continue with enhanced monitoring procedures</w:t>
      </w:r>
      <w:r w:rsidR="00FF7743">
        <w:rPr>
          <w:rFonts w:ascii="Calibri" w:hAnsi="Calibri" w:cs="Calibri"/>
          <w:color w:val="auto"/>
          <w:sz w:val="22"/>
          <w:u w:val="single"/>
          <w:lang w:val="en-US"/>
        </w:rPr>
        <w:t xml:space="preserve"> on an ongoing basis</w:t>
      </w:r>
      <w:r w:rsidRPr="0069351D">
        <w:rPr>
          <w:rFonts w:ascii="Calibri" w:hAnsi="Calibri" w:cs="Calibri"/>
          <w:color w:val="auto"/>
          <w:sz w:val="22"/>
          <w:lang w:val="en-US"/>
        </w:rPr>
        <w:t>.</w:t>
      </w:r>
    </w:p>
    <w:p w14:paraId="002FF932" w14:textId="7351DBF2" w:rsidR="006D07E7" w:rsidRPr="00455BF0" w:rsidRDefault="006211F2" w:rsidP="00455BF0">
      <w:pPr>
        <w:pStyle w:val="ListParagraph"/>
        <w:numPr>
          <w:ilvl w:val="0"/>
          <w:numId w:val="109"/>
        </w:numPr>
        <w:jc w:val="both"/>
        <w:rPr>
          <w:rFonts w:ascii="Calibri" w:hAnsi="Calibri" w:cs="Calibri"/>
          <w:color w:val="auto"/>
          <w:sz w:val="22"/>
          <w:lang w:val="en-US"/>
        </w:rPr>
      </w:pPr>
      <w:r w:rsidRPr="006211F2">
        <w:rPr>
          <w:rFonts w:ascii="Calibri" w:hAnsi="Calibri" w:cs="Calibri"/>
          <w:b/>
          <w:bCs/>
          <w:color w:val="auto"/>
          <w:sz w:val="22"/>
          <w:lang w:val="en-US"/>
        </w:rPr>
        <w:t>Retention</w:t>
      </w:r>
      <w:r>
        <w:rPr>
          <w:rFonts w:ascii="Calibri" w:hAnsi="Calibri" w:cs="Calibri"/>
          <w:color w:val="auto"/>
          <w:sz w:val="22"/>
          <w:lang w:val="en-US"/>
        </w:rPr>
        <w:t xml:space="preserve">: </w:t>
      </w:r>
      <w:r w:rsidR="006D07E7" w:rsidRPr="00A47DF0">
        <w:rPr>
          <w:rFonts w:ascii="Calibri" w:hAnsi="Calibri" w:cs="Calibri"/>
          <w:color w:val="auto"/>
          <w:sz w:val="22"/>
          <w:u w:val="single"/>
          <w:lang w:val="en-US"/>
        </w:rPr>
        <w:t xml:space="preserve">All documents of checks and transactions </w:t>
      </w:r>
      <w:r w:rsidR="00455BF0">
        <w:rPr>
          <w:rFonts w:ascii="Calibri" w:hAnsi="Calibri" w:cs="Calibri"/>
          <w:color w:val="auto"/>
          <w:sz w:val="22"/>
          <w:u w:val="single"/>
          <w:lang w:val="en-US"/>
        </w:rPr>
        <w:t xml:space="preserve">(i.e., </w:t>
      </w:r>
      <w:r w:rsidR="00455BF0" w:rsidRPr="00E6452C">
        <w:rPr>
          <w:rFonts w:ascii="Calibri" w:hAnsi="Calibri" w:cs="Calibri"/>
          <w:color w:val="auto"/>
          <w:sz w:val="22"/>
          <w:u w:val="single"/>
          <w:lang w:val="en-US"/>
        </w:rPr>
        <w:t>Financial Transaction Documents (FTDs)</w:t>
      </w:r>
      <w:r w:rsidR="00455BF0">
        <w:rPr>
          <w:rFonts w:ascii="Calibri" w:hAnsi="Calibri" w:cs="Calibri"/>
          <w:color w:val="auto"/>
          <w:sz w:val="22"/>
          <w:u w:val="single"/>
          <w:lang w:val="en-US"/>
        </w:rPr>
        <w:t xml:space="preserve">) </w:t>
      </w:r>
      <w:r w:rsidR="006D07E7" w:rsidRPr="00A47DF0">
        <w:rPr>
          <w:rFonts w:ascii="Calibri" w:hAnsi="Calibri" w:cs="Calibri"/>
          <w:color w:val="auto"/>
          <w:sz w:val="22"/>
          <w:u w:val="single"/>
          <w:lang w:val="en-US"/>
        </w:rPr>
        <w:t>with customers</w:t>
      </w:r>
      <w:r w:rsidR="006D07E7">
        <w:rPr>
          <w:rFonts w:ascii="Calibri" w:hAnsi="Calibri" w:cs="Calibri"/>
          <w:color w:val="auto"/>
          <w:sz w:val="22"/>
          <w:lang w:val="en-US"/>
        </w:rPr>
        <w:t xml:space="preserve"> </w:t>
      </w:r>
      <w:r w:rsidR="00ED5658">
        <w:rPr>
          <w:rFonts w:ascii="Calibri" w:hAnsi="Calibri" w:cs="Calibri"/>
          <w:color w:val="auto"/>
          <w:sz w:val="22"/>
          <w:lang w:val="en-US"/>
        </w:rPr>
        <w:t xml:space="preserve">should be kept for audit purposes and </w:t>
      </w:r>
      <w:r w:rsidR="00ED5658" w:rsidRPr="00A47DF0">
        <w:rPr>
          <w:rFonts w:ascii="Calibri" w:hAnsi="Calibri" w:cs="Calibri"/>
          <w:color w:val="auto"/>
          <w:sz w:val="22"/>
          <w:u w:val="single"/>
          <w:lang w:val="en-US"/>
        </w:rPr>
        <w:t xml:space="preserve">retained for </w:t>
      </w:r>
      <w:r w:rsidR="00802F0A" w:rsidRPr="00A47DF0">
        <w:rPr>
          <w:rFonts w:ascii="Calibri" w:hAnsi="Calibri" w:cs="Calibri"/>
          <w:color w:val="auto"/>
          <w:sz w:val="22"/>
          <w:u w:val="single"/>
          <w:lang w:val="en-US"/>
        </w:rPr>
        <w:t>5 years after the completion of each transaction</w:t>
      </w:r>
      <w:r w:rsidR="00802F0A">
        <w:rPr>
          <w:rFonts w:ascii="Calibri" w:hAnsi="Calibri" w:cs="Calibri"/>
          <w:color w:val="auto"/>
          <w:sz w:val="22"/>
          <w:lang w:val="en-US"/>
        </w:rPr>
        <w:t>.</w:t>
      </w:r>
      <w:r w:rsidR="00D533A2">
        <w:rPr>
          <w:rFonts w:ascii="Calibri" w:hAnsi="Calibri" w:cs="Calibri"/>
          <w:color w:val="auto"/>
          <w:sz w:val="22"/>
          <w:lang w:val="en-US"/>
        </w:rPr>
        <w:t xml:space="preserve"> Examples include account opening/closing (5Y from account closing), deposit box opening/closing (5Y from deposit box cessation) etc. Any FIs that contravene this would be liable for $10K fine. </w:t>
      </w:r>
    </w:p>
    <w:p w14:paraId="6F58D61F" w14:textId="49FA5C70" w:rsidR="00DB139C" w:rsidRDefault="00FC6CB6" w:rsidP="00772B0E">
      <w:pPr>
        <w:pStyle w:val="ListParagraph"/>
        <w:numPr>
          <w:ilvl w:val="0"/>
          <w:numId w:val="109"/>
        </w:numPr>
        <w:jc w:val="both"/>
        <w:rPr>
          <w:rFonts w:ascii="Calibri" w:hAnsi="Calibri" w:cs="Calibri"/>
          <w:color w:val="auto"/>
          <w:sz w:val="22"/>
          <w:lang w:val="en-US"/>
        </w:rPr>
      </w:pPr>
      <w:r w:rsidRPr="00FC6CB6">
        <w:rPr>
          <w:rFonts w:ascii="Calibri" w:hAnsi="Calibri" w:cs="Calibri"/>
          <w:b/>
          <w:bCs/>
          <w:color w:val="auto"/>
          <w:sz w:val="22"/>
          <w:lang w:val="en-US"/>
        </w:rPr>
        <w:t>STR Reporting</w:t>
      </w:r>
      <w:r>
        <w:rPr>
          <w:rFonts w:ascii="Calibri" w:hAnsi="Calibri" w:cs="Calibri"/>
          <w:color w:val="auto"/>
          <w:sz w:val="22"/>
          <w:lang w:val="en-US"/>
        </w:rPr>
        <w:t xml:space="preserve">: </w:t>
      </w:r>
      <w:r w:rsidR="00772B0E">
        <w:rPr>
          <w:rFonts w:ascii="Calibri" w:hAnsi="Calibri" w:cs="Calibri"/>
          <w:color w:val="auto"/>
          <w:sz w:val="22"/>
          <w:lang w:val="en-US"/>
        </w:rPr>
        <w:t xml:space="preserve">If </w:t>
      </w:r>
      <w:r w:rsidR="0061427A">
        <w:rPr>
          <w:rFonts w:ascii="Calibri" w:hAnsi="Calibri" w:cs="Calibri"/>
          <w:color w:val="auto"/>
          <w:sz w:val="22"/>
          <w:lang w:val="en-US"/>
        </w:rPr>
        <w:t>CMI/</w:t>
      </w:r>
      <w:r w:rsidR="00B72D51">
        <w:rPr>
          <w:rFonts w:ascii="Calibri" w:hAnsi="Calibri" w:cs="Calibri"/>
          <w:color w:val="auto"/>
          <w:sz w:val="22"/>
          <w:lang w:val="en-US"/>
        </w:rPr>
        <w:t>LFMC</w:t>
      </w:r>
      <w:r w:rsidR="00772B0E">
        <w:rPr>
          <w:rFonts w:ascii="Calibri" w:hAnsi="Calibri" w:cs="Calibri"/>
          <w:color w:val="auto"/>
          <w:sz w:val="22"/>
          <w:lang w:val="en-US"/>
        </w:rPr>
        <w:t xml:space="preserve"> has </w:t>
      </w:r>
      <w:r w:rsidR="00772B0E" w:rsidRPr="004B1F1D">
        <w:rPr>
          <w:rFonts w:ascii="Calibri" w:hAnsi="Calibri" w:cs="Calibri"/>
          <w:color w:val="auto"/>
          <w:sz w:val="22"/>
          <w:u w:val="single"/>
          <w:lang w:val="en-US"/>
        </w:rPr>
        <w:t xml:space="preserve">reasonable grounds to suspect the </w:t>
      </w:r>
      <w:r w:rsidR="00772B0E">
        <w:rPr>
          <w:rFonts w:ascii="Calibri" w:hAnsi="Calibri" w:cs="Calibri"/>
          <w:color w:val="auto"/>
          <w:sz w:val="22"/>
          <w:u w:val="single"/>
          <w:lang w:val="en-US"/>
        </w:rPr>
        <w:t xml:space="preserve">BO is SDN/sanctioned and/or </w:t>
      </w:r>
      <w:r w:rsidR="00772B0E" w:rsidRPr="004B1F1D">
        <w:rPr>
          <w:rFonts w:ascii="Calibri" w:hAnsi="Calibri" w:cs="Calibri"/>
          <w:color w:val="auto"/>
          <w:sz w:val="22"/>
          <w:u w:val="single"/>
          <w:lang w:val="en-US"/>
        </w:rPr>
        <w:t xml:space="preserve">source of </w:t>
      </w:r>
      <w:r w:rsidR="00772B0E">
        <w:rPr>
          <w:rFonts w:ascii="Calibri" w:hAnsi="Calibri" w:cs="Calibri"/>
          <w:color w:val="auto"/>
          <w:sz w:val="22"/>
          <w:u w:val="single"/>
          <w:lang w:val="en-US"/>
        </w:rPr>
        <w:t>customer’s wealth/</w:t>
      </w:r>
      <w:r w:rsidR="00772B0E" w:rsidRPr="004B1F1D">
        <w:rPr>
          <w:rFonts w:ascii="Calibri" w:hAnsi="Calibri" w:cs="Calibri"/>
          <w:color w:val="auto"/>
          <w:sz w:val="22"/>
          <w:u w:val="single"/>
          <w:lang w:val="en-US"/>
        </w:rPr>
        <w:t>funds are proceeds that are prohibited under CDSA</w:t>
      </w:r>
      <w:r w:rsidR="00772B0E">
        <w:rPr>
          <w:rFonts w:ascii="Calibri" w:hAnsi="Calibri" w:cs="Calibri"/>
          <w:color w:val="auto"/>
          <w:sz w:val="22"/>
          <w:lang w:val="en-US"/>
        </w:rPr>
        <w:t xml:space="preserve">, </w:t>
      </w:r>
    </w:p>
    <w:p w14:paraId="0783D851" w14:textId="201E3752" w:rsidR="00772B0E" w:rsidRDefault="00DB139C" w:rsidP="00DB139C">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I</w:t>
      </w:r>
      <w:r w:rsidR="00772B0E">
        <w:rPr>
          <w:rFonts w:ascii="Calibri" w:hAnsi="Calibri" w:cs="Calibri"/>
          <w:color w:val="auto"/>
          <w:sz w:val="22"/>
          <w:lang w:val="en-US"/>
        </w:rPr>
        <w:t xml:space="preserve">t </w:t>
      </w:r>
      <w:r w:rsidR="00772B0E" w:rsidRPr="004B1F1D">
        <w:rPr>
          <w:rFonts w:ascii="Calibri" w:hAnsi="Calibri" w:cs="Calibri"/>
          <w:color w:val="auto"/>
          <w:sz w:val="22"/>
          <w:u w:val="single"/>
          <w:lang w:val="en-US"/>
        </w:rPr>
        <w:t xml:space="preserve">should not deal with the customer and file a STR </w:t>
      </w:r>
      <w:r w:rsidR="00772B0E">
        <w:rPr>
          <w:rFonts w:ascii="Calibri" w:hAnsi="Calibri" w:cs="Calibri"/>
          <w:color w:val="auto"/>
          <w:sz w:val="22"/>
          <w:u w:val="single"/>
          <w:lang w:val="en-US"/>
        </w:rPr>
        <w:t xml:space="preserve">with </w:t>
      </w:r>
      <w:r w:rsidR="00BA23E5">
        <w:rPr>
          <w:rFonts w:ascii="Calibri" w:hAnsi="Calibri" w:cs="Calibri"/>
          <w:color w:val="auto"/>
          <w:sz w:val="22"/>
          <w:u w:val="single"/>
          <w:lang w:val="en-US"/>
        </w:rPr>
        <w:t>CAD</w:t>
      </w:r>
      <w:r w:rsidR="00772B0E">
        <w:rPr>
          <w:rFonts w:ascii="Calibri" w:hAnsi="Calibri" w:cs="Calibri"/>
          <w:color w:val="auto"/>
          <w:sz w:val="22"/>
          <w:u w:val="single"/>
          <w:lang w:val="en-US"/>
        </w:rPr>
        <w:t xml:space="preserve">/STRO </w:t>
      </w:r>
      <w:r w:rsidR="004F5ABF">
        <w:rPr>
          <w:rFonts w:ascii="Calibri" w:hAnsi="Calibri" w:cs="Calibri"/>
          <w:color w:val="auto"/>
          <w:sz w:val="22"/>
          <w:u w:val="single"/>
          <w:lang w:val="en-US"/>
        </w:rPr>
        <w:t xml:space="preserve">within 15 business days </w:t>
      </w:r>
      <w:r w:rsidR="00772B0E" w:rsidRPr="004B1F1D">
        <w:rPr>
          <w:rFonts w:ascii="Calibri" w:hAnsi="Calibri" w:cs="Calibri"/>
          <w:color w:val="auto"/>
          <w:sz w:val="22"/>
          <w:u w:val="single"/>
          <w:lang w:val="en-US"/>
        </w:rPr>
        <w:t>and extend a copy to MAS</w:t>
      </w:r>
      <w:r w:rsidR="00772B0E">
        <w:rPr>
          <w:rFonts w:ascii="Calibri" w:hAnsi="Calibri" w:cs="Calibri"/>
          <w:color w:val="auto"/>
          <w:sz w:val="22"/>
          <w:lang w:val="en-US"/>
        </w:rPr>
        <w:t xml:space="preserve">. </w:t>
      </w:r>
      <w:r w:rsidR="000430FD">
        <w:rPr>
          <w:rFonts w:ascii="Calibri" w:hAnsi="Calibri" w:cs="Calibri"/>
          <w:color w:val="auto"/>
          <w:sz w:val="22"/>
          <w:lang w:val="en-US"/>
        </w:rPr>
        <w:t>The authorities might request a</w:t>
      </w:r>
      <w:r w:rsidR="00CF69EC">
        <w:rPr>
          <w:rFonts w:ascii="Calibri" w:hAnsi="Calibri" w:cs="Calibri"/>
          <w:color w:val="auto"/>
          <w:sz w:val="22"/>
          <w:lang w:val="en-US"/>
        </w:rPr>
        <w:t xml:space="preserve">ll documents of checks and transactions (e.g., FTDs) </w:t>
      </w:r>
      <w:r w:rsidR="000430FD">
        <w:rPr>
          <w:rFonts w:ascii="Calibri" w:hAnsi="Calibri" w:cs="Calibri"/>
          <w:color w:val="auto"/>
          <w:sz w:val="22"/>
          <w:lang w:val="en-US"/>
        </w:rPr>
        <w:t xml:space="preserve">to be furnished. </w:t>
      </w:r>
    </w:p>
    <w:p w14:paraId="0851D97B" w14:textId="68FF3344" w:rsidR="00995188" w:rsidRPr="00995188" w:rsidRDefault="00D76E10" w:rsidP="00995188">
      <w:pPr>
        <w:pStyle w:val="ListParagraph"/>
        <w:numPr>
          <w:ilvl w:val="1"/>
          <w:numId w:val="109"/>
        </w:numPr>
        <w:jc w:val="both"/>
        <w:rPr>
          <w:rFonts w:ascii="Calibri" w:hAnsi="Calibri" w:cs="Calibri"/>
          <w:color w:val="auto"/>
          <w:sz w:val="22"/>
          <w:lang w:val="en-US"/>
        </w:rPr>
      </w:pPr>
      <w:r>
        <w:rPr>
          <w:rFonts w:ascii="Calibri" w:hAnsi="Calibri" w:cs="Calibri"/>
          <w:color w:val="auto"/>
          <w:sz w:val="22"/>
          <w:lang w:val="en-US"/>
        </w:rPr>
        <w:t>However</w:t>
      </w:r>
      <w:r w:rsidR="00C361E6">
        <w:rPr>
          <w:rFonts w:ascii="Calibri" w:hAnsi="Calibri" w:cs="Calibri"/>
          <w:color w:val="auto"/>
          <w:sz w:val="22"/>
          <w:lang w:val="en-US"/>
        </w:rPr>
        <w:t>,</w:t>
      </w:r>
      <w:r>
        <w:rPr>
          <w:rFonts w:ascii="Calibri" w:hAnsi="Calibri" w:cs="Calibri"/>
          <w:color w:val="auto"/>
          <w:sz w:val="22"/>
          <w:lang w:val="en-US"/>
        </w:rPr>
        <w:t xml:space="preserve"> </w:t>
      </w:r>
      <w:r w:rsidRPr="00C361E6">
        <w:rPr>
          <w:rFonts w:ascii="Calibri" w:hAnsi="Calibri" w:cs="Calibri"/>
          <w:color w:val="auto"/>
          <w:sz w:val="22"/>
          <w:u w:val="single"/>
          <w:lang w:val="en-US"/>
        </w:rPr>
        <w:t>if it continues to deal with customer</w:t>
      </w:r>
      <w:r>
        <w:rPr>
          <w:rFonts w:ascii="Calibri" w:hAnsi="Calibri" w:cs="Calibri"/>
          <w:color w:val="auto"/>
          <w:sz w:val="22"/>
          <w:lang w:val="en-US"/>
        </w:rPr>
        <w:t xml:space="preserve">, then the </w:t>
      </w:r>
      <w:r w:rsidRPr="00C361E6">
        <w:rPr>
          <w:rFonts w:ascii="Calibri" w:hAnsi="Calibri" w:cs="Calibri"/>
          <w:color w:val="auto"/>
          <w:sz w:val="22"/>
          <w:u w:val="single"/>
          <w:lang w:val="en-US"/>
        </w:rPr>
        <w:t>CMI/</w:t>
      </w:r>
      <w:r w:rsidR="00B72D51">
        <w:rPr>
          <w:rFonts w:ascii="Calibri" w:hAnsi="Calibri" w:cs="Calibri"/>
          <w:color w:val="auto"/>
          <w:sz w:val="22"/>
          <w:u w:val="single"/>
          <w:lang w:val="en-US"/>
        </w:rPr>
        <w:t>LFMC</w:t>
      </w:r>
      <w:r w:rsidRPr="00C361E6">
        <w:rPr>
          <w:rFonts w:ascii="Calibri" w:hAnsi="Calibri" w:cs="Calibri"/>
          <w:color w:val="auto"/>
          <w:sz w:val="22"/>
          <w:u w:val="single"/>
          <w:lang w:val="en-US"/>
        </w:rPr>
        <w:t xml:space="preserve"> must </w:t>
      </w:r>
      <w:r w:rsidR="00864427" w:rsidRPr="00C361E6">
        <w:rPr>
          <w:rFonts w:ascii="Calibri" w:hAnsi="Calibri" w:cs="Calibri"/>
          <w:color w:val="auto"/>
          <w:sz w:val="22"/>
          <w:u w:val="single"/>
          <w:lang w:val="en-US"/>
        </w:rPr>
        <w:t>(</w:t>
      </w:r>
      <w:proofErr w:type="spellStart"/>
      <w:r w:rsidR="00864427" w:rsidRPr="00C361E6">
        <w:rPr>
          <w:rFonts w:ascii="Calibri" w:hAnsi="Calibri" w:cs="Calibri"/>
          <w:color w:val="auto"/>
          <w:sz w:val="22"/>
          <w:u w:val="single"/>
          <w:lang w:val="en-US"/>
        </w:rPr>
        <w:t>i</w:t>
      </w:r>
      <w:proofErr w:type="spellEnd"/>
      <w:r w:rsidR="00864427" w:rsidRPr="00C361E6">
        <w:rPr>
          <w:rFonts w:ascii="Calibri" w:hAnsi="Calibri" w:cs="Calibri"/>
          <w:color w:val="auto"/>
          <w:sz w:val="22"/>
          <w:u w:val="single"/>
          <w:lang w:val="en-US"/>
        </w:rPr>
        <w:t xml:space="preserve">) </w:t>
      </w:r>
      <w:r w:rsidRPr="00C361E6">
        <w:rPr>
          <w:rFonts w:ascii="Calibri" w:hAnsi="Calibri" w:cs="Calibri"/>
          <w:color w:val="auto"/>
          <w:sz w:val="22"/>
          <w:u w:val="single"/>
          <w:lang w:val="en-US"/>
        </w:rPr>
        <w:t>substantiate and document the reasons</w:t>
      </w:r>
      <w:r w:rsidR="00864427" w:rsidRPr="00C361E6">
        <w:rPr>
          <w:rFonts w:ascii="Calibri" w:hAnsi="Calibri" w:cs="Calibri"/>
          <w:color w:val="auto"/>
          <w:sz w:val="22"/>
          <w:u w:val="single"/>
          <w:lang w:val="en-US"/>
        </w:rPr>
        <w:t xml:space="preserve"> and (ii) </w:t>
      </w:r>
      <w:r w:rsidR="00C361E6" w:rsidRPr="00C361E6">
        <w:rPr>
          <w:rFonts w:ascii="Calibri" w:hAnsi="Calibri" w:cs="Calibri"/>
          <w:color w:val="auto"/>
          <w:sz w:val="22"/>
          <w:u w:val="single"/>
          <w:lang w:val="en-US"/>
        </w:rPr>
        <w:t>perform EDD measures and enhanced monitoring on an ongoing basis</w:t>
      </w:r>
      <w:r w:rsidR="00C361E6">
        <w:rPr>
          <w:rFonts w:ascii="Calibri" w:hAnsi="Calibri" w:cs="Calibri"/>
          <w:color w:val="auto"/>
          <w:sz w:val="22"/>
          <w:lang w:val="en-US"/>
        </w:rPr>
        <w:t>.</w:t>
      </w:r>
    </w:p>
    <w:p w14:paraId="6AFA48D6" w14:textId="36FA17F6" w:rsidR="006E095D" w:rsidRDefault="00FC074B" w:rsidP="00FC074B">
      <w:pPr>
        <w:pStyle w:val="ListParagraph"/>
        <w:numPr>
          <w:ilvl w:val="0"/>
          <w:numId w:val="109"/>
        </w:numPr>
        <w:jc w:val="both"/>
        <w:rPr>
          <w:rFonts w:ascii="Calibri" w:hAnsi="Calibri" w:cs="Calibri"/>
          <w:color w:val="auto"/>
          <w:sz w:val="22"/>
          <w:lang w:val="en-US"/>
        </w:rPr>
      </w:pPr>
      <w:r>
        <w:rPr>
          <w:rFonts w:ascii="Calibri" w:hAnsi="Calibri" w:cs="Calibri"/>
          <w:color w:val="auto"/>
          <w:sz w:val="22"/>
          <w:lang w:val="en-US"/>
        </w:rPr>
        <w:t xml:space="preserve">There could be instances where the </w:t>
      </w:r>
      <w:r w:rsidRPr="004970E3">
        <w:rPr>
          <w:rFonts w:ascii="Calibri" w:hAnsi="Calibri" w:cs="Calibri"/>
          <w:color w:val="auto"/>
          <w:sz w:val="22"/>
          <w:u w:val="single"/>
          <w:lang w:val="en-US"/>
        </w:rPr>
        <w:t>CMI</w:t>
      </w:r>
      <w:r w:rsidR="00AD3AA0" w:rsidRPr="004970E3">
        <w:rPr>
          <w:rFonts w:ascii="Calibri" w:hAnsi="Calibri" w:cs="Calibri"/>
          <w:color w:val="auto"/>
          <w:sz w:val="22"/>
          <w:u w:val="single"/>
          <w:lang w:val="en-US"/>
        </w:rPr>
        <w:t>/</w:t>
      </w:r>
      <w:r w:rsidR="00B72D51">
        <w:rPr>
          <w:rFonts w:ascii="Calibri" w:hAnsi="Calibri" w:cs="Calibri"/>
          <w:color w:val="auto"/>
          <w:sz w:val="22"/>
          <w:u w:val="single"/>
          <w:lang w:val="en-US"/>
        </w:rPr>
        <w:t>LFMC</w:t>
      </w:r>
      <w:r w:rsidRPr="004970E3">
        <w:rPr>
          <w:rFonts w:ascii="Calibri" w:hAnsi="Calibri" w:cs="Calibri"/>
          <w:color w:val="auto"/>
          <w:sz w:val="22"/>
          <w:u w:val="single"/>
          <w:lang w:val="en-US"/>
        </w:rPr>
        <w:t xml:space="preserve"> </w:t>
      </w:r>
      <w:r w:rsidR="00AD3AA0" w:rsidRPr="004970E3">
        <w:rPr>
          <w:rFonts w:ascii="Calibri" w:hAnsi="Calibri" w:cs="Calibri"/>
          <w:color w:val="auto"/>
          <w:sz w:val="22"/>
          <w:u w:val="single"/>
          <w:lang w:val="en-US"/>
        </w:rPr>
        <w:t>would start business relations with customer even though the verifications are ongoing</w:t>
      </w:r>
      <w:r w:rsidR="00AD3AA0">
        <w:rPr>
          <w:rFonts w:ascii="Calibri" w:hAnsi="Calibri" w:cs="Calibri"/>
          <w:color w:val="auto"/>
          <w:sz w:val="22"/>
          <w:lang w:val="en-US"/>
        </w:rPr>
        <w:t>. In such cases, CMI/</w:t>
      </w:r>
      <w:r w:rsidR="00B72D51">
        <w:rPr>
          <w:rFonts w:ascii="Calibri" w:hAnsi="Calibri" w:cs="Calibri"/>
          <w:color w:val="auto"/>
          <w:sz w:val="22"/>
          <w:lang w:val="en-US"/>
        </w:rPr>
        <w:t>LFMC</w:t>
      </w:r>
      <w:r w:rsidR="00AD3AA0">
        <w:rPr>
          <w:rFonts w:ascii="Calibri" w:hAnsi="Calibri" w:cs="Calibri"/>
          <w:color w:val="auto"/>
          <w:sz w:val="22"/>
          <w:lang w:val="en-US"/>
        </w:rPr>
        <w:t xml:space="preserve"> is required to implement </w:t>
      </w:r>
      <w:r w:rsidR="00AD3AA0" w:rsidRPr="004970E3">
        <w:rPr>
          <w:rFonts w:ascii="Calibri" w:hAnsi="Calibri" w:cs="Calibri"/>
          <w:color w:val="auto"/>
          <w:sz w:val="22"/>
          <w:u w:val="single"/>
          <w:lang w:val="en-US"/>
        </w:rPr>
        <w:t xml:space="preserve">appropriate safeguards </w:t>
      </w:r>
      <w:r w:rsidR="0097372A">
        <w:rPr>
          <w:rFonts w:ascii="Calibri" w:hAnsi="Calibri" w:cs="Calibri"/>
          <w:color w:val="auto"/>
          <w:sz w:val="22"/>
          <w:lang w:val="en-US"/>
        </w:rPr>
        <w:t>(e.g., limits, type and value of transactions</w:t>
      </w:r>
      <w:r w:rsidR="00681E5F">
        <w:rPr>
          <w:rFonts w:ascii="Calibri" w:hAnsi="Calibri" w:cs="Calibri"/>
          <w:color w:val="auto"/>
          <w:sz w:val="22"/>
          <w:lang w:val="en-US"/>
        </w:rPr>
        <w:t>, closer monitoring</w:t>
      </w:r>
      <w:r w:rsidR="0097372A">
        <w:rPr>
          <w:rFonts w:ascii="Calibri" w:hAnsi="Calibri" w:cs="Calibri"/>
          <w:color w:val="auto"/>
          <w:sz w:val="22"/>
          <w:lang w:val="en-US"/>
        </w:rPr>
        <w:t xml:space="preserve"> etc.) </w:t>
      </w:r>
      <w:r w:rsidR="00681E5F">
        <w:rPr>
          <w:rFonts w:ascii="Calibri" w:hAnsi="Calibri" w:cs="Calibri"/>
          <w:color w:val="auto"/>
          <w:sz w:val="22"/>
          <w:lang w:val="en-US"/>
        </w:rPr>
        <w:t xml:space="preserve">and ensure that the </w:t>
      </w:r>
      <w:r w:rsidR="00681E5F" w:rsidRPr="004970E3">
        <w:rPr>
          <w:rFonts w:ascii="Calibri" w:hAnsi="Calibri" w:cs="Calibri"/>
          <w:color w:val="auto"/>
          <w:sz w:val="22"/>
          <w:u w:val="single"/>
          <w:lang w:val="en-US"/>
        </w:rPr>
        <w:t>verification is completed within 30 days</w:t>
      </w:r>
      <w:r w:rsidR="00681E5F">
        <w:rPr>
          <w:rFonts w:ascii="Calibri" w:hAnsi="Calibri" w:cs="Calibri"/>
          <w:color w:val="auto"/>
          <w:sz w:val="22"/>
          <w:lang w:val="en-US"/>
        </w:rPr>
        <w:t xml:space="preserve"> after the </w:t>
      </w:r>
      <w:r w:rsidR="004970E3">
        <w:rPr>
          <w:rFonts w:ascii="Calibri" w:hAnsi="Calibri" w:cs="Calibri"/>
          <w:color w:val="auto"/>
          <w:sz w:val="22"/>
          <w:lang w:val="en-US"/>
        </w:rPr>
        <w:t xml:space="preserve">establishment of business relations. </w:t>
      </w:r>
    </w:p>
    <w:p w14:paraId="0B96DEC5" w14:textId="77777777" w:rsidR="001408FC" w:rsidRDefault="001408FC" w:rsidP="004970E3">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Incomplete verification a</w:t>
      </w:r>
      <w:r w:rsidR="004970E3" w:rsidRPr="004970E3">
        <w:rPr>
          <w:rFonts w:ascii="Calibri" w:hAnsi="Calibri" w:cs="Calibri"/>
          <w:b/>
          <w:bCs/>
          <w:color w:val="auto"/>
          <w:sz w:val="22"/>
          <w:lang w:val="en-US"/>
        </w:rPr>
        <w:t>fter 30 days</w:t>
      </w:r>
      <w:r w:rsidR="004970E3">
        <w:rPr>
          <w:rFonts w:ascii="Calibri" w:hAnsi="Calibri" w:cs="Calibri"/>
          <w:color w:val="auto"/>
          <w:sz w:val="22"/>
          <w:lang w:val="en-US"/>
        </w:rPr>
        <w:t>:</w:t>
      </w:r>
      <w:r>
        <w:rPr>
          <w:rFonts w:ascii="Calibri" w:hAnsi="Calibri" w:cs="Calibri"/>
          <w:color w:val="auto"/>
          <w:sz w:val="22"/>
          <w:lang w:val="en-US"/>
        </w:rPr>
        <w:t xml:space="preserve"> Suspend all business relations with customer and refrain from carrying out further transactions</w:t>
      </w:r>
    </w:p>
    <w:p w14:paraId="5BD4216F" w14:textId="7CE75D2E" w:rsidR="003458D4" w:rsidRPr="00937D6F" w:rsidRDefault="001408FC" w:rsidP="00937D6F">
      <w:pPr>
        <w:pStyle w:val="ListParagraph"/>
        <w:numPr>
          <w:ilvl w:val="1"/>
          <w:numId w:val="109"/>
        </w:numPr>
        <w:jc w:val="both"/>
        <w:rPr>
          <w:rFonts w:ascii="Calibri" w:hAnsi="Calibri" w:cs="Calibri"/>
          <w:color w:val="auto"/>
          <w:sz w:val="22"/>
          <w:lang w:val="en-US"/>
        </w:rPr>
      </w:pPr>
      <w:r>
        <w:rPr>
          <w:rFonts w:ascii="Calibri" w:hAnsi="Calibri" w:cs="Calibri"/>
          <w:b/>
          <w:bCs/>
          <w:color w:val="auto"/>
          <w:sz w:val="22"/>
          <w:lang w:val="en-US"/>
        </w:rPr>
        <w:t xml:space="preserve">Incomplete verification </w:t>
      </w:r>
      <w:r w:rsidR="00937D6F">
        <w:rPr>
          <w:rFonts w:ascii="Calibri" w:hAnsi="Calibri" w:cs="Calibri"/>
          <w:b/>
          <w:bCs/>
          <w:color w:val="auto"/>
          <w:sz w:val="22"/>
          <w:lang w:val="en-US"/>
        </w:rPr>
        <w:t>after 120 days</w:t>
      </w:r>
      <w:r w:rsidR="00937D6F" w:rsidRPr="00937D6F">
        <w:rPr>
          <w:rFonts w:ascii="Calibri" w:hAnsi="Calibri" w:cs="Calibri"/>
          <w:color w:val="auto"/>
          <w:sz w:val="22"/>
          <w:lang w:val="en-US"/>
        </w:rPr>
        <w:t>:</w:t>
      </w:r>
      <w:r w:rsidR="00937D6F">
        <w:rPr>
          <w:rFonts w:ascii="Calibri" w:hAnsi="Calibri" w:cs="Calibri"/>
          <w:color w:val="auto"/>
          <w:sz w:val="22"/>
          <w:lang w:val="en-US"/>
        </w:rPr>
        <w:t xml:space="preserve"> Terminate business relations. </w:t>
      </w:r>
      <w:r w:rsidR="004970E3">
        <w:rPr>
          <w:rFonts w:ascii="Calibri" w:hAnsi="Calibri" w:cs="Calibri"/>
          <w:color w:val="auto"/>
          <w:sz w:val="22"/>
          <w:lang w:val="en-US"/>
        </w:rPr>
        <w:t xml:space="preserve"> </w:t>
      </w:r>
    </w:p>
    <w:p w14:paraId="47246F71" w14:textId="53495110" w:rsidR="003458D4" w:rsidRDefault="0061427A" w:rsidP="00994DE6">
      <w:pPr>
        <w:pStyle w:val="ListParagraph"/>
        <w:numPr>
          <w:ilvl w:val="0"/>
          <w:numId w:val="109"/>
        </w:numPr>
        <w:jc w:val="both"/>
        <w:rPr>
          <w:rFonts w:ascii="Calibri" w:hAnsi="Calibri" w:cs="Calibri"/>
          <w:color w:val="auto"/>
          <w:sz w:val="22"/>
          <w:lang w:val="en-US"/>
        </w:rPr>
      </w:pPr>
      <w:r w:rsidRPr="0061427A">
        <w:rPr>
          <w:rFonts w:ascii="Calibri" w:hAnsi="Calibri" w:cs="Calibri"/>
          <w:b/>
          <w:bCs/>
          <w:color w:val="auto"/>
          <w:sz w:val="22"/>
          <w:lang w:val="en-US"/>
        </w:rPr>
        <w:t>Tax-Related ML Risk</w:t>
      </w:r>
      <w:r>
        <w:rPr>
          <w:rFonts w:ascii="Calibri" w:hAnsi="Calibri" w:cs="Calibri"/>
          <w:color w:val="auto"/>
          <w:sz w:val="22"/>
          <w:lang w:val="en-US"/>
        </w:rPr>
        <w:t>: CMI/</w:t>
      </w:r>
      <w:r w:rsidR="00B72D51">
        <w:rPr>
          <w:rFonts w:ascii="Calibri" w:hAnsi="Calibri" w:cs="Calibri"/>
          <w:color w:val="auto"/>
          <w:sz w:val="22"/>
          <w:lang w:val="en-US"/>
        </w:rPr>
        <w:t>LFMC</w:t>
      </w:r>
      <w:r>
        <w:rPr>
          <w:rFonts w:ascii="Calibri" w:hAnsi="Calibri" w:cs="Calibri"/>
          <w:color w:val="auto"/>
          <w:sz w:val="22"/>
          <w:lang w:val="en-US"/>
        </w:rPr>
        <w:t xml:space="preserve"> should </w:t>
      </w:r>
      <w:r w:rsidR="00BB3903">
        <w:rPr>
          <w:rFonts w:ascii="Calibri" w:hAnsi="Calibri" w:cs="Calibri"/>
          <w:color w:val="auto"/>
          <w:sz w:val="22"/>
          <w:lang w:val="en-US"/>
        </w:rPr>
        <w:t>be alert to any changes in tax residencies</w:t>
      </w:r>
      <w:r w:rsidR="003715D1">
        <w:rPr>
          <w:rFonts w:ascii="Calibri" w:hAnsi="Calibri" w:cs="Calibri"/>
          <w:color w:val="auto"/>
          <w:sz w:val="22"/>
          <w:lang w:val="en-US"/>
        </w:rPr>
        <w:t xml:space="preserve"> of customers</w:t>
      </w:r>
      <w:r w:rsidR="00BB3903">
        <w:rPr>
          <w:rFonts w:ascii="Calibri" w:hAnsi="Calibri" w:cs="Calibri"/>
          <w:color w:val="auto"/>
          <w:sz w:val="22"/>
          <w:lang w:val="en-US"/>
        </w:rPr>
        <w:t xml:space="preserve"> and</w:t>
      </w:r>
      <w:r w:rsidR="003715D1">
        <w:rPr>
          <w:rFonts w:ascii="Calibri" w:hAnsi="Calibri" w:cs="Calibri"/>
          <w:color w:val="auto"/>
          <w:sz w:val="22"/>
          <w:lang w:val="en-US"/>
        </w:rPr>
        <w:t xml:space="preserve"> request for corroborative evidence of the tax legitimacy of the funds, where applicable.</w:t>
      </w:r>
      <w:r w:rsidR="00BB3903">
        <w:rPr>
          <w:rFonts w:ascii="Calibri" w:hAnsi="Calibri" w:cs="Calibri"/>
          <w:color w:val="auto"/>
          <w:sz w:val="22"/>
          <w:lang w:val="en-US"/>
        </w:rPr>
        <w:t xml:space="preserve"> </w:t>
      </w:r>
    </w:p>
    <w:p w14:paraId="6380394F" w14:textId="6035B82E" w:rsidR="005E115E" w:rsidRDefault="00E64B1D" w:rsidP="005E115E">
      <w:pPr>
        <w:jc w:val="both"/>
        <w:rPr>
          <w:rFonts w:ascii="Calibri" w:hAnsi="Calibri" w:cs="Calibri"/>
          <w:color w:val="auto"/>
          <w:sz w:val="22"/>
          <w:lang w:val="en-US"/>
        </w:rPr>
      </w:pPr>
      <w:r>
        <w:rPr>
          <w:rFonts w:eastAsia="Times New Roman"/>
          <w:noProof/>
        </w:rPr>
        <w:lastRenderedPageBreak/>
        <w:drawing>
          <wp:inline distT="0" distB="0" distL="0" distR="0" wp14:anchorId="625D7806" wp14:editId="4F632F26">
            <wp:extent cx="4838700" cy="5128260"/>
            <wp:effectExtent l="0" t="0" r="0" b="0"/>
            <wp:docPr id="1066629778" name="Picture 1" descr="A hand holding a paper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29778" name="Picture 1" descr="A hand holding a paper with text&#10;&#10;AI-generated content may be incorrect."/>
                    <pic:cNvPicPr>
                      <a:picLocks noChangeAspect="1" noChangeArrowheads="1"/>
                    </pic:cNvPicPr>
                  </pic:nvPicPr>
                  <pic:blipFill rotWithShape="1">
                    <a:blip r:embed="rId12" r:link="rId13" cstate="print">
                      <a:extLst>
                        <a:ext uri="{28A0092B-C50C-407E-A947-70E740481C1C}">
                          <a14:useLocalDpi xmlns:a14="http://schemas.microsoft.com/office/drawing/2010/main" val="0"/>
                        </a:ext>
                      </a:extLst>
                    </a:blip>
                    <a:srcRect l="6544" t="10776" r="3118" b="17418"/>
                    <a:stretch/>
                  </pic:blipFill>
                  <pic:spPr bwMode="auto">
                    <a:xfrm>
                      <a:off x="0" y="0"/>
                      <a:ext cx="4838700" cy="5128260"/>
                    </a:xfrm>
                    <a:prstGeom prst="rect">
                      <a:avLst/>
                    </a:prstGeom>
                    <a:noFill/>
                    <a:ln>
                      <a:noFill/>
                    </a:ln>
                    <a:extLst>
                      <a:ext uri="{53640926-AAD7-44D8-BBD7-CCE9431645EC}">
                        <a14:shadowObscured xmlns:a14="http://schemas.microsoft.com/office/drawing/2010/main"/>
                      </a:ext>
                    </a:extLst>
                  </pic:spPr>
                </pic:pic>
              </a:graphicData>
            </a:graphic>
          </wp:inline>
        </w:drawing>
      </w:r>
    </w:p>
    <w:p w14:paraId="151A1CCC" w14:textId="77777777" w:rsidR="00A83F30" w:rsidRDefault="00A83F30" w:rsidP="005E115E">
      <w:pPr>
        <w:jc w:val="both"/>
        <w:rPr>
          <w:rFonts w:ascii="Calibri" w:hAnsi="Calibri" w:cs="Calibri"/>
          <w:color w:val="auto"/>
          <w:sz w:val="22"/>
          <w:lang w:val="en-US"/>
        </w:rPr>
      </w:pPr>
    </w:p>
    <w:p w14:paraId="562BD257" w14:textId="4BD68BED" w:rsidR="005E115E" w:rsidRDefault="005E115E" w:rsidP="005E115E">
      <w:pPr>
        <w:pStyle w:val="Heading3"/>
        <w:numPr>
          <w:ilvl w:val="0"/>
          <w:numId w:val="121"/>
        </w:numPr>
        <w:jc w:val="both"/>
        <w:rPr>
          <w:rFonts w:ascii="Calibri" w:hAnsi="Calibri" w:cs="Calibri"/>
          <w:color w:val="auto"/>
          <w:lang w:val="en-US"/>
        </w:rPr>
      </w:pPr>
      <w:r>
        <w:rPr>
          <w:rFonts w:ascii="Calibri" w:hAnsi="Calibri" w:cs="Calibri"/>
          <w:color w:val="auto"/>
          <w:lang w:val="en-US"/>
        </w:rPr>
        <w:t>Enterprise-wide Risk Assessment</w:t>
      </w:r>
    </w:p>
    <w:p w14:paraId="2BE21F34" w14:textId="29D9F826" w:rsidR="007E6E87" w:rsidRDefault="00D550EB" w:rsidP="005E115E">
      <w:pPr>
        <w:pStyle w:val="ListParagraph"/>
        <w:numPr>
          <w:ilvl w:val="0"/>
          <w:numId w:val="109"/>
        </w:numPr>
        <w:jc w:val="both"/>
        <w:rPr>
          <w:rFonts w:ascii="Calibri" w:hAnsi="Calibri" w:cs="Calibri"/>
          <w:color w:val="auto"/>
          <w:sz w:val="22"/>
          <w:lang w:val="en-US"/>
        </w:rPr>
      </w:pPr>
      <w:r w:rsidRPr="00D550EB">
        <w:rPr>
          <w:rFonts w:ascii="Calibri" w:hAnsi="Calibri" w:cs="Calibri"/>
          <w:b/>
          <w:bCs/>
          <w:color w:val="auto"/>
          <w:sz w:val="22"/>
          <w:lang w:val="en-US"/>
        </w:rPr>
        <w:t>Process</w:t>
      </w:r>
      <w:r>
        <w:rPr>
          <w:rFonts w:ascii="Calibri" w:hAnsi="Calibri" w:cs="Calibri"/>
          <w:color w:val="auto"/>
          <w:sz w:val="22"/>
          <w:lang w:val="en-US"/>
        </w:rPr>
        <w:t xml:space="preserve">: </w:t>
      </w:r>
      <w:r w:rsidR="00B71F8D">
        <w:rPr>
          <w:rFonts w:ascii="Calibri" w:hAnsi="Calibri" w:cs="Calibri"/>
          <w:color w:val="auto"/>
          <w:sz w:val="22"/>
          <w:lang w:val="en-US"/>
        </w:rPr>
        <w:t>The CMI/</w:t>
      </w:r>
      <w:r w:rsidR="00B72D51">
        <w:rPr>
          <w:rFonts w:ascii="Calibri" w:hAnsi="Calibri" w:cs="Calibri"/>
          <w:color w:val="auto"/>
          <w:sz w:val="22"/>
          <w:lang w:val="en-US"/>
        </w:rPr>
        <w:t>LFMC</w:t>
      </w:r>
      <w:r w:rsidR="00B71F8D">
        <w:rPr>
          <w:rFonts w:ascii="Calibri" w:hAnsi="Calibri" w:cs="Calibri"/>
          <w:color w:val="auto"/>
          <w:sz w:val="22"/>
          <w:lang w:val="en-US"/>
        </w:rPr>
        <w:t xml:space="preserve"> must identify and assess ML/TF risks on an enterprise-wide level</w:t>
      </w:r>
      <w:r w:rsidR="00892285">
        <w:rPr>
          <w:rFonts w:ascii="Calibri" w:hAnsi="Calibri" w:cs="Calibri"/>
          <w:color w:val="auto"/>
          <w:sz w:val="22"/>
          <w:lang w:val="en-US"/>
        </w:rPr>
        <w:t xml:space="preserve"> </w:t>
      </w:r>
      <w:r w:rsidR="00892285" w:rsidRPr="00BC19AE">
        <w:rPr>
          <w:rFonts w:ascii="Calibri" w:hAnsi="Calibri" w:cs="Calibri"/>
          <w:color w:val="auto"/>
          <w:sz w:val="22"/>
          <w:u w:val="single"/>
          <w:lang w:val="en-US"/>
        </w:rPr>
        <w:t>once every 2 years</w:t>
      </w:r>
      <w:r w:rsidR="001A3EFE">
        <w:rPr>
          <w:rFonts w:ascii="Calibri" w:hAnsi="Calibri" w:cs="Calibri"/>
          <w:color w:val="auto"/>
          <w:sz w:val="22"/>
          <w:lang w:val="en-US"/>
        </w:rPr>
        <w:t>. The results must be documented and approved by senior management</w:t>
      </w:r>
      <w:r w:rsidR="001C36E7">
        <w:rPr>
          <w:rFonts w:ascii="Calibri" w:hAnsi="Calibri" w:cs="Calibri"/>
          <w:color w:val="auto"/>
          <w:sz w:val="22"/>
          <w:lang w:val="en-US"/>
        </w:rPr>
        <w:t>, even if there are no significant changes.</w:t>
      </w:r>
      <w:r w:rsidR="009B0601">
        <w:rPr>
          <w:rFonts w:ascii="Calibri" w:hAnsi="Calibri" w:cs="Calibri"/>
          <w:color w:val="auto"/>
          <w:sz w:val="22"/>
          <w:lang w:val="en-US"/>
        </w:rPr>
        <w:t xml:space="preserve"> </w:t>
      </w:r>
      <w:r w:rsidR="00BC19AE">
        <w:rPr>
          <w:rFonts w:ascii="Calibri" w:hAnsi="Calibri" w:cs="Calibri"/>
          <w:color w:val="auto"/>
          <w:sz w:val="22"/>
          <w:lang w:val="en-US"/>
        </w:rPr>
        <w:t>This</w:t>
      </w:r>
      <w:r w:rsidR="009B0601">
        <w:rPr>
          <w:rFonts w:ascii="Calibri" w:hAnsi="Calibri" w:cs="Calibri"/>
          <w:color w:val="auto"/>
          <w:sz w:val="22"/>
          <w:lang w:val="en-US"/>
        </w:rPr>
        <w:t xml:space="preserve"> includes a </w:t>
      </w:r>
      <w:r w:rsidR="00BC19AE" w:rsidRPr="00BC19AE">
        <w:rPr>
          <w:rFonts w:ascii="Calibri" w:hAnsi="Calibri" w:cs="Calibri"/>
          <w:color w:val="auto"/>
          <w:sz w:val="22"/>
          <w:u w:val="single"/>
          <w:lang w:val="en-US"/>
        </w:rPr>
        <w:t>qualitative and quantitative</w:t>
      </w:r>
      <w:r w:rsidR="009B0601" w:rsidRPr="00BC19AE">
        <w:rPr>
          <w:rFonts w:ascii="Calibri" w:hAnsi="Calibri" w:cs="Calibri"/>
          <w:color w:val="auto"/>
          <w:sz w:val="22"/>
          <w:u w:val="single"/>
          <w:lang w:val="en-US"/>
        </w:rPr>
        <w:t xml:space="preserve"> assessment of its ML/TF risks across all business units, product lines and delivery channels</w:t>
      </w:r>
      <w:r w:rsidR="00BA391F">
        <w:rPr>
          <w:rFonts w:ascii="Calibri" w:hAnsi="Calibri" w:cs="Calibri"/>
          <w:color w:val="auto"/>
          <w:sz w:val="22"/>
          <w:lang w:val="en-US"/>
        </w:rPr>
        <w:t xml:space="preserve">. </w:t>
      </w:r>
    </w:p>
    <w:p w14:paraId="6A313622" w14:textId="7F475F10" w:rsidR="005E115E" w:rsidRDefault="00D550EB" w:rsidP="005E115E">
      <w:pPr>
        <w:pStyle w:val="ListParagraph"/>
        <w:numPr>
          <w:ilvl w:val="0"/>
          <w:numId w:val="109"/>
        </w:numPr>
        <w:jc w:val="both"/>
        <w:rPr>
          <w:rFonts w:ascii="Calibri" w:hAnsi="Calibri" w:cs="Calibri"/>
          <w:color w:val="auto"/>
          <w:sz w:val="22"/>
          <w:lang w:val="en-US"/>
        </w:rPr>
      </w:pPr>
      <w:r w:rsidRPr="00D550EB">
        <w:rPr>
          <w:rFonts w:ascii="Calibri" w:hAnsi="Calibri" w:cs="Calibri"/>
          <w:b/>
          <w:bCs/>
          <w:color w:val="auto"/>
          <w:sz w:val="22"/>
          <w:lang w:val="en-US"/>
        </w:rPr>
        <w:t>Risk Factors</w:t>
      </w:r>
      <w:r>
        <w:rPr>
          <w:rFonts w:ascii="Calibri" w:hAnsi="Calibri" w:cs="Calibri"/>
          <w:color w:val="auto"/>
          <w:sz w:val="22"/>
          <w:lang w:val="en-US"/>
        </w:rPr>
        <w:t>: (</w:t>
      </w:r>
      <w:proofErr w:type="spellStart"/>
      <w:r>
        <w:rPr>
          <w:rFonts w:ascii="Calibri" w:hAnsi="Calibri" w:cs="Calibri"/>
          <w:color w:val="auto"/>
          <w:sz w:val="22"/>
          <w:lang w:val="en-US"/>
        </w:rPr>
        <w:t>i</w:t>
      </w:r>
      <w:proofErr w:type="spellEnd"/>
      <w:r>
        <w:rPr>
          <w:rFonts w:ascii="Calibri" w:hAnsi="Calibri" w:cs="Calibri"/>
          <w:color w:val="auto"/>
          <w:sz w:val="22"/>
          <w:lang w:val="en-US"/>
        </w:rPr>
        <w:t>) Target customer segments/markets</w:t>
      </w:r>
      <w:r w:rsidR="00024561">
        <w:rPr>
          <w:rFonts w:ascii="Calibri" w:hAnsi="Calibri" w:cs="Calibri"/>
          <w:color w:val="auto"/>
          <w:sz w:val="22"/>
          <w:lang w:val="en-US"/>
        </w:rPr>
        <w:t xml:space="preserve"> (including countries/jurisdictions), (ii) CMI</w:t>
      </w:r>
      <w:r w:rsidR="00767EE6">
        <w:rPr>
          <w:rFonts w:ascii="Calibri" w:hAnsi="Calibri" w:cs="Calibri"/>
          <w:color w:val="auto"/>
          <w:sz w:val="22"/>
          <w:lang w:val="en-US"/>
        </w:rPr>
        <w:t>’s</w:t>
      </w:r>
      <w:r w:rsidR="00024561">
        <w:rPr>
          <w:rFonts w:ascii="Calibri" w:hAnsi="Calibri" w:cs="Calibri"/>
          <w:color w:val="auto"/>
          <w:sz w:val="22"/>
          <w:lang w:val="en-US"/>
        </w:rPr>
        <w:t>/</w:t>
      </w:r>
      <w:r w:rsidR="00B72D51">
        <w:rPr>
          <w:rFonts w:ascii="Calibri" w:hAnsi="Calibri" w:cs="Calibri"/>
          <w:color w:val="auto"/>
          <w:sz w:val="22"/>
          <w:lang w:val="en-US"/>
        </w:rPr>
        <w:t>LFMC</w:t>
      </w:r>
      <w:r w:rsidR="00024561">
        <w:rPr>
          <w:rFonts w:ascii="Calibri" w:hAnsi="Calibri" w:cs="Calibri"/>
          <w:color w:val="auto"/>
          <w:sz w:val="22"/>
          <w:lang w:val="en-US"/>
        </w:rPr>
        <w:t xml:space="preserve">’s </w:t>
      </w:r>
      <w:r w:rsidR="00767EE6">
        <w:rPr>
          <w:rFonts w:ascii="Calibri" w:hAnsi="Calibri" w:cs="Calibri"/>
          <w:color w:val="auto"/>
          <w:sz w:val="22"/>
          <w:lang w:val="en-US"/>
        </w:rPr>
        <w:t>country exposures in relation to business units, product lines and delivery channels.</w:t>
      </w:r>
    </w:p>
    <w:p w14:paraId="615DFBB7" w14:textId="77777777" w:rsidR="006D3237" w:rsidRDefault="006D3237" w:rsidP="006D3237">
      <w:pPr>
        <w:pStyle w:val="ListParagraph"/>
        <w:ind w:left="360"/>
        <w:jc w:val="both"/>
        <w:rPr>
          <w:rFonts w:ascii="Calibri" w:hAnsi="Calibri" w:cs="Calibri"/>
          <w:color w:val="auto"/>
          <w:sz w:val="22"/>
          <w:lang w:val="en-US"/>
        </w:rPr>
      </w:pPr>
    </w:p>
    <w:p w14:paraId="68BBEC3F" w14:textId="033EB479" w:rsidR="00994DE6" w:rsidRDefault="00BB4863" w:rsidP="005E115E">
      <w:pPr>
        <w:pStyle w:val="Heading3"/>
        <w:numPr>
          <w:ilvl w:val="0"/>
          <w:numId w:val="121"/>
        </w:numPr>
        <w:jc w:val="both"/>
        <w:rPr>
          <w:rFonts w:ascii="Calibri" w:hAnsi="Calibri" w:cs="Calibri"/>
          <w:color w:val="auto"/>
          <w:lang w:val="en-US"/>
        </w:rPr>
      </w:pPr>
      <w:r>
        <w:rPr>
          <w:rFonts w:ascii="Calibri" w:hAnsi="Calibri" w:cs="Calibri"/>
          <w:color w:val="auto"/>
          <w:lang w:val="en-US"/>
        </w:rPr>
        <w:t>Best Practices and Framework</w:t>
      </w:r>
    </w:p>
    <w:p w14:paraId="570797E1" w14:textId="6026B2E9" w:rsidR="00151809" w:rsidRPr="00BB4863" w:rsidRDefault="00882920" w:rsidP="00BB4863">
      <w:pPr>
        <w:pStyle w:val="ListParagraph"/>
        <w:numPr>
          <w:ilvl w:val="0"/>
          <w:numId w:val="123"/>
        </w:numPr>
        <w:jc w:val="both"/>
        <w:rPr>
          <w:rFonts w:ascii="Calibri" w:hAnsi="Calibri" w:cs="Calibri"/>
          <w:color w:val="auto"/>
          <w:sz w:val="22"/>
          <w:lang w:val="en-US"/>
        </w:rPr>
      </w:pPr>
      <w:r w:rsidRPr="00BB4863">
        <w:rPr>
          <w:rFonts w:ascii="Calibri" w:hAnsi="Calibri" w:cs="Calibri"/>
          <w:b/>
          <w:bCs/>
          <w:color w:val="auto"/>
          <w:sz w:val="22"/>
          <w:lang w:val="en-US"/>
        </w:rPr>
        <w:t>Governance</w:t>
      </w:r>
      <w:r w:rsidRPr="00BB4863">
        <w:rPr>
          <w:rFonts w:ascii="Calibri" w:hAnsi="Calibri" w:cs="Calibri"/>
          <w:color w:val="auto"/>
          <w:sz w:val="22"/>
          <w:lang w:val="en-US"/>
        </w:rPr>
        <w:t xml:space="preserve">: </w:t>
      </w:r>
    </w:p>
    <w:p w14:paraId="0C79F83A" w14:textId="23B873AF" w:rsidR="005C27E7" w:rsidRDefault="00882920" w:rsidP="00BB4863">
      <w:pPr>
        <w:pStyle w:val="ListParagraph"/>
        <w:numPr>
          <w:ilvl w:val="1"/>
          <w:numId w:val="123"/>
        </w:numPr>
        <w:jc w:val="both"/>
        <w:rPr>
          <w:rFonts w:ascii="Calibri" w:hAnsi="Calibri" w:cs="Calibri"/>
          <w:color w:val="auto"/>
          <w:sz w:val="22"/>
          <w:lang w:val="en-US"/>
        </w:rPr>
      </w:pPr>
      <w:r>
        <w:rPr>
          <w:rFonts w:ascii="Calibri" w:hAnsi="Calibri" w:cs="Calibri"/>
          <w:color w:val="auto"/>
          <w:sz w:val="22"/>
          <w:u w:val="single"/>
          <w:lang w:val="en-US"/>
        </w:rPr>
        <w:lastRenderedPageBreak/>
        <w:t>B</w:t>
      </w:r>
      <w:r w:rsidR="00982980" w:rsidRPr="00982980">
        <w:rPr>
          <w:rFonts w:ascii="Calibri" w:hAnsi="Calibri" w:cs="Calibri"/>
          <w:color w:val="auto"/>
          <w:sz w:val="22"/>
          <w:u w:val="single"/>
          <w:lang w:val="en-US"/>
        </w:rPr>
        <w:t>oard and senior management need to set a strong tone at the top, set a clear risk appetite and develop a compliance culture</w:t>
      </w:r>
      <w:r w:rsidR="00982980" w:rsidRPr="00982980">
        <w:rPr>
          <w:rFonts w:ascii="Calibri" w:hAnsi="Calibri" w:cs="Calibri"/>
          <w:color w:val="auto"/>
          <w:sz w:val="22"/>
          <w:lang w:val="en-US"/>
        </w:rPr>
        <w:t xml:space="preserve"> to foster strong AML/CFT practices and oversight. </w:t>
      </w:r>
    </w:p>
    <w:p w14:paraId="126AAAB2" w14:textId="77777777" w:rsidR="008268B7" w:rsidRDefault="00986F7D" w:rsidP="00BB4863">
      <w:pPr>
        <w:pStyle w:val="ListParagraph"/>
        <w:numPr>
          <w:ilvl w:val="1"/>
          <w:numId w:val="123"/>
        </w:numPr>
        <w:jc w:val="both"/>
        <w:rPr>
          <w:rFonts w:ascii="Calibri" w:hAnsi="Calibri" w:cs="Calibri"/>
          <w:color w:val="auto"/>
          <w:sz w:val="22"/>
          <w:lang w:val="en-US"/>
        </w:rPr>
      </w:pPr>
      <w:r>
        <w:rPr>
          <w:rFonts w:ascii="Calibri" w:hAnsi="Calibri" w:cs="Calibri"/>
          <w:color w:val="auto"/>
          <w:sz w:val="22"/>
          <w:lang w:val="en-US"/>
        </w:rPr>
        <w:t xml:space="preserve">Create </w:t>
      </w:r>
      <w:r w:rsidR="00982980" w:rsidRPr="00986F7D">
        <w:rPr>
          <w:rFonts w:ascii="Calibri" w:hAnsi="Calibri" w:cs="Calibri"/>
          <w:b/>
          <w:bCs/>
          <w:color w:val="auto"/>
          <w:sz w:val="22"/>
          <w:lang w:val="en-US"/>
        </w:rPr>
        <w:t>3 lines of defense</w:t>
      </w:r>
      <w:r w:rsidR="00982980" w:rsidRPr="00982980">
        <w:rPr>
          <w:rFonts w:ascii="Calibri" w:hAnsi="Calibri" w:cs="Calibri"/>
          <w:color w:val="auto"/>
          <w:sz w:val="22"/>
          <w:lang w:val="en-US"/>
        </w:rPr>
        <w:t xml:space="preserve">: </w:t>
      </w:r>
    </w:p>
    <w:p w14:paraId="493C3137" w14:textId="77777777" w:rsidR="00BB4863" w:rsidRDefault="00982980" w:rsidP="00BB4863">
      <w:pPr>
        <w:pStyle w:val="ListParagraph"/>
        <w:numPr>
          <w:ilvl w:val="2"/>
          <w:numId w:val="123"/>
        </w:numPr>
        <w:jc w:val="both"/>
        <w:rPr>
          <w:rFonts w:ascii="Calibri" w:hAnsi="Calibri" w:cs="Calibri"/>
          <w:color w:val="auto"/>
          <w:sz w:val="22"/>
          <w:lang w:val="en-US"/>
        </w:rPr>
      </w:pPr>
      <w:r w:rsidRPr="00982980">
        <w:rPr>
          <w:rFonts w:ascii="Calibri" w:hAnsi="Calibri" w:cs="Calibri"/>
          <w:color w:val="auto"/>
          <w:sz w:val="22"/>
          <w:u w:val="single"/>
          <w:lang w:val="en-US"/>
        </w:rPr>
        <w:t>Business Units</w:t>
      </w:r>
      <w:r w:rsidRPr="00982980">
        <w:rPr>
          <w:rFonts w:ascii="Calibri" w:hAnsi="Calibri" w:cs="Calibri"/>
          <w:color w:val="auto"/>
          <w:sz w:val="22"/>
          <w:lang w:val="en-US"/>
        </w:rPr>
        <w:t xml:space="preserve"> </w:t>
      </w:r>
    </w:p>
    <w:p w14:paraId="1F46E943" w14:textId="77777777" w:rsidR="00BB4863" w:rsidRDefault="00982980" w:rsidP="00BB4863">
      <w:pPr>
        <w:pStyle w:val="ListParagraph"/>
        <w:numPr>
          <w:ilvl w:val="2"/>
          <w:numId w:val="123"/>
        </w:numPr>
        <w:jc w:val="both"/>
        <w:rPr>
          <w:rFonts w:ascii="Calibri" w:hAnsi="Calibri" w:cs="Calibri"/>
          <w:color w:val="auto"/>
          <w:sz w:val="22"/>
          <w:lang w:val="en-US"/>
        </w:rPr>
      </w:pPr>
      <w:r w:rsidRPr="00BB4863">
        <w:rPr>
          <w:rFonts w:ascii="Calibri" w:hAnsi="Calibri" w:cs="Calibri"/>
          <w:color w:val="auto"/>
          <w:sz w:val="22"/>
          <w:u w:val="single"/>
          <w:lang w:val="en-US"/>
        </w:rPr>
        <w:t>AML/CFT and Compliance Teams</w:t>
      </w:r>
      <w:r w:rsidRPr="00BB4863">
        <w:rPr>
          <w:rFonts w:ascii="Calibri" w:hAnsi="Calibri" w:cs="Calibri"/>
          <w:color w:val="auto"/>
          <w:sz w:val="22"/>
          <w:lang w:val="en-US"/>
        </w:rPr>
        <w:t xml:space="preserve"> (e.g., CDD/EDD checks, alert on any potential breaches or ML/TF risks etc.) </w:t>
      </w:r>
    </w:p>
    <w:p w14:paraId="7E55B99A" w14:textId="4819C27C" w:rsidR="00982980" w:rsidRPr="00BB4863" w:rsidRDefault="00982980" w:rsidP="00BB4863">
      <w:pPr>
        <w:pStyle w:val="ListParagraph"/>
        <w:numPr>
          <w:ilvl w:val="2"/>
          <w:numId w:val="123"/>
        </w:numPr>
        <w:jc w:val="both"/>
        <w:rPr>
          <w:rFonts w:ascii="Calibri" w:hAnsi="Calibri" w:cs="Calibri"/>
          <w:color w:val="auto"/>
          <w:sz w:val="22"/>
          <w:lang w:val="en-US"/>
        </w:rPr>
      </w:pPr>
      <w:r w:rsidRPr="00BB4863">
        <w:rPr>
          <w:rFonts w:ascii="Calibri" w:hAnsi="Calibri" w:cs="Calibri"/>
          <w:color w:val="auto"/>
          <w:sz w:val="22"/>
          <w:u w:val="single"/>
          <w:lang w:val="en-US"/>
        </w:rPr>
        <w:t>Internal Audit</w:t>
      </w:r>
      <w:r w:rsidRPr="00BB4863">
        <w:rPr>
          <w:rFonts w:ascii="Calibri" w:hAnsi="Calibri" w:cs="Calibri"/>
          <w:color w:val="auto"/>
          <w:sz w:val="22"/>
          <w:lang w:val="en-US"/>
        </w:rPr>
        <w:t xml:space="preserve"> (e.g., conduct independent and periodic evaluations on risk management framework, procedures and controls to ensure adequacy and effectiveness).</w:t>
      </w:r>
    </w:p>
    <w:p w14:paraId="1D807FD3" w14:textId="4AD01999" w:rsidR="00986F7D" w:rsidRDefault="00986F7D" w:rsidP="00BB4863">
      <w:pPr>
        <w:pStyle w:val="ListParagraph"/>
        <w:numPr>
          <w:ilvl w:val="1"/>
          <w:numId w:val="123"/>
        </w:numPr>
        <w:jc w:val="both"/>
        <w:rPr>
          <w:rFonts w:ascii="Calibri" w:hAnsi="Calibri" w:cs="Calibri"/>
          <w:color w:val="auto"/>
          <w:sz w:val="22"/>
          <w:lang w:val="en-US"/>
        </w:rPr>
      </w:pPr>
      <w:r>
        <w:rPr>
          <w:rFonts w:ascii="Calibri" w:hAnsi="Calibri" w:cs="Calibri"/>
          <w:color w:val="auto"/>
          <w:sz w:val="22"/>
          <w:lang w:val="en-US"/>
        </w:rPr>
        <w:t xml:space="preserve">Ensure </w:t>
      </w:r>
      <w:r w:rsidRPr="009F5ECF">
        <w:rPr>
          <w:rFonts w:ascii="Calibri" w:hAnsi="Calibri" w:cs="Calibri"/>
          <w:color w:val="auto"/>
          <w:sz w:val="22"/>
          <w:u w:val="single"/>
          <w:lang w:val="en-US"/>
        </w:rPr>
        <w:t>timely reporting</w:t>
      </w:r>
      <w:r w:rsidR="009F5ECF" w:rsidRPr="009F5ECF">
        <w:rPr>
          <w:rFonts w:ascii="Calibri" w:hAnsi="Calibri" w:cs="Calibri"/>
          <w:color w:val="auto"/>
          <w:sz w:val="22"/>
          <w:u w:val="single"/>
          <w:lang w:val="en-US"/>
        </w:rPr>
        <w:t xml:space="preserve"> and remediation</w:t>
      </w:r>
      <w:r>
        <w:rPr>
          <w:rFonts w:ascii="Calibri" w:hAnsi="Calibri" w:cs="Calibri"/>
          <w:color w:val="auto"/>
          <w:sz w:val="22"/>
          <w:lang w:val="en-US"/>
        </w:rPr>
        <w:t xml:space="preserve"> </w:t>
      </w:r>
      <w:r w:rsidR="009F5ECF">
        <w:rPr>
          <w:rFonts w:ascii="Calibri" w:hAnsi="Calibri" w:cs="Calibri"/>
          <w:color w:val="auto"/>
          <w:sz w:val="22"/>
          <w:lang w:val="en-US"/>
        </w:rPr>
        <w:t>on key ML/TF risks and challenges.</w:t>
      </w:r>
    </w:p>
    <w:p w14:paraId="16D616EE" w14:textId="77777777" w:rsidR="00C63445" w:rsidRDefault="006D3237" w:rsidP="00BB4863">
      <w:pPr>
        <w:pStyle w:val="ListParagraph"/>
        <w:numPr>
          <w:ilvl w:val="0"/>
          <w:numId w:val="123"/>
        </w:numPr>
        <w:jc w:val="both"/>
        <w:rPr>
          <w:rFonts w:ascii="Calibri" w:hAnsi="Calibri" w:cs="Calibri"/>
          <w:color w:val="auto"/>
          <w:sz w:val="22"/>
          <w:lang w:val="en-US"/>
        </w:rPr>
      </w:pPr>
      <w:r w:rsidRPr="006D3237">
        <w:rPr>
          <w:rFonts w:ascii="Calibri" w:hAnsi="Calibri" w:cs="Calibri"/>
          <w:b/>
          <w:bCs/>
          <w:color w:val="auto"/>
          <w:sz w:val="22"/>
          <w:lang w:val="en-US"/>
        </w:rPr>
        <w:t>Risk Awareness</w:t>
      </w:r>
      <w:r>
        <w:rPr>
          <w:rFonts w:ascii="Calibri" w:hAnsi="Calibri" w:cs="Calibri"/>
          <w:color w:val="auto"/>
          <w:sz w:val="22"/>
          <w:lang w:val="en-US"/>
        </w:rPr>
        <w:t>:</w:t>
      </w:r>
      <w:r w:rsidR="00C63445">
        <w:rPr>
          <w:rFonts w:ascii="Calibri" w:hAnsi="Calibri" w:cs="Calibri"/>
          <w:color w:val="auto"/>
          <w:sz w:val="22"/>
          <w:lang w:val="en-US"/>
        </w:rPr>
        <w:t xml:space="preserve"> </w:t>
      </w:r>
    </w:p>
    <w:p w14:paraId="37245A80" w14:textId="297AB950" w:rsidR="006D3237" w:rsidRDefault="00C63445" w:rsidP="00BB4863">
      <w:pPr>
        <w:pStyle w:val="ListParagraph"/>
        <w:numPr>
          <w:ilvl w:val="1"/>
          <w:numId w:val="123"/>
        </w:numPr>
        <w:jc w:val="both"/>
        <w:rPr>
          <w:rFonts w:ascii="Calibri" w:hAnsi="Calibri" w:cs="Calibri"/>
          <w:color w:val="auto"/>
          <w:sz w:val="22"/>
          <w:lang w:val="en-US"/>
        </w:rPr>
      </w:pPr>
      <w:r>
        <w:rPr>
          <w:rFonts w:ascii="Calibri" w:hAnsi="Calibri" w:cs="Calibri"/>
          <w:color w:val="auto"/>
          <w:sz w:val="22"/>
          <w:lang w:val="en-US"/>
        </w:rPr>
        <w:t xml:space="preserve">Develop </w:t>
      </w:r>
      <w:r w:rsidRPr="00F435A3">
        <w:rPr>
          <w:rFonts w:ascii="Calibri" w:hAnsi="Calibri" w:cs="Calibri"/>
          <w:color w:val="auto"/>
          <w:sz w:val="22"/>
          <w:u w:val="single"/>
          <w:lang w:val="en-US"/>
        </w:rPr>
        <w:t>clear guidance tailored for various AML/CFT functions</w:t>
      </w:r>
      <w:r>
        <w:rPr>
          <w:rFonts w:ascii="Calibri" w:hAnsi="Calibri" w:cs="Calibri"/>
          <w:color w:val="auto"/>
          <w:sz w:val="22"/>
          <w:lang w:val="en-US"/>
        </w:rPr>
        <w:t xml:space="preserve">, e.g., nature of ML/TF risks, </w:t>
      </w:r>
      <w:r w:rsidR="00F435A3">
        <w:rPr>
          <w:rFonts w:ascii="Calibri" w:hAnsi="Calibri" w:cs="Calibri"/>
          <w:color w:val="auto"/>
          <w:sz w:val="22"/>
          <w:lang w:val="en-US"/>
        </w:rPr>
        <w:t xml:space="preserve">potential </w:t>
      </w:r>
      <w:r>
        <w:rPr>
          <w:rFonts w:ascii="Calibri" w:hAnsi="Calibri" w:cs="Calibri"/>
          <w:color w:val="auto"/>
          <w:sz w:val="22"/>
          <w:lang w:val="en-US"/>
        </w:rPr>
        <w:t>red flags</w:t>
      </w:r>
      <w:r w:rsidR="00F435A3">
        <w:rPr>
          <w:rFonts w:ascii="Calibri" w:hAnsi="Calibri" w:cs="Calibri"/>
          <w:color w:val="auto"/>
          <w:sz w:val="22"/>
          <w:lang w:val="en-US"/>
        </w:rPr>
        <w:t>, appropriate escalation and risk mitigation measures.</w:t>
      </w:r>
    </w:p>
    <w:p w14:paraId="5639EAF8" w14:textId="11DD1D3A" w:rsidR="00F435A3" w:rsidRDefault="00412E6D" w:rsidP="00BB4863">
      <w:pPr>
        <w:pStyle w:val="ListParagraph"/>
        <w:numPr>
          <w:ilvl w:val="1"/>
          <w:numId w:val="123"/>
        </w:numPr>
        <w:jc w:val="both"/>
        <w:rPr>
          <w:rFonts w:ascii="Calibri" w:hAnsi="Calibri" w:cs="Calibri"/>
          <w:color w:val="auto"/>
          <w:sz w:val="22"/>
          <w:lang w:val="en-US"/>
        </w:rPr>
      </w:pPr>
      <w:r>
        <w:rPr>
          <w:rFonts w:ascii="Calibri" w:hAnsi="Calibri" w:cs="Calibri"/>
          <w:color w:val="auto"/>
          <w:sz w:val="22"/>
          <w:lang w:val="en-US"/>
        </w:rPr>
        <w:t xml:space="preserve">Implement </w:t>
      </w:r>
      <w:r w:rsidRPr="008A7BA1">
        <w:rPr>
          <w:rFonts w:ascii="Calibri" w:hAnsi="Calibri" w:cs="Calibri"/>
          <w:color w:val="auto"/>
          <w:sz w:val="22"/>
          <w:u w:val="single"/>
          <w:lang w:val="en-US"/>
        </w:rPr>
        <w:t>staff training once every 2 years tailored for different functions</w:t>
      </w:r>
      <w:r>
        <w:rPr>
          <w:rFonts w:ascii="Calibri" w:hAnsi="Calibri" w:cs="Calibri"/>
          <w:color w:val="auto"/>
          <w:sz w:val="22"/>
          <w:lang w:val="en-US"/>
        </w:rPr>
        <w:t xml:space="preserve"> </w:t>
      </w:r>
      <w:r w:rsidRPr="00982980">
        <w:rPr>
          <w:rFonts w:ascii="Calibri" w:hAnsi="Calibri" w:cs="Calibri"/>
          <w:color w:val="auto"/>
          <w:sz w:val="22"/>
          <w:lang w:val="en-US"/>
        </w:rPr>
        <w:t>to foster strong AML/CFT practices</w:t>
      </w:r>
      <w:r w:rsidR="008A7BA1">
        <w:rPr>
          <w:rFonts w:ascii="Calibri" w:hAnsi="Calibri" w:cs="Calibri"/>
          <w:color w:val="auto"/>
          <w:sz w:val="22"/>
          <w:lang w:val="en-US"/>
        </w:rPr>
        <w:t>.</w:t>
      </w:r>
    </w:p>
    <w:p w14:paraId="077BDD42" w14:textId="115EAD60" w:rsidR="008A7BA1" w:rsidRDefault="008A7BA1" w:rsidP="00BB4863">
      <w:pPr>
        <w:pStyle w:val="ListParagraph"/>
        <w:numPr>
          <w:ilvl w:val="0"/>
          <w:numId w:val="123"/>
        </w:numPr>
        <w:jc w:val="both"/>
        <w:rPr>
          <w:rFonts w:ascii="Calibri" w:hAnsi="Calibri" w:cs="Calibri"/>
          <w:color w:val="auto"/>
          <w:sz w:val="22"/>
          <w:lang w:val="en-US"/>
        </w:rPr>
      </w:pPr>
      <w:r w:rsidRPr="008A7BA1">
        <w:rPr>
          <w:rFonts w:ascii="Calibri" w:hAnsi="Calibri" w:cs="Calibri"/>
          <w:b/>
          <w:bCs/>
          <w:color w:val="auto"/>
          <w:sz w:val="22"/>
          <w:lang w:val="en-US"/>
        </w:rPr>
        <w:t>Execution</w:t>
      </w:r>
      <w:r>
        <w:rPr>
          <w:rFonts w:ascii="Calibri" w:hAnsi="Calibri" w:cs="Calibri"/>
          <w:color w:val="auto"/>
          <w:sz w:val="22"/>
          <w:lang w:val="en-US"/>
        </w:rPr>
        <w:t>:</w:t>
      </w:r>
    </w:p>
    <w:p w14:paraId="4083FA06" w14:textId="77777777" w:rsidR="00BB4863" w:rsidRDefault="00A20B8F" w:rsidP="00BB4863">
      <w:pPr>
        <w:pStyle w:val="ListParagraph"/>
        <w:numPr>
          <w:ilvl w:val="1"/>
          <w:numId w:val="123"/>
        </w:numPr>
        <w:jc w:val="both"/>
        <w:rPr>
          <w:rFonts w:ascii="Calibri" w:hAnsi="Calibri" w:cs="Calibri"/>
          <w:color w:val="auto"/>
          <w:sz w:val="22"/>
          <w:lang w:val="en-US"/>
        </w:rPr>
      </w:pPr>
      <w:r w:rsidRPr="00BA14DC">
        <w:rPr>
          <w:rFonts w:ascii="Calibri" w:hAnsi="Calibri" w:cs="Calibri"/>
          <w:color w:val="auto"/>
          <w:sz w:val="22"/>
          <w:u w:val="single"/>
          <w:lang w:val="en-US"/>
        </w:rPr>
        <w:t>Periodically review and enhance policies and procedures</w:t>
      </w:r>
      <w:r>
        <w:rPr>
          <w:rFonts w:ascii="Calibri" w:hAnsi="Calibri" w:cs="Calibri"/>
          <w:color w:val="auto"/>
          <w:sz w:val="22"/>
          <w:lang w:val="en-US"/>
        </w:rPr>
        <w:t xml:space="preserve"> to ensure alignment with regulatory requirements.</w:t>
      </w:r>
    </w:p>
    <w:p w14:paraId="4BC5BBB6" w14:textId="77777777" w:rsidR="00BB4863" w:rsidRDefault="007A6B51" w:rsidP="00BB4863">
      <w:pPr>
        <w:pStyle w:val="ListParagraph"/>
        <w:numPr>
          <w:ilvl w:val="1"/>
          <w:numId w:val="123"/>
        </w:numPr>
        <w:jc w:val="both"/>
        <w:rPr>
          <w:rFonts w:ascii="Calibri" w:hAnsi="Calibri" w:cs="Calibri"/>
          <w:color w:val="auto"/>
          <w:sz w:val="22"/>
          <w:lang w:val="en-US"/>
        </w:rPr>
      </w:pPr>
      <w:r w:rsidRPr="00BB4863">
        <w:rPr>
          <w:rFonts w:ascii="Calibri" w:hAnsi="Calibri" w:cs="Calibri"/>
          <w:color w:val="auto"/>
          <w:sz w:val="22"/>
          <w:lang w:val="en-US"/>
        </w:rPr>
        <w:t xml:space="preserve">Implement </w:t>
      </w:r>
      <w:r w:rsidRPr="00BB4863">
        <w:rPr>
          <w:rFonts w:ascii="Calibri" w:hAnsi="Calibri" w:cs="Calibri"/>
          <w:color w:val="auto"/>
          <w:sz w:val="22"/>
          <w:u w:val="single"/>
          <w:lang w:val="en-US"/>
        </w:rPr>
        <w:t>ongoing risk-based monitoring framework to ensure EDD measures are applied on high</w:t>
      </w:r>
      <w:r w:rsidR="007C734F" w:rsidRPr="00BB4863">
        <w:rPr>
          <w:rFonts w:ascii="Calibri" w:hAnsi="Calibri" w:cs="Calibri"/>
          <w:color w:val="auto"/>
          <w:sz w:val="22"/>
          <w:u w:val="single"/>
          <w:lang w:val="en-US"/>
        </w:rPr>
        <w:t>-</w:t>
      </w:r>
      <w:r w:rsidRPr="00BB4863">
        <w:rPr>
          <w:rFonts w:ascii="Calibri" w:hAnsi="Calibri" w:cs="Calibri"/>
          <w:color w:val="auto"/>
          <w:sz w:val="22"/>
          <w:u w:val="single"/>
          <w:lang w:val="en-US"/>
        </w:rPr>
        <w:t>risk customers</w:t>
      </w:r>
      <w:r w:rsidRPr="00BB4863">
        <w:rPr>
          <w:rFonts w:ascii="Calibri" w:hAnsi="Calibri" w:cs="Calibri"/>
          <w:color w:val="auto"/>
          <w:sz w:val="22"/>
          <w:lang w:val="en-US"/>
        </w:rPr>
        <w:t>.</w:t>
      </w:r>
    </w:p>
    <w:p w14:paraId="58807C5A" w14:textId="2A098F28" w:rsidR="00A20B8F" w:rsidRPr="00BB4863" w:rsidRDefault="007C734F" w:rsidP="00BB4863">
      <w:pPr>
        <w:pStyle w:val="ListParagraph"/>
        <w:numPr>
          <w:ilvl w:val="1"/>
          <w:numId w:val="123"/>
        </w:numPr>
        <w:jc w:val="both"/>
        <w:rPr>
          <w:rFonts w:ascii="Calibri" w:hAnsi="Calibri" w:cs="Calibri"/>
          <w:color w:val="auto"/>
          <w:sz w:val="22"/>
          <w:lang w:val="en-US"/>
        </w:rPr>
      </w:pPr>
      <w:r w:rsidRPr="00BB4863">
        <w:rPr>
          <w:rFonts w:ascii="Calibri" w:hAnsi="Calibri" w:cs="Calibri"/>
          <w:color w:val="auto"/>
          <w:sz w:val="22"/>
          <w:lang w:val="en-US"/>
        </w:rPr>
        <w:t xml:space="preserve">Set up </w:t>
      </w:r>
      <w:r w:rsidRPr="00BB4863">
        <w:rPr>
          <w:rFonts w:ascii="Calibri" w:hAnsi="Calibri" w:cs="Calibri"/>
          <w:color w:val="auto"/>
          <w:sz w:val="22"/>
          <w:u w:val="single"/>
          <w:lang w:val="en-US"/>
        </w:rPr>
        <w:t>system and processes</w:t>
      </w:r>
      <w:r w:rsidRPr="00BB4863">
        <w:rPr>
          <w:rFonts w:ascii="Calibri" w:hAnsi="Calibri" w:cs="Calibri"/>
          <w:color w:val="auto"/>
          <w:sz w:val="22"/>
          <w:lang w:val="en-US"/>
        </w:rPr>
        <w:t xml:space="preserve"> for identification, reporting </w:t>
      </w:r>
      <w:r w:rsidR="00BA14DC" w:rsidRPr="00BB4863">
        <w:rPr>
          <w:rFonts w:ascii="Calibri" w:hAnsi="Calibri" w:cs="Calibri"/>
          <w:color w:val="auto"/>
          <w:sz w:val="22"/>
          <w:lang w:val="en-US"/>
        </w:rPr>
        <w:t xml:space="preserve">(e.g., STR filing) </w:t>
      </w:r>
      <w:r w:rsidRPr="00BB4863">
        <w:rPr>
          <w:rFonts w:ascii="Calibri" w:hAnsi="Calibri" w:cs="Calibri"/>
          <w:color w:val="auto"/>
          <w:sz w:val="22"/>
          <w:lang w:val="en-US"/>
        </w:rPr>
        <w:t>and mitigation of ML/TF risks</w:t>
      </w:r>
      <w:r w:rsidR="00BA14DC" w:rsidRPr="00BB4863">
        <w:rPr>
          <w:rFonts w:ascii="Calibri" w:hAnsi="Calibri" w:cs="Calibri"/>
          <w:color w:val="auto"/>
          <w:sz w:val="22"/>
          <w:lang w:val="en-US"/>
        </w:rPr>
        <w:t>.</w:t>
      </w:r>
      <w:r w:rsidR="007A6B51" w:rsidRPr="00BB4863">
        <w:rPr>
          <w:rFonts w:ascii="Calibri" w:hAnsi="Calibri" w:cs="Calibri"/>
          <w:color w:val="auto"/>
          <w:sz w:val="22"/>
          <w:lang w:val="en-US"/>
        </w:rPr>
        <w:t xml:space="preserve"> </w:t>
      </w:r>
    </w:p>
    <w:p w14:paraId="58AFCC0E" w14:textId="77777777" w:rsidR="00260D71" w:rsidRPr="00B52D53" w:rsidRDefault="00260D71" w:rsidP="00260D71">
      <w:pPr>
        <w:pStyle w:val="BodyText"/>
        <w:ind w:left="1440"/>
        <w:jc w:val="both"/>
        <w:rPr>
          <w:rFonts w:ascii="Calibri" w:hAnsi="Calibri" w:cs="Calibri"/>
          <w:color w:val="auto"/>
          <w:sz w:val="22"/>
          <w:lang w:val="en-US"/>
        </w:rPr>
      </w:pPr>
    </w:p>
    <w:p w14:paraId="7A8C5A6B" w14:textId="777B3F55" w:rsidR="0092146B" w:rsidRPr="00B52D53" w:rsidRDefault="00260D71" w:rsidP="00260D71">
      <w:pPr>
        <w:pStyle w:val="Heading2"/>
        <w:rPr>
          <w:color w:val="auto"/>
          <w:lang w:val="en-US"/>
        </w:rPr>
      </w:pPr>
      <w:r w:rsidRPr="00B52D53">
        <w:rPr>
          <w:color w:val="auto"/>
          <w:lang w:val="en-US"/>
        </w:rPr>
        <w:t>Sample Questions</w:t>
      </w:r>
    </w:p>
    <w:p w14:paraId="632781E9" w14:textId="633E1E37"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2 – Fund Management Regulations and Guidelines</w:t>
      </w:r>
    </w:p>
    <w:p w14:paraId="20A94240" w14:textId="78BF6F8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 The key legislation governing the securities industry of Singapore is the:</w:t>
      </w:r>
    </w:p>
    <w:p w14:paraId="185F62D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Exchanges Act.</w:t>
      </w:r>
    </w:p>
    <w:p w14:paraId="1E5FF14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Local Treasury Bills Act.</w:t>
      </w:r>
    </w:p>
    <w:p w14:paraId="61B71CF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Banking Act.</w:t>
      </w:r>
    </w:p>
    <w:p w14:paraId="48DED4B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Securities and Futures Act.</w:t>
      </w:r>
    </w:p>
    <w:p w14:paraId="745840EB" w14:textId="77777777" w:rsidR="00192DB8" w:rsidRPr="00B52D53" w:rsidRDefault="00192DB8" w:rsidP="00DA459B">
      <w:pPr>
        <w:jc w:val="both"/>
        <w:rPr>
          <w:rFonts w:ascii="Calibri" w:hAnsi="Calibri" w:cs="Calibri"/>
          <w:color w:val="auto"/>
          <w:szCs w:val="20"/>
          <w:lang w:val="en-US"/>
        </w:rPr>
      </w:pPr>
    </w:p>
    <w:p w14:paraId="05083D98" w14:textId="589BC3A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2. Which of the following does NOT comply with Investment Management Association of Singapore (IMAS) recommended practice for allocating clients’ orders?</w:t>
      </w:r>
    </w:p>
    <w:p w14:paraId="282F9C8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Having a procedure in place to allocate orders given to clients fairly.</w:t>
      </w:r>
    </w:p>
    <w:p w14:paraId="4593C1C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Recording the intended basis of allocation of block orders before the transaction is </w:t>
      </w:r>
      <w:proofErr w:type="spellStart"/>
      <w:proofErr w:type="gramStart"/>
      <w:r w:rsidRPr="00B52D53">
        <w:rPr>
          <w:rFonts w:ascii="Calibri" w:hAnsi="Calibri" w:cs="Calibri"/>
          <w:color w:val="auto"/>
          <w:szCs w:val="20"/>
          <w:lang w:val="en-US"/>
        </w:rPr>
        <w:t>effected</w:t>
      </w:r>
      <w:proofErr w:type="spellEnd"/>
      <w:proofErr w:type="gramEnd"/>
      <w:r w:rsidRPr="00B52D53">
        <w:rPr>
          <w:rFonts w:ascii="Calibri" w:hAnsi="Calibri" w:cs="Calibri"/>
          <w:color w:val="auto"/>
          <w:szCs w:val="20"/>
          <w:lang w:val="en-US"/>
        </w:rPr>
        <w:t>.</w:t>
      </w:r>
    </w:p>
    <w:p w14:paraId="507CC82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c. Recording executed allocations one day after the transaction date.</w:t>
      </w:r>
    </w:p>
    <w:p w14:paraId="5E166A9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Providing clear documentation to support reasons why initial order allocations are revised.</w:t>
      </w:r>
    </w:p>
    <w:p w14:paraId="1BEBB50D" w14:textId="77777777" w:rsidR="00192DB8" w:rsidRPr="00B52D53" w:rsidRDefault="00192DB8" w:rsidP="00DA459B">
      <w:pPr>
        <w:jc w:val="both"/>
        <w:rPr>
          <w:rFonts w:ascii="Calibri" w:hAnsi="Calibri" w:cs="Calibri"/>
          <w:color w:val="auto"/>
          <w:szCs w:val="20"/>
          <w:lang w:val="en-US"/>
        </w:rPr>
      </w:pPr>
    </w:p>
    <w:p w14:paraId="092C95CE" w14:textId="3E29BB5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 Under the IMAS Code of Ethics and Standards of Professional Conduct, members may receive goods or services (i.e. soft dollars) from a broker in consideration of directing transaction business on behalf of their clients to the broker only if:</w:t>
      </w:r>
    </w:p>
    <w:p w14:paraId="3A2ABAC7" w14:textId="51233DF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goods or services can reasonably be expected to assist in the provision of the investment services to Members’ clients generally.</w:t>
      </w:r>
    </w:p>
    <w:p w14:paraId="4CFE0441" w14:textId="2755FDE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Transactions are executed on the best available terms, considering the market at the time for transactions of the kind and size concerned.</w:t>
      </w:r>
    </w:p>
    <w:p w14:paraId="465B84B7" w14:textId="2DA5C75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Members do not </w:t>
      </w:r>
      <w:proofErr w:type="gramStart"/>
      <w:r w:rsidRPr="00B52D53">
        <w:rPr>
          <w:rFonts w:ascii="Calibri" w:hAnsi="Calibri" w:cs="Calibri"/>
          <w:color w:val="auto"/>
          <w:szCs w:val="20"/>
          <w:lang w:val="en-US"/>
        </w:rPr>
        <w:t>enter into</w:t>
      </w:r>
      <w:proofErr w:type="gramEnd"/>
      <w:r w:rsidRPr="00B52D53">
        <w:rPr>
          <w:rFonts w:ascii="Calibri" w:hAnsi="Calibri" w:cs="Calibri"/>
          <w:color w:val="auto"/>
          <w:szCs w:val="20"/>
          <w:lang w:val="en-US"/>
        </w:rPr>
        <w:t xml:space="preserve"> unnecessary trades </w:t>
      </w:r>
      <w:proofErr w:type="gramStart"/>
      <w:r w:rsidRPr="00B52D53">
        <w:rPr>
          <w:rFonts w:ascii="Calibri" w:hAnsi="Calibri" w:cs="Calibri"/>
          <w:color w:val="auto"/>
          <w:szCs w:val="20"/>
          <w:lang w:val="en-US"/>
        </w:rPr>
        <w:t>in order to</w:t>
      </w:r>
      <w:proofErr w:type="gramEnd"/>
      <w:r w:rsidRPr="00B52D53">
        <w:rPr>
          <w:rFonts w:ascii="Calibri" w:hAnsi="Calibri" w:cs="Calibri"/>
          <w:color w:val="auto"/>
          <w:szCs w:val="20"/>
          <w:lang w:val="en-US"/>
        </w:rPr>
        <w:t xml:space="preserve"> achieve a sufficient volume of transactions to qualify for soft dollars.</w:t>
      </w:r>
    </w:p>
    <w:p w14:paraId="3FFF450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Members maintain a record of soft dollar arrangements and activities.</w:t>
      </w:r>
    </w:p>
    <w:p w14:paraId="72548A8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3053B05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15A0DC2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5729FF1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6FEC9E20" w14:textId="77777777" w:rsidR="00192DB8" w:rsidRPr="00B52D53" w:rsidRDefault="00192DB8" w:rsidP="00DA459B">
      <w:pPr>
        <w:jc w:val="both"/>
        <w:rPr>
          <w:rFonts w:ascii="Calibri" w:hAnsi="Calibri" w:cs="Calibri"/>
          <w:color w:val="auto"/>
          <w:szCs w:val="20"/>
          <w:lang w:val="en-US"/>
        </w:rPr>
      </w:pPr>
    </w:p>
    <w:p w14:paraId="012BB6B4" w14:textId="3860AD7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 Under the IMAS Standards of Professional Conduct, Best Execution refers to executing trades:</w:t>
      </w:r>
    </w:p>
    <w:p w14:paraId="050CC45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At the best available terms for the client.</w:t>
      </w:r>
    </w:p>
    <w:p w14:paraId="55D56392" w14:textId="1714C2E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On </w:t>
      </w:r>
      <w:r w:rsidR="0004778D" w:rsidRPr="00B52D53">
        <w:rPr>
          <w:rFonts w:ascii="Calibri" w:hAnsi="Calibri" w:cs="Calibri"/>
          <w:color w:val="auto"/>
          <w:szCs w:val="20"/>
          <w:lang w:val="en-US"/>
        </w:rPr>
        <w:t>recognized</w:t>
      </w:r>
      <w:r w:rsidRPr="00B52D53">
        <w:rPr>
          <w:rFonts w:ascii="Calibri" w:hAnsi="Calibri" w:cs="Calibri"/>
          <w:color w:val="auto"/>
          <w:szCs w:val="20"/>
          <w:lang w:val="en-US"/>
        </w:rPr>
        <w:t xml:space="preserve"> stock exchanges.</w:t>
      </w:r>
    </w:p>
    <w:p w14:paraId="7659CA2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With brokers or counterparties with good credit standing.</w:t>
      </w:r>
    </w:p>
    <w:p w14:paraId="6DAE6E7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With brokers or counterparties that are not related parties.</w:t>
      </w:r>
    </w:p>
    <w:p w14:paraId="075EAD56" w14:textId="77777777" w:rsidR="00192DB8" w:rsidRPr="00B52D53" w:rsidRDefault="00192DB8" w:rsidP="00DA459B">
      <w:pPr>
        <w:jc w:val="both"/>
        <w:rPr>
          <w:rFonts w:ascii="Calibri" w:hAnsi="Calibri" w:cs="Calibri"/>
          <w:color w:val="auto"/>
          <w:szCs w:val="20"/>
          <w:lang w:val="en-US"/>
        </w:rPr>
      </w:pPr>
    </w:p>
    <w:p w14:paraId="488822FE" w14:textId="316A8FE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 Under the IMAS Standards of Professional Conduct on Relevant Legislation, members should establish internal procedures that ensure knowledge and compliance with the applicable laws and rules. These internal procedures would apply to:</w:t>
      </w:r>
    </w:p>
    <w:p w14:paraId="29B346A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All staff.</w:t>
      </w:r>
    </w:p>
    <w:p w14:paraId="5DAA99C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All directors only.</w:t>
      </w:r>
    </w:p>
    <w:p w14:paraId="74DB80E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All front office staff only.</w:t>
      </w:r>
    </w:p>
    <w:p w14:paraId="23EDDF1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d. All back-office staff only.</w:t>
      </w:r>
    </w:p>
    <w:p w14:paraId="02760FA1" w14:textId="77777777" w:rsidR="00192DB8" w:rsidRPr="00B52D53" w:rsidRDefault="00192DB8" w:rsidP="00DA459B">
      <w:pPr>
        <w:jc w:val="both"/>
        <w:rPr>
          <w:rFonts w:ascii="Calibri" w:hAnsi="Calibri" w:cs="Calibri"/>
          <w:color w:val="auto"/>
          <w:szCs w:val="20"/>
          <w:lang w:val="en-US"/>
        </w:rPr>
      </w:pPr>
    </w:p>
    <w:p w14:paraId="7793301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 Which of the following practices complies with the IMAS Standards of Professional Conduct?</w:t>
      </w:r>
    </w:p>
    <w:p w14:paraId="1A0B9843" w14:textId="41F879A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The fund manager hears a </w:t>
      </w:r>
      <w:r w:rsidR="0004778D" w:rsidRPr="00B52D53">
        <w:rPr>
          <w:rFonts w:ascii="Calibri" w:hAnsi="Calibri" w:cs="Calibri"/>
          <w:color w:val="auto"/>
          <w:szCs w:val="20"/>
          <w:lang w:val="en-US"/>
        </w:rPr>
        <w:t>rumor</w:t>
      </w:r>
      <w:r w:rsidRPr="00B52D53">
        <w:rPr>
          <w:rFonts w:ascii="Calibri" w:hAnsi="Calibri" w:cs="Calibri"/>
          <w:color w:val="auto"/>
          <w:szCs w:val="20"/>
          <w:lang w:val="en-US"/>
        </w:rPr>
        <w:t xml:space="preserve"> of a potential takeover of a major public company from one of the employees of the public company and proceeds to invest in that company for his/her clients.</w:t>
      </w:r>
    </w:p>
    <w:p w14:paraId="0546C2FE" w14:textId="59BD150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The fund manager hears a </w:t>
      </w:r>
      <w:r w:rsidR="0004778D" w:rsidRPr="00B52D53">
        <w:rPr>
          <w:rFonts w:ascii="Calibri" w:hAnsi="Calibri" w:cs="Calibri"/>
          <w:color w:val="auto"/>
          <w:szCs w:val="20"/>
          <w:lang w:val="en-US"/>
        </w:rPr>
        <w:t>rumor</w:t>
      </w:r>
      <w:r w:rsidRPr="00B52D53">
        <w:rPr>
          <w:rFonts w:ascii="Calibri" w:hAnsi="Calibri" w:cs="Calibri"/>
          <w:color w:val="auto"/>
          <w:szCs w:val="20"/>
          <w:lang w:val="en-US"/>
        </w:rPr>
        <w:t xml:space="preserve"> of a potential takeover of a major public company. The fund manager believes that the stock is a good investment despite the rumor based on his/her own research of the company and invest in that company for his/her clients in accordance with the investment mandate granted by the clients.</w:t>
      </w:r>
    </w:p>
    <w:p w14:paraId="06B32EF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fund manager buys securities from the clients’ account.</w:t>
      </w:r>
    </w:p>
    <w:p w14:paraId="231E79E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fund manager trades excessively for the clients’ account.</w:t>
      </w:r>
    </w:p>
    <w:p w14:paraId="6256A52C" w14:textId="77777777" w:rsidR="00192DB8" w:rsidRPr="00B52D53" w:rsidRDefault="00192DB8" w:rsidP="00DA459B">
      <w:pPr>
        <w:jc w:val="both"/>
        <w:rPr>
          <w:rFonts w:ascii="Calibri" w:hAnsi="Calibri" w:cs="Calibri"/>
          <w:color w:val="auto"/>
          <w:szCs w:val="20"/>
          <w:lang w:val="en-US"/>
        </w:rPr>
      </w:pPr>
    </w:p>
    <w:p w14:paraId="63374C29" w14:textId="25D7C96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7. </w:t>
      </w:r>
      <w:proofErr w:type="gramStart"/>
      <w:r w:rsidRPr="00B52D53">
        <w:rPr>
          <w:rFonts w:ascii="Calibri" w:hAnsi="Calibri" w:cs="Calibri"/>
          <w:color w:val="auto"/>
          <w:szCs w:val="20"/>
          <w:lang w:val="en-US"/>
        </w:rPr>
        <w:t>All of</w:t>
      </w:r>
      <w:proofErr w:type="gramEnd"/>
      <w:r w:rsidRPr="00B52D53">
        <w:rPr>
          <w:rFonts w:ascii="Calibri" w:hAnsi="Calibri" w:cs="Calibri"/>
          <w:color w:val="auto"/>
          <w:szCs w:val="20"/>
          <w:lang w:val="en-US"/>
        </w:rPr>
        <w:t xml:space="preserve"> the following practices are discouraged under the IMAS Standards of Professional Conduct</w:t>
      </w:r>
    </w:p>
    <w:p w14:paraId="5B71B86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EXCEPT:</w:t>
      </w:r>
    </w:p>
    <w:p w14:paraId="34BC3CC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fund manager allows the client to undertake late trading in funds.</w:t>
      </w:r>
    </w:p>
    <w:p w14:paraId="3473A33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fund manager allows the client to trade in their funds to take advantage of discrepancies.</w:t>
      </w:r>
    </w:p>
    <w:p w14:paraId="5348319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The fund manager makes an untrue statement </w:t>
      </w:r>
      <w:proofErr w:type="gramStart"/>
      <w:r w:rsidRPr="00B52D53">
        <w:rPr>
          <w:rFonts w:ascii="Calibri" w:hAnsi="Calibri" w:cs="Calibri"/>
          <w:color w:val="auto"/>
          <w:szCs w:val="20"/>
          <w:lang w:val="en-US"/>
        </w:rPr>
        <w:t>with regard to</w:t>
      </w:r>
      <w:proofErr w:type="gramEnd"/>
      <w:r w:rsidRPr="00B52D53">
        <w:rPr>
          <w:rFonts w:ascii="Calibri" w:hAnsi="Calibri" w:cs="Calibri"/>
          <w:color w:val="auto"/>
          <w:szCs w:val="20"/>
          <w:lang w:val="en-US"/>
        </w:rPr>
        <w:t xml:space="preserve"> the funds’ performances.</w:t>
      </w:r>
    </w:p>
    <w:p w14:paraId="3931BE1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fund manager includes risk warnings in the presentations on fund performances to clients.</w:t>
      </w:r>
    </w:p>
    <w:p w14:paraId="4AF60B94" w14:textId="77777777" w:rsidR="00192DB8" w:rsidRPr="00B52D53" w:rsidRDefault="00192DB8" w:rsidP="00DA459B">
      <w:pPr>
        <w:jc w:val="both"/>
        <w:rPr>
          <w:rFonts w:ascii="Calibri" w:hAnsi="Calibri" w:cs="Calibri"/>
          <w:color w:val="auto"/>
          <w:szCs w:val="20"/>
          <w:lang w:val="en-US"/>
        </w:rPr>
      </w:pPr>
    </w:p>
    <w:p w14:paraId="4F8ACECF" w14:textId="4456A49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 Which of the following is an acceptable practice under the IMAS Standards of Professional Conduct?</w:t>
      </w:r>
    </w:p>
    <w:p w14:paraId="1B2CC44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The fund manager:</w:t>
      </w:r>
    </w:p>
    <w:p w14:paraId="63E30B87" w14:textId="5F32859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Changes a client’s portfolio twice a month with completely different securities with a related company.</w:t>
      </w:r>
    </w:p>
    <w:p w14:paraId="183E2DF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Directs clients’ trades to a broker that is also distributor of its funds.</w:t>
      </w:r>
    </w:p>
    <w:p w14:paraId="2475E9C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Does not observe the client’s investment guidelines when managing the client’s portfolio.</w:t>
      </w:r>
    </w:p>
    <w:p w14:paraId="5A95F54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Should not deposit or borrow funds on behalf of a client with a related company.</w:t>
      </w:r>
    </w:p>
    <w:p w14:paraId="2D064261" w14:textId="77777777" w:rsidR="00192DB8" w:rsidRPr="00B52D53" w:rsidRDefault="00192DB8" w:rsidP="00DA459B">
      <w:pPr>
        <w:jc w:val="both"/>
        <w:rPr>
          <w:rFonts w:ascii="Calibri" w:hAnsi="Calibri" w:cs="Calibri"/>
          <w:color w:val="auto"/>
          <w:szCs w:val="20"/>
          <w:lang w:val="en-US"/>
        </w:rPr>
      </w:pPr>
    </w:p>
    <w:p w14:paraId="360D48AC" w14:textId="284DEFD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 Assume you are a fund manager marketing a balanced unit trust to an investor for his CPF Investment Scheme (CPFIS) account. Which of the following statements would comply with the IMAS Standards of Professional Conduct?</w:t>
      </w:r>
    </w:p>
    <w:p w14:paraId="2B799E30" w14:textId="312AC20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“I am certain that this fund will appreciate at the same rate of return as it has in the past five years.”</w:t>
      </w:r>
    </w:p>
    <w:p w14:paraId="353C2F79" w14:textId="7DBBB39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b. “I am so certain of this investment for your CPF Ordinary Account that I will guarantee any downside.”</w:t>
      </w:r>
    </w:p>
    <w:p w14:paraId="570AA32A" w14:textId="7E79874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“While the fund has shown gains in the past ten years, I cannot guarantee that it will continue to perform as in the past.”</w:t>
      </w:r>
    </w:p>
    <w:p w14:paraId="4E226A0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“This is a suitable investment for your CPFIS account as its price can only continue to increase.”</w:t>
      </w:r>
    </w:p>
    <w:p w14:paraId="1384153A" w14:textId="77777777" w:rsidR="00192DB8" w:rsidRPr="00B52D53" w:rsidRDefault="00192DB8" w:rsidP="00DA459B">
      <w:pPr>
        <w:jc w:val="both"/>
        <w:rPr>
          <w:rFonts w:ascii="Calibri" w:hAnsi="Calibri" w:cs="Calibri"/>
          <w:color w:val="auto"/>
          <w:szCs w:val="20"/>
          <w:lang w:val="en-US"/>
        </w:rPr>
      </w:pPr>
    </w:p>
    <w:p w14:paraId="5F9D412A" w14:textId="2247A2C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10. The IMAS Standards of Professional Conduct recommends which TWO of the following should be included in the Investment Mandate?</w:t>
      </w:r>
    </w:p>
    <w:p w14:paraId="2ED9D5C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Reception and transmission of orders.</w:t>
      </w:r>
    </w:p>
    <w:p w14:paraId="75EC08B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Investment objectives.</w:t>
      </w:r>
    </w:p>
    <w:p w14:paraId="7B1830B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Performance measurements and appropriate benchmarks.</w:t>
      </w:r>
    </w:p>
    <w:p w14:paraId="6A12F36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Disclaimers.</w:t>
      </w:r>
    </w:p>
    <w:p w14:paraId="7411163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4E8E9E6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50601F5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129F872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(d).</w:t>
      </w:r>
    </w:p>
    <w:p w14:paraId="6186914E" w14:textId="77777777" w:rsidR="00192DB8" w:rsidRPr="00B52D53" w:rsidRDefault="00192DB8" w:rsidP="00DA459B">
      <w:pPr>
        <w:jc w:val="both"/>
        <w:rPr>
          <w:rFonts w:ascii="Calibri" w:hAnsi="Calibri" w:cs="Calibri"/>
          <w:color w:val="auto"/>
          <w:szCs w:val="20"/>
          <w:lang w:val="en-US"/>
        </w:rPr>
      </w:pPr>
    </w:p>
    <w:p w14:paraId="7A51E739" w14:textId="35CF014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11. The IMAS Standards of Professional Conduct recommends which of the following methods should be used by a fund manager to avoid an appearance of conflict of interest by its employees?</w:t>
      </w:r>
    </w:p>
    <w:p w14:paraId="3320819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 policy which states that clients’ interests receive priority over the interests of the employees.</w:t>
      </w:r>
    </w:p>
    <w:p w14:paraId="0118A93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 procedure that requires employees to disclose their directorships in companies.</w:t>
      </w:r>
    </w:p>
    <w:p w14:paraId="2A208CA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 procedure that requires employees to disclose of substantial shareholdings in companies.</w:t>
      </w:r>
    </w:p>
    <w:p w14:paraId="3DBFDAA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 procedure that requires the fund manager to disclose portfolio risk to its clients.</w:t>
      </w:r>
    </w:p>
    <w:p w14:paraId="096C144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1251DBC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6968424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5FC4268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(d).</w:t>
      </w:r>
    </w:p>
    <w:p w14:paraId="152EBFFB" w14:textId="77777777" w:rsidR="00192DB8" w:rsidRPr="00B52D53" w:rsidRDefault="00192DB8" w:rsidP="00DA459B">
      <w:pPr>
        <w:jc w:val="both"/>
        <w:rPr>
          <w:rFonts w:ascii="Calibri" w:hAnsi="Calibri" w:cs="Calibri"/>
          <w:color w:val="auto"/>
          <w:szCs w:val="20"/>
          <w:lang w:val="en-US"/>
        </w:rPr>
      </w:pPr>
    </w:p>
    <w:p w14:paraId="277781E1" w14:textId="188E7CE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12. A fund manager must take reasonable steps to ensure that a client is given adequate information about the firm. Which of the following are NOT required by the IMAS Standards of Professional Conduct?</w:t>
      </w:r>
    </w:p>
    <w:p w14:paraId="2EBE5B0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a. Details of awards worn by the firm.</w:t>
      </w:r>
    </w:p>
    <w:p w14:paraId="57B6CE3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Its business addresses.</w:t>
      </w:r>
    </w:p>
    <w:p w14:paraId="1B1125E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identity and status of employees with whom he has contact.</w:t>
      </w:r>
    </w:p>
    <w:p w14:paraId="7BE83C0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relevant conditions or restrictions under which the fund manager's business is conducted.</w:t>
      </w:r>
    </w:p>
    <w:p w14:paraId="1752BC7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w:t>
      </w:r>
    </w:p>
    <w:p w14:paraId="5C1513C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2FA5488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72DC77E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61BA0B8A" w14:textId="77777777" w:rsidR="00192DB8" w:rsidRPr="00B52D53" w:rsidRDefault="00192DB8" w:rsidP="00DA459B">
      <w:pPr>
        <w:jc w:val="both"/>
        <w:rPr>
          <w:rFonts w:ascii="Calibri" w:hAnsi="Calibri" w:cs="Calibri"/>
          <w:color w:val="auto"/>
          <w:szCs w:val="20"/>
          <w:lang w:val="en-US"/>
        </w:rPr>
      </w:pPr>
    </w:p>
    <w:p w14:paraId="650F264F" w14:textId="0E0D414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13. Which of the following principles captures the principles of the IMAS’ Code of Ethics? The fund manager should:</w:t>
      </w:r>
    </w:p>
    <w:p w14:paraId="113D9B8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Achieve long term risk-adjusted investment performance record.</w:t>
      </w:r>
    </w:p>
    <w:p w14:paraId="0384B3C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Provide friendly service.</w:t>
      </w:r>
    </w:p>
    <w:p w14:paraId="14F0DCE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Act with competence.</w:t>
      </w:r>
    </w:p>
    <w:p w14:paraId="7757C2C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Conduct himself with integrity and professionalism.</w:t>
      </w:r>
    </w:p>
    <w:p w14:paraId="7CD7B72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w:t>
      </w:r>
    </w:p>
    <w:p w14:paraId="7A9A97B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17BABF5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724A41B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2E785022" w14:textId="77777777" w:rsidR="00192DB8" w:rsidRPr="00B52D53" w:rsidRDefault="00192DB8" w:rsidP="00DA459B">
      <w:pPr>
        <w:jc w:val="both"/>
        <w:rPr>
          <w:rFonts w:ascii="Calibri" w:hAnsi="Calibri" w:cs="Calibri"/>
          <w:color w:val="auto"/>
          <w:szCs w:val="20"/>
          <w:lang w:val="en-US"/>
        </w:rPr>
      </w:pPr>
    </w:p>
    <w:p w14:paraId="61CF9306" w14:textId="1AC99AF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14. Which of the following comply with the IMAS Standards of Professional Conduct on Segregation of Business Activities?</w:t>
      </w:r>
    </w:p>
    <w:p w14:paraId="327DD772" w14:textId="7F363BF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fund manager segregates its proprietary investment activities from its clients’ investment activities.</w:t>
      </w:r>
    </w:p>
    <w:p w14:paraId="11D66611" w14:textId="6321793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The fund manager has “China Wall” arrangements in place to limit the flow of confidential and price sensitive information that might prevent the firm from dealing </w:t>
      </w:r>
      <w:proofErr w:type="gramStart"/>
      <w:r w:rsidRPr="00B52D53">
        <w:rPr>
          <w:rFonts w:ascii="Calibri" w:hAnsi="Calibri" w:cs="Calibri"/>
          <w:color w:val="auto"/>
          <w:szCs w:val="20"/>
          <w:lang w:val="en-US"/>
        </w:rPr>
        <w:t>in particular securities</w:t>
      </w:r>
      <w:proofErr w:type="gramEnd"/>
      <w:r w:rsidRPr="00B52D53">
        <w:rPr>
          <w:rFonts w:ascii="Calibri" w:hAnsi="Calibri" w:cs="Calibri"/>
          <w:color w:val="auto"/>
          <w:szCs w:val="20"/>
          <w:lang w:val="en-US"/>
        </w:rPr>
        <w:t xml:space="preserve"> or with </w:t>
      </w:r>
      <w:proofErr w:type="gramStart"/>
      <w:r w:rsidRPr="00B52D53">
        <w:rPr>
          <w:rFonts w:ascii="Calibri" w:hAnsi="Calibri" w:cs="Calibri"/>
          <w:color w:val="auto"/>
          <w:szCs w:val="20"/>
          <w:lang w:val="en-US"/>
        </w:rPr>
        <w:t>particular clients</w:t>
      </w:r>
      <w:proofErr w:type="gramEnd"/>
      <w:r w:rsidRPr="00B52D53">
        <w:rPr>
          <w:rFonts w:ascii="Calibri" w:hAnsi="Calibri" w:cs="Calibri"/>
          <w:color w:val="auto"/>
          <w:szCs w:val="20"/>
          <w:lang w:val="en-US"/>
        </w:rPr>
        <w:t>.</w:t>
      </w:r>
    </w:p>
    <w:p w14:paraId="1F072D9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fund manager’s front office is not physically separated from its back office.</w:t>
      </w:r>
    </w:p>
    <w:p w14:paraId="6A7475EC" w14:textId="4004D2E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The fund manager has designated </w:t>
      </w:r>
      <w:r w:rsidR="0004778D" w:rsidRPr="00B52D53">
        <w:rPr>
          <w:rFonts w:ascii="Calibri" w:hAnsi="Calibri" w:cs="Calibri"/>
          <w:color w:val="auto"/>
          <w:szCs w:val="20"/>
          <w:lang w:val="en-US"/>
        </w:rPr>
        <w:t>centralized</w:t>
      </w:r>
      <w:r w:rsidRPr="00B52D53">
        <w:rPr>
          <w:rFonts w:ascii="Calibri" w:hAnsi="Calibri" w:cs="Calibri"/>
          <w:color w:val="auto"/>
          <w:szCs w:val="20"/>
          <w:lang w:val="en-US"/>
        </w:rPr>
        <w:t xml:space="preserve"> dealing officers who are not part of the fund management or investment decision making process.</w:t>
      </w:r>
    </w:p>
    <w:p w14:paraId="10DCBBE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(a) and (c).</w:t>
      </w:r>
    </w:p>
    <w:p w14:paraId="7F202B6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102D327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30F6777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(d).</w:t>
      </w:r>
    </w:p>
    <w:p w14:paraId="1138909A" w14:textId="77777777" w:rsidR="00192DB8" w:rsidRPr="00B52D53" w:rsidRDefault="00192DB8" w:rsidP="00DA459B">
      <w:pPr>
        <w:jc w:val="both"/>
        <w:rPr>
          <w:rFonts w:ascii="Calibri" w:hAnsi="Calibri" w:cs="Calibri"/>
          <w:b/>
          <w:bCs/>
          <w:color w:val="auto"/>
          <w:szCs w:val="20"/>
          <w:lang w:val="en-US"/>
        </w:rPr>
      </w:pPr>
    </w:p>
    <w:p w14:paraId="7FA14D6B" w14:textId="52028600"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3 - Licensing</w:t>
      </w:r>
    </w:p>
    <w:p w14:paraId="5A94D5AC" w14:textId="5093DB1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15. The Securities and Futures Act (SFA) administers a single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for regulated activities. This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is the:</w:t>
      </w:r>
    </w:p>
    <w:p w14:paraId="1AD61E53" w14:textId="211E485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Capital Markets Services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w:t>
      </w:r>
    </w:p>
    <w:p w14:paraId="23560CC7" w14:textId="322D8C0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Investment Adviser’s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w:t>
      </w:r>
    </w:p>
    <w:p w14:paraId="3734F1BB" w14:textId="0623C8C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Dealer’s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w:t>
      </w:r>
    </w:p>
    <w:p w14:paraId="052A58B2" w14:textId="17778D4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Futures Trading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w:t>
      </w:r>
    </w:p>
    <w:p w14:paraId="49E0A367" w14:textId="77777777" w:rsidR="00192DB8" w:rsidRPr="00B52D53" w:rsidRDefault="00192DB8" w:rsidP="00DA459B">
      <w:pPr>
        <w:jc w:val="both"/>
        <w:rPr>
          <w:rFonts w:ascii="Calibri" w:hAnsi="Calibri" w:cs="Calibri"/>
          <w:color w:val="auto"/>
          <w:szCs w:val="20"/>
          <w:lang w:val="en-US"/>
        </w:rPr>
      </w:pPr>
    </w:p>
    <w:p w14:paraId="44995C43" w14:textId="32C4FB1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16. Which of the following is NOT one of the regulated activities under the Capital Markets and Services</w:t>
      </w:r>
    </w:p>
    <w:p w14:paraId="4A7547A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(CMS) License?</w:t>
      </w:r>
    </w:p>
    <w:p w14:paraId="104A152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Dealing in securities.</w:t>
      </w:r>
    </w:p>
    <w:p w14:paraId="05194F7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Providing custodial services for securities.</w:t>
      </w:r>
    </w:p>
    <w:p w14:paraId="370A056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Advising on corporate finance.</w:t>
      </w:r>
    </w:p>
    <w:p w14:paraId="167D5E3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Providing banking services.</w:t>
      </w:r>
    </w:p>
    <w:p w14:paraId="1F6B6452" w14:textId="77777777" w:rsidR="00192DB8" w:rsidRPr="00B52D53" w:rsidRDefault="00192DB8" w:rsidP="00DA459B">
      <w:pPr>
        <w:jc w:val="both"/>
        <w:rPr>
          <w:rFonts w:ascii="Calibri" w:hAnsi="Calibri" w:cs="Calibri"/>
          <w:color w:val="auto"/>
          <w:szCs w:val="20"/>
          <w:lang w:val="en-US"/>
        </w:rPr>
      </w:pPr>
    </w:p>
    <w:p w14:paraId="62932C41" w14:textId="27CEFEB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17. Which of the following must hold a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w:t>
      </w:r>
    </w:p>
    <w:p w14:paraId="4315AB2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 bank licensed under the Banking Act that is managing funds for its private banking clients.</w:t>
      </w:r>
    </w:p>
    <w:p w14:paraId="3152F1F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 clearing house that performs a regulated activity because of its clearing facilities.</w:t>
      </w:r>
    </w:p>
    <w:p w14:paraId="5618AC6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 finance company licensed under the Finance Companies Act who provides securities financing.</w:t>
      </w:r>
    </w:p>
    <w:p w14:paraId="0B9ABCF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 company which plans to manage unit trusts in Singapore.</w:t>
      </w:r>
    </w:p>
    <w:p w14:paraId="3C48480F" w14:textId="77777777" w:rsidR="00192DB8" w:rsidRPr="00B52D53" w:rsidRDefault="00192DB8" w:rsidP="00DA459B">
      <w:pPr>
        <w:jc w:val="both"/>
        <w:rPr>
          <w:rFonts w:ascii="Calibri" w:hAnsi="Calibri" w:cs="Calibri"/>
          <w:color w:val="auto"/>
          <w:szCs w:val="20"/>
          <w:lang w:val="en-US"/>
        </w:rPr>
      </w:pPr>
    </w:p>
    <w:p w14:paraId="4A4F3501" w14:textId="75F4680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18. Which of the following appointments must be approved by MAS prior to their appointment?</w:t>
      </w:r>
    </w:p>
    <w:p w14:paraId="5BB13DD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Directors.</w:t>
      </w:r>
    </w:p>
    <w:p w14:paraId="399DDF6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b. Chief Executive Officer.</w:t>
      </w:r>
    </w:p>
    <w:p w14:paraId="788F859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Company Secretary.</w:t>
      </w:r>
    </w:p>
    <w:p w14:paraId="52247D5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Compliance Officer.</w:t>
      </w:r>
    </w:p>
    <w:p w14:paraId="5CE9189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75615C9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3329800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5A21FD9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1920EF50" w14:textId="77777777" w:rsidR="00192DB8" w:rsidRPr="00B52D53" w:rsidRDefault="00192DB8" w:rsidP="00DA459B">
      <w:pPr>
        <w:jc w:val="both"/>
        <w:rPr>
          <w:rFonts w:ascii="Calibri" w:hAnsi="Calibri" w:cs="Calibri"/>
          <w:color w:val="auto"/>
          <w:szCs w:val="20"/>
          <w:lang w:val="en-US"/>
        </w:rPr>
      </w:pPr>
    </w:p>
    <w:p w14:paraId="56D1012D" w14:textId="1C51AF5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19. Which of the following is NOT part of the Fit and Proper Test for Directors of Capital Markets and Services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holders?</w:t>
      </w:r>
    </w:p>
    <w:p w14:paraId="2B2704B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Financial Soundness.</w:t>
      </w:r>
    </w:p>
    <w:p w14:paraId="12EC095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Honesty and Integrity.</w:t>
      </w:r>
    </w:p>
    <w:p w14:paraId="042F1EE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Competence and capability.</w:t>
      </w:r>
    </w:p>
    <w:p w14:paraId="1EC25F8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Influence.</w:t>
      </w:r>
    </w:p>
    <w:p w14:paraId="2578B27F" w14:textId="77777777" w:rsidR="00192DB8" w:rsidRPr="00B52D53" w:rsidRDefault="00192DB8" w:rsidP="00DA459B">
      <w:pPr>
        <w:jc w:val="both"/>
        <w:rPr>
          <w:rFonts w:ascii="Calibri" w:hAnsi="Calibri" w:cs="Calibri"/>
          <w:color w:val="auto"/>
          <w:szCs w:val="20"/>
          <w:lang w:val="en-US"/>
        </w:rPr>
      </w:pPr>
    </w:p>
    <w:p w14:paraId="21D6F045" w14:textId="77777777"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4 - Conduct of Business</w:t>
      </w:r>
    </w:p>
    <w:p w14:paraId="6378ED6D" w14:textId="4AC2652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20. Under Regulation 4 of the Securities and Futures (Licensing and Conduct of Business) Regulations, Capital Markets Services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holders and their representatives are required to record their investments and sales of listed specified products in a:</w:t>
      </w:r>
    </w:p>
    <w:p w14:paraId="313947C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register of shares.</w:t>
      </w:r>
    </w:p>
    <w:p w14:paraId="7D82E38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register of listed specified products.</w:t>
      </w:r>
    </w:p>
    <w:p w14:paraId="215F63C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register of holdings.</w:t>
      </w:r>
    </w:p>
    <w:p w14:paraId="638453F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register of investments.</w:t>
      </w:r>
    </w:p>
    <w:p w14:paraId="3FFBF32A" w14:textId="77777777" w:rsidR="00192DB8" w:rsidRPr="00B52D53" w:rsidRDefault="00192DB8" w:rsidP="00DA459B">
      <w:pPr>
        <w:jc w:val="both"/>
        <w:rPr>
          <w:rFonts w:ascii="Calibri" w:hAnsi="Calibri" w:cs="Calibri"/>
          <w:color w:val="auto"/>
          <w:szCs w:val="20"/>
          <w:lang w:val="en-US"/>
        </w:rPr>
      </w:pPr>
    </w:p>
    <w:p w14:paraId="13BB59CC" w14:textId="5FA335F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21. Interests or changes to interests in listed specified products held by employees who are representatives of Capital Markets and Services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holders must be updated in their register of securities within:</w:t>
      </w:r>
    </w:p>
    <w:p w14:paraId="15709A4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2 days.</w:t>
      </w:r>
    </w:p>
    <w:p w14:paraId="1BDBBEA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5 days.</w:t>
      </w:r>
    </w:p>
    <w:p w14:paraId="582F031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7 days.</w:t>
      </w:r>
    </w:p>
    <w:p w14:paraId="1E962FB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d. 10 days.</w:t>
      </w:r>
    </w:p>
    <w:p w14:paraId="60956A14" w14:textId="77777777" w:rsidR="00192DB8" w:rsidRPr="00B52D53" w:rsidRDefault="00192DB8" w:rsidP="00DA459B">
      <w:pPr>
        <w:jc w:val="both"/>
        <w:rPr>
          <w:rFonts w:ascii="Calibri" w:hAnsi="Calibri" w:cs="Calibri"/>
          <w:color w:val="auto"/>
          <w:szCs w:val="20"/>
          <w:lang w:val="en-US"/>
        </w:rPr>
      </w:pPr>
    </w:p>
    <w:p w14:paraId="6E7C2E3E" w14:textId="08D0DBF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22. The Securities and Futures Act (SFA) only allows for the registers of listed specified products to be maintained in all the following manners EXCEPT:</w:t>
      </w:r>
    </w:p>
    <w:p w14:paraId="00A28906" w14:textId="19587B1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The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holder can maintain the register of listed specified products at any of its places</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of business.</w:t>
      </w:r>
    </w:p>
    <w:p w14:paraId="327593F9" w14:textId="6CBA421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The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holder can maintain the register of listed specified products at the principal place</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of business.</w:t>
      </w:r>
    </w:p>
    <w:p w14:paraId="06A16B14" w14:textId="414CB3F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individual can maintain the register of listed specified products in an electronic format in</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his home’s computer.</w:t>
      </w:r>
    </w:p>
    <w:p w14:paraId="7BB4244B" w14:textId="7DE254B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individual can maintain the register of listed specified products in electronic format at</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employer’s principal place of business.</w:t>
      </w:r>
    </w:p>
    <w:p w14:paraId="41468D05" w14:textId="77777777" w:rsidR="00894049" w:rsidRPr="00B52D53" w:rsidRDefault="00894049" w:rsidP="00DA459B">
      <w:pPr>
        <w:jc w:val="both"/>
        <w:rPr>
          <w:rFonts w:ascii="Calibri" w:hAnsi="Calibri" w:cs="Calibri"/>
          <w:color w:val="auto"/>
          <w:szCs w:val="20"/>
          <w:lang w:val="en-US"/>
        </w:rPr>
      </w:pPr>
    </w:p>
    <w:p w14:paraId="48E14CA7" w14:textId="66D2DDA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23. A person who ceases to be a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holder must notify MAS within ____ days of cessation.</w:t>
      </w:r>
    </w:p>
    <w:p w14:paraId="064682C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5 days.</w:t>
      </w:r>
    </w:p>
    <w:p w14:paraId="5A14CE0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7 days.</w:t>
      </w:r>
    </w:p>
    <w:p w14:paraId="6B3107C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10 days.</w:t>
      </w:r>
    </w:p>
    <w:p w14:paraId="53038B2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14 days.</w:t>
      </w:r>
    </w:p>
    <w:p w14:paraId="7CA94FF1" w14:textId="77777777" w:rsidR="00894049" w:rsidRPr="00B52D53" w:rsidRDefault="00894049" w:rsidP="00DA459B">
      <w:pPr>
        <w:jc w:val="both"/>
        <w:rPr>
          <w:rFonts w:ascii="Calibri" w:hAnsi="Calibri" w:cs="Calibri"/>
          <w:color w:val="auto"/>
          <w:szCs w:val="20"/>
          <w:lang w:val="en-US"/>
        </w:rPr>
      </w:pPr>
    </w:p>
    <w:p w14:paraId="53F6A57F" w14:textId="576A15A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24. What should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holders try to observe when maintaining records in compliance with the</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Securities and Futures Act (SFA)?</w:t>
      </w:r>
    </w:p>
    <w:p w14:paraId="3837DDE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records should be maintained for a minimum period of 10 years.</w:t>
      </w:r>
    </w:p>
    <w:p w14:paraId="52493F9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records should enable convenient and proper audit.</w:t>
      </w:r>
    </w:p>
    <w:p w14:paraId="5F1A293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records should be prepared in accordance with IMAS guidelines.</w:t>
      </w:r>
    </w:p>
    <w:p w14:paraId="09AB681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records should be prepared in accordance with the Company’s Act.</w:t>
      </w:r>
    </w:p>
    <w:p w14:paraId="095621AB" w14:textId="77777777" w:rsidR="00894049" w:rsidRPr="00B52D53" w:rsidRDefault="00894049" w:rsidP="00DA459B">
      <w:pPr>
        <w:jc w:val="both"/>
        <w:rPr>
          <w:rFonts w:ascii="Calibri" w:hAnsi="Calibri" w:cs="Calibri"/>
          <w:color w:val="auto"/>
          <w:szCs w:val="20"/>
          <w:lang w:val="en-US"/>
        </w:rPr>
      </w:pPr>
    </w:p>
    <w:p w14:paraId="0FC4F6AD" w14:textId="18F1A51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25. Which of the following statements relating to Record Keeping Requirements is FALSE?</w:t>
      </w:r>
    </w:p>
    <w:p w14:paraId="123806C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Records kept should facilitate convenient and proper audit.</w:t>
      </w:r>
    </w:p>
    <w:p w14:paraId="069040B1" w14:textId="4FFCF63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Records kept should enable true and fair profit and loss and balance sheet accounts to be</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prepared on the business.</w:t>
      </w:r>
    </w:p>
    <w:p w14:paraId="303D6628" w14:textId="4F5259A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c. Records kept should sufficiently explain the transactions and financial position of the fund</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manager.</w:t>
      </w:r>
    </w:p>
    <w:p w14:paraId="3E84E44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Records kept should be retained for a minimum period of 7 years.</w:t>
      </w:r>
    </w:p>
    <w:p w14:paraId="350250DD" w14:textId="77777777" w:rsidR="00894049" w:rsidRPr="00B52D53" w:rsidRDefault="00894049" w:rsidP="00DA459B">
      <w:pPr>
        <w:jc w:val="both"/>
        <w:rPr>
          <w:rFonts w:ascii="Calibri" w:hAnsi="Calibri" w:cs="Calibri"/>
          <w:color w:val="auto"/>
          <w:szCs w:val="20"/>
          <w:lang w:val="en-US"/>
        </w:rPr>
      </w:pPr>
    </w:p>
    <w:p w14:paraId="366EFB87" w14:textId="20C7BDE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26. Which of the following information is NOT required to be maintained under Record Keeping</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Requirements provisions under the SFA?</w:t>
      </w:r>
    </w:p>
    <w:p w14:paraId="4D4D0CED" w14:textId="60C45C8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All powers of attorney </w:t>
      </w:r>
      <w:r w:rsidR="0004778D" w:rsidRPr="00B52D53">
        <w:rPr>
          <w:rFonts w:ascii="Calibri" w:hAnsi="Calibri" w:cs="Calibri"/>
          <w:color w:val="auto"/>
          <w:szCs w:val="20"/>
          <w:lang w:val="en-US"/>
        </w:rPr>
        <w:t>authorizing</w:t>
      </w:r>
      <w:r w:rsidRPr="00B52D53">
        <w:rPr>
          <w:rFonts w:ascii="Calibri" w:hAnsi="Calibri" w:cs="Calibri"/>
          <w:color w:val="auto"/>
          <w:szCs w:val="20"/>
          <w:lang w:val="en-US"/>
        </w:rPr>
        <w:t xml:space="preserve"> the fund manager to manage the account on a discretionary</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basis.</w:t>
      </w:r>
    </w:p>
    <w:p w14:paraId="1FF5AD9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All details of proprietary transactions undertaken by the fund manager.</w:t>
      </w:r>
    </w:p>
    <w:p w14:paraId="2F10B33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All details of gifts received by the fund manager from its counterparties.</w:t>
      </w:r>
    </w:p>
    <w:p w14:paraId="2EB77A5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All confirmations of securities transactions carried out by its representatives.</w:t>
      </w:r>
    </w:p>
    <w:p w14:paraId="36ACAA06" w14:textId="77777777" w:rsidR="00894049" w:rsidRPr="00B52D53" w:rsidRDefault="00894049" w:rsidP="00DA459B">
      <w:pPr>
        <w:jc w:val="both"/>
        <w:rPr>
          <w:rFonts w:ascii="Calibri" w:hAnsi="Calibri" w:cs="Calibri"/>
          <w:color w:val="auto"/>
          <w:szCs w:val="20"/>
          <w:lang w:val="en-US"/>
        </w:rPr>
      </w:pPr>
    </w:p>
    <w:p w14:paraId="5D0717CB" w14:textId="14CBB83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27. The Business Conduct provisions specify that all moneys must be paid by a CMS holder (“licensee”)</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into</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the customer’s account within the specified time. This EXCLUDES:</w:t>
      </w:r>
    </w:p>
    <w:p w14:paraId="7428B44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Proceeds from sale of customers’ assets.</w:t>
      </w:r>
    </w:p>
    <w:p w14:paraId="58996A2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Fees owed by the customer to the licensee.</w:t>
      </w:r>
    </w:p>
    <w:p w14:paraId="108A29F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Amounts received for customer’s account from purchase of assets.</w:t>
      </w:r>
    </w:p>
    <w:p w14:paraId="1F78D3B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Amounts received from customer’s account for purchase of assets.</w:t>
      </w:r>
    </w:p>
    <w:p w14:paraId="6B9985CF" w14:textId="77777777" w:rsidR="00894049" w:rsidRPr="00B52D53" w:rsidRDefault="00894049" w:rsidP="00DA459B">
      <w:pPr>
        <w:jc w:val="both"/>
        <w:rPr>
          <w:rFonts w:ascii="Calibri" w:hAnsi="Calibri" w:cs="Calibri"/>
          <w:b/>
          <w:bCs/>
          <w:color w:val="auto"/>
          <w:szCs w:val="20"/>
          <w:lang w:val="en-US"/>
        </w:rPr>
      </w:pPr>
    </w:p>
    <w:p w14:paraId="795F6F18" w14:textId="6665D497"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5 - Market Conduct</w:t>
      </w:r>
    </w:p>
    <w:p w14:paraId="5D35D478" w14:textId="7BAF580C"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28. Under which of the following Acts is market misconduct an offence?</w:t>
      </w:r>
    </w:p>
    <w:p w14:paraId="7524D70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Banking Act.</w:t>
      </w:r>
    </w:p>
    <w:p w14:paraId="215A4D2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Companies Act.</w:t>
      </w:r>
    </w:p>
    <w:p w14:paraId="204DFBA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Securities and Futures Act.</w:t>
      </w:r>
    </w:p>
    <w:p w14:paraId="6ABCEC0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Fire Safety Act.</w:t>
      </w:r>
    </w:p>
    <w:p w14:paraId="7DD791D5" w14:textId="77777777" w:rsidR="00894049" w:rsidRPr="00B52D53" w:rsidRDefault="00894049" w:rsidP="00DA459B">
      <w:pPr>
        <w:jc w:val="both"/>
        <w:rPr>
          <w:rFonts w:ascii="Calibri" w:hAnsi="Calibri" w:cs="Calibri"/>
          <w:color w:val="auto"/>
          <w:szCs w:val="20"/>
          <w:lang w:val="en-US"/>
        </w:rPr>
      </w:pPr>
    </w:p>
    <w:p w14:paraId="6CB7634A" w14:textId="5932684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29. Which of the following are false trading or market rigging transactions?</w:t>
      </w:r>
    </w:p>
    <w:p w14:paraId="5269082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 wash trade.</w:t>
      </w:r>
    </w:p>
    <w:p w14:paraId="226B1DE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 matched order.</w:t>
      </w:r>
    </w:p>
    <w:p w14:paraId="02662CC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Buy a security on one exchange and sell the same security on another exchange a few days later.</w:t>
      </w:r>
    </w:p>
    <w:p w14:paraId="24D0F20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d. Churning a client’s portfolio.</w:t>
      </w:r>
    </w:p>
    <w:p w14:paraId="7EE1328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(d).</w:t>
      </w:r>
    </w:p>
    <w:p w14:paraId="205B98C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750074A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2D877E7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7296561D" w14:textId="77777777" w:rsidR="00894049" w:rsidRPr="00B52D53" w:rsidRDefault="00894049" w:rsidP="00DA459B">
      <w:pPr>
        <w:jc w:val="both"/>
        <w:rPr>
          <w:rFonts w:ascii="Calibri" w:hAnsi="Calibri" w:cs="Calibri"/>
          <w:color w:val="auto"/>
          <w:szCs w:val="20"/>
          <w:lang w:val="en-US"/>
        </w:rPr>
      </w:pPr>
    </w:p>
    <w:p w14:paraId="3C07DC1A" w14:textId="4A911D5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30. Peter placed </w:t>
      </w:r>
      <w:proofErr w:type="gramStart"/>
      <w:r w:rsidRPr="00B52D53">
        <w:rPr>
          <w:rFonts w:ascii="Calibri" w:hAnsi="Calibri" w:cs="Calibri"/>
          <w:color w:val="auto"/>
          <w:szCs w:val="20"/>
          <w:lang w:val="en-US"/>
        </w:rPr>
        <w:t>a number of</w:t>
      </w:r>
      <w:proofErr w:type="gramEnd"/>
      <w:r w:rsidRPr="00B52D53">
        <w:rPr>
          <w:rFonts w:ascii="Calibri" w:hAnsi="Calibri" w:cs="Calibri"/>
          <w:color w:val="auto"/>
          <w:szCs w:val="20"/>
          <w:lang w:val="en-US"/>
        </w:rPr>
        <w:t xml:space="preserve"> orders to buy a total number of 22,000 shares in Sunway Company through</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 xml:space="preserve">one broker and placed </w:t>
      </w:r>
      <w:proofErr w:type="gramStart"/>
      <w:r w:rsidRPr="00B52D53">
        <w:rPr>
          <w:rFonts w:ascii="Calibri" w:hAnsi="Calibri" w:cs="Calibri"/>
          <w:color w:val="auto"/>
          <w:szCs w:val="20"/>
          <w:lang w:val="en-US"/>
        </w:rPr>
        <w:t>a number of</w:t>
      </w:r>
      <w:proofErr w:type="gramEnd"/>
      <w:r w:rsidRPr="00B52D53">
        <w:rPr>
          <w:rFonts w:ascii="Calibri" w:hAnsi="Calibri" w:cs="Calibri"/>
          <w:color w:val="auto"/>
          <w:szCs w:val="20"/>
          <w:lang w:val="en-US"/>
        </w:rPr>
        <w:t xml:space="preserve"> orders to sell 22,000 shares in Sunway Company through another</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broker. There is no change of beneficial ownership. Which of the following BEST describes the market</w:t>
      </w:r>
      <w:r w:rsidR="00894049" w:rsidRPr="00B52D53">
        <w:rPr>
          <w:rFonts w:ascii="Calibri" w:hAnsi="Calibri" w:cs="Calibri"/>
          <w:color w:val="auto"/>
          <w:szCs w:val="20"/>
          <w:lang w:val="en-US"/>
        </w:rPr>
        <w:t xml:space="preserve"> </w:t>
      </w:r>
      <w:r w:rsidRPr="00B52D53">
        <w:rPr>
          <w:rFonts w:ascii="Calibri" w:hAnsi="Calibri" w:cs="Calibri"/>
          <w:color w:val="auto"/>
          <w:szCs w:val="20"/>
          <w:lang w:val="en-US"/>
        </w:rPr>
        <w:t>misconduct that Peter has engaged in?</w:t>
      </w:r>
    </w:p>
    <w:p w14:paraId="1493B87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Window dressing.</w:t>
      </w:r>
    </w:p>
    <w:p w14:paraId="0218CA6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Matching orders.</w:t>
      </w:r>
    </w:p>
    <w:p w14:paraId="0C1ABAF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Securities hawking.</w:t>
      </w:r>
    </w:p>
    <w:p w14:paraId="7882BFB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Wash trade.</w:t>
      </w:r>
    </w:p>
    <w:p w14:paraId="07D01215" w14:textId="77777777" w:rsidR="00894049" w:rsidRPr="00B52D53" w:rsidRDefault="00894049" w:rsidP="00DA459B">
      <w:pPr>
        <w:jc w:val="both"/>
        <w:rPr>
          <w:rFonts w:ascii="Calibri" w:hAnsi="Calibri" w:cs="Calibri"/>
          <w:color w:val="auto"/>
          <w:szCs w:val="20"/>
          <w:lang w:val="en-US"/>
        </w:rPr>
      </w:pPr>
    </w:p>
    <w:p w14:paraId="42183F71" w14:textId="5D7D70E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31. If a person deliberately spreads information on a security that is false </w:t>
      </w:r>
      <w:proofErr w:type="gramStart"/>
      <w:r w:rsidRPr="00B52D53">
        <w:rPr>
          <w:rFonts w:ascii="Calibri" w:hAnsi="Calibri" w:cs="Calibri"/>
          <w:color w:val="auto"/>
          <w:szCs w:val="20"/>
          <w:lang w:val="en-US"/>
        </w:rPr>
        <w:t>in order to</w:t>
      </w:r>
      <w:proofErr w:type="gramEnd"/>
      <w:r w:rsidRPr="00B52D53">
        <w:rPr>
          <w:rFonts w:ascii="Calibri" w:hAnsi="Calibri" w:cs="Calibri"/>
          <w:color w:val="auto"/>
          <w:szCs w:val="20"/>
          <w:lang w:val="en-US"/>
        </w:rPr>
        <w:t xml:space="preserve"> mislead other</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investors</w:t>
      </w:r>
    </w:p>
    <w:p w14:paraId="3746B4E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to invest in that security, he would be charged with:</w:t>
      </w:r>
    </w:p>
    <w:p w14:paraId="2E960BF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False trading.</w:t>
      </w:r>
    </w:p>
    <w:p w14:paraId="4D5679C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Insider trading.</w:t>
      </w:r>
    </w:p>
    <w:p w14:paraId="098A4F6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Making false and misleading statements.</w:t>
      </w:r>
    </w:p>
    <w:p w14:paraId="1A14541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Securities market manipulation.</w:t>
      </w:r>
    </w:p>
    <w:p w14:paraId="452680FF" w14:textId="77777777" w:rsidR="00B734EC" w:rsidRPr="00B52D53" w:rsidRDefault="00B734EC" w:rsidP="00DA459B">
      <w:pPr>
        <w:jc w:val="both"/>
        <w:rPr>
          <w:rFonts w:ascii="Calibri" w:hAnsi="Calibri" w:cs="Calibri"/>
          <w:color w:val="auto"/>
          <w:szCs w:val="20"/>
          <w:lang w:val="en-US"/>
        </w:rPr>
      </w:pPr>
    </w:p>
    <w:p w14:paraId="2C91240C" w14:textId="4611A92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32. Which of the following is NOT a typical technique used in the circulation of false or misleading</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statements and information?</w:t>
      </w:r>
    </w:p>
    <w:p w14:paraId="1C54F68F" w14:textId="6AC388B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Using electronic means such as message boards or other electronic media to spread </w:t>
      </w:r>
      <w:r w:rsidR="0004778D" w:rsidRPr="00B52D53">
        <w:rPr>
          <w:rFonts w:ascii="Calibri" w:hAnsi="Calibri" w:cs="Calibri"/>
          <w:color w:val="auto"/>
          <w:szCs w:val="20"/>
          <w:lang w:val="en-US"/>
        </w:rPr>
        <w:t>rumors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about a security to raise or lower its price.</w:t>
      </w:r>
    </w:p>
    <w:p w14:paraId="02837C0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Passing around ‘hot tips’ by word of mouth.</w:t>
      </w:r>
    </w:p>
    <w:p w14:paraId="093AF01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Sending the audited annual report of a company to a client.</w:t>
      </w:r>
    </w:p>
    <w:p w14:paraId="35197561" w14:textId="7A03626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Putting out </w:t>
      </w:r>
      <w:r w:rsidR="0004778D" w:rsidRPr="00B52D53">
        <w:rPr>
          <w:rFonts w:ascii="Calibri" w:hAnsi="Calibri" w:cs="Calibri"/>
          <w:color w:val="auto"/>
          <w:szCs w:val="20"/>
          <w:lang w:val="en-US"/>
        </w:rPr>
        <w:t>favorable</w:t>
      </w:r>
      <w:r w:rsidRPr="00B52D53">
        <w:rPr>
          <w:rFonts w:ascii="Calibri" w:hAnsi="Calibri" w:cs="Calibri"/>
          <w:color w:val="auto"/>
          <w:szCs w:val="20"/>
          <w:lang w:val="en-US"/>
        </w:rPr>
        <w:t xml:space="preserve"> but unverified information about a particular security via media sources.</w:t>
      </w:r>
    </w:p>
    <w:p w14:paraId="1C71A1B4" w14:textId="77777777" w:rsidR="00B734EC" w:rsidRPr="00B52D53" w:rsidRDefault="00B734EC" w:rsidP="00DA459B">
      <w:pPr>
        <w:jc w:val="both"/>
        <w:rPr>
          <w:rFonts w:ascii="Calibri" w:hAnsi="Calibri" w:cs="Calibri"/>
          <w:color w:val="auto"/>
          <w:szCs w:val="20"/>
          <w:lang w:val="en-US"/>
        </w:rPr>
      </w:pPr>
    </w:p>
    <w:p w14:paraId="2CB8DE9A" w14:textId="1866024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33. Insider information can be described as information that is:</w:t>
      </w:r>
    </w:p>
    <w:p w14:paraId="4B40726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Not generally available.</w:t>
      </w:r>
    </w:p>
    <w:p w14:paraId="0271C14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Observable.</w:t>
      </w:r>
    </w:p>
    <w:p w14:paraId="6111B47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Might have a material effect.</w:t>
      </w:r>
    </w:p>
    <w:p w14:paraId="7F44042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Made public.</w:t>
      </w:r>
    </w:p>
    <w:p w14:paraId="6F5F55D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(c).</w:t>
      </w:r>
    </w:p>
    <w:p w14:paraId="376D93B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01C9AA2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(d).</w:t>
      </w:r>
    </w:p>
    <w:p w14:paraId="3090801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361125DA" w14:textId="77777777" w:rsidR="00B734EC" w:rsidRPr="00B52D53" w:rsidRDefault="00B734EC" w:rsidP="00DA459B">
      <w:pPr>
        <w:jc w:val="both"/>
        <w:rPr>
          <w:rFonts w:ascii="Calibri" w:hAnsi="Calibri" w:cs="Calibri"/>
          <w:color w:val="auto"/>
          <w:szCs w:val="20"/>
          <w:lang w:val="en-US"/>
        </w:rPr>
      </w:pPr>
    </w:p>
    <w:p w14:paraId="735E0C1D" w14:textId="24256DF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34. Mr. Lim enters his friend’s office and overhears a conversation between his friend who is an investment</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banker talking on the speaker phone to his client. The client is the Chief Finance Officer of a major public</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company and tells the friend that the Chief Executive Officer of the company is about to be replaced.</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This information will be made public this evening.</w:t>
      </w:r>
      <w:r w:rsidR="00B734EC" w:rsidRPr="00B52D53">
        <w:rPr>
          <w:rFonts w:ascii="Calibri" w:hAnsi="Calibri" w:cs="Calibri"/>
          <w:color w:val="auto"/>
          <w:szCs w:val="20"/>
          <w:lang w:val="en-US"/>
        </w:rPr>
        <w:t xml:space="preserve"> </w:t>
      </w:r>
      <w:r w:rsidR="0004778D" w:rsidRPr="00B52D53">
        <w:rPr>
          <w:rFonts w:ascii="Calibri" w:hAnsi="Calibri" w:cs="Calibri"/>
          <w:color w:val="auto"/>
          <w:szCs w:val="20"/>
          <w:lang w:val="en-US"/>
        </w:rPr>
        <w:t>Mr.</w:t>
      </w:r>
      <w:r w:rsidRPr="00B52D53">
        <w:rPr>
          <w:rFonts w:ascii="Calibri" w:hAnsi="Calibri" w:cs="Calibri"/>
          <w:color w:val="auto"/>
          <w:szCs w:val="20"/>
          <w:lang w:val="en-US"/>
        </w:rPr>
        <w:t xml:space="preserve"> Lim immediately tells his clients of this news and advises them to liquidate their holdings in that</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company. Which of the following statements is TRUE?</w:t>
      </w:r>
    </w:p>
    <w:p w14:paraId="7A039AE2" w14:textId="3243F2B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w:t>
      </w:r>
      <w:r w:rsidR="0004778D" w:rsidRPr="00B52D53">
        <w:rPr>
          <w:rFonts w:ascii="Calibri" w:hAnsi="Calibri" w:cs="Calibri"/>
          <w:color w:val="auto"/>
          <w:szCs w:val="20"/>
          <w:lang w:val="en-US"/>
        </w:rPr>
        <w:t>Mr.</w:t>
      </w:r>
      <w:r w:rsidRPr="00B52D53">
        <w:rPr>
          <w:rFonts w:ascii="Calibri" w:hAnsi="Calibri" w:cs="Calibri"/>
          <w:color w:val="auto"/>
          <w:szCs w:val="20"/>
          <w:lang w:val="en-US"/>
        </w:rPr>
        <w:t xml:space="preserve"> Lim did not have insider information.</w:t>
      </w:r>
    </w:p>
    <w:p w14:paraId="7759D519" w14:textId="7E48723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w:t>
      </w:r>
      <w:r w:rsidR="0004778D" w:rsidRPr="00B52D53">
        <w:rPr>
          <w:rFonts w:ascii="Calibri" w:hAnsi="Calibri" w:cs="Calibri"/>
          <w:color w:val="auto"/>
          <w:szCs w:val="20"/>
          <w:lang w:val="en-US"/>
        </w:rPr>
        <w:t>Mr.</w:t>
      </w:r>
      <w:r w:rsidRPr="00B52D53">
        <w:rPr>
          <w:rFonts w:ascii="Calibri" w:hAnsi="Calibri" w:cs="Calibri"/>
          <w:color w:val="auto"/>
          <w:szCs w:val="20"/>
          <w:lang w:val="en-US"/>
        </w:rPr>
        <w:t xml:space="preserve"> Lim is a tippee.</w:t>
      </w:r>
    </w:p>
    <w:p w14:paraId="4C5109CE" w14:textId="053CF55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w:t>
      </w:r>
      <w:r w:rsidR="0004778D" w:rsidRPr="00B52D53">
        <w:rPr>
          <w:rFonts w:ascii="Calibri" w:hAnsi="Calibri" w:cs="Calibri"/>
          <w:color w:val="auto"/>
          <w:szCs w:val="20"/>
          <w:lang w:val="en-US"/>
        </w:rPr>
        <w:t>Mr.</w:t>
      </w:r>
      <w:r w:rsidRPr="00B52D53">
        <w:rPr>
          <w:rFonts w:ascii="Calibri" w:hAnsi="Calibri" w:cs="Calibri"/>
          <w:color w:val="auto"/>
          <w:szCs w:val="20"/>
          <w:lang w:val="en-US"/>
        </w:rPr>
        <w:t xml:space="preserve"> Lim was free to pass this information to his clients.</w:t>
      </w:r>
    </w:p>
    <w:p w14:paraId="5BF20910" w14:textId="1C38269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w:t>
      </w:r>
      <w:r w:rsidR="0004778D" w:rsidRPr="00B52D53">
        <w:rPr>
          <w:rFonts w:ascii="Calibri" w:hAnsi="Calibri" w:cs="Calibri"/>
          <w:color w:val="auto"/>
          <w:szCs w:val="20"/>
          <w:lang w:val="en-US"/>
        </w:rPr>
        <w:t>Mr.</w:t>
      </w:r>
      <w:r w:rsidRPr="00B52D53">
        <w:rPr>
          <w:rFonts w:ascii="Calibri" w:hAnsi="Calibri" w:cs="Calibri"/>
          <w:color w:val="auto"/>
          <w:szCs w:val="20"/>
          <w:lang w:val="en-US"/>
        </w:rPr>
        <w:t xml:space="preserve"> Lim was obligated to pass this information to his clients.</w:t>
      </w:r>
    </w:p>
    <w:p w14:paraId="50A13E8A" w14:textId="77777777" w:rsidR="00B734EC" w:rsidRPr="00B52D53" w:rsidRDefault="00B734EC" w:rsidP="00DA459B">
      <w:pPr>
        <w:jc w:val="both"/>
        <w:rPr>
          <w:rFonts w:ascii="Calibri" w:hAnsi="Calibri" w:cs="Calibri"/>
          <w:color w:val="auto"/>
          <w:szCs w:val="20"/>
          <w:lang w:val="en-US"/>
        </w:rPr>
      </w:pPr>
    </w:p>
    <w:p w14:paraId="0310C5D3" w14:textId="0AD5862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35. Which of the following are considered a form of market misconduct under the Securities and Futures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Act (SFA)?</w:t>
      </w:r>
    </w:p>
    <w:p w14:paraId="3581E36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Insider Trading.</w:t>
      </w:r>
    </w:p>
    <w:p w14:paraId="52FEBA2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False Trading.</w:t>
      </w:r>
    </w:p>
    <w:p w14:paraId="1137FD5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Over-Trading.</w:t>
      </w:r>
    </w:p>
    <w:p w14:paraId="2BFF2C5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Under-Trading.</w:t>
      </w:r>
    </w:p>
    <w:p w14:paraId="77555D8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20F2B06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19674D7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(c) and (d).</w:t>
      </w:r>
    </w:p>
    <w:p w14:paraId="2B12CDF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2989683B" w14:textId="77777777" w:rsidR="00B734EC" w:rsidRPr="00B52D53" w:rsidRDefault="00B734EC" w:rsidP="00DA459B">
      <w:pPr>
        <w:jc w:val="both"/>
        <w:rPr>
          <w:rFonts w:ascii="Calibri" w:hAnsi="Calibri" w:cs="Calibri"/>
          <w:color w:val="auto"/>
          <w:szCs w:val="20"/>
          <w:lang w:val="en-US"/>
        </w:rPr>
      </w:pPr>
    </w:p>
    <w:p w14:paraId="7818B548" w14:textId="4DAA897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36. Which of the following statements are TRUE in relation to excessive trading/churning? Excessive</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trading/ churning is:</w:t>
      </w:r>
    </w:p>
    <w:p w14:paraId="66EF95B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Defined as intentional trading for the sole purpose of generating commissions for the broker.</w:t>
      </w:r>
    </w:p>
    <w:p w14:paraId="3967D8E4" w14:textId="2DA9BF5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Done to create large commissions by </w:t>
      </w:r>
      <w:proofErr w:type="gramStart"/>
      <w:r w:rsidRPr="00B52D53">
        <w:rPr>
          <w:rFonts w:ascii="Calibri" w:hAnsi="Calibri" w:cs="Calibri"/>
          <w:color w:val="auto"/>
          <w:szCs w:val="20"/>
          <w:lang w:val="en-US"/>
        </w:rPr>
        <w:t>entering into</w:t>
      </w:r>
      <w:proofErr w:type="gramEnd"/>
      <w:r w:rsidRPr="00B52D53">
        <w:rPr>
          <w:rFonts w:ascii="Calibri" w:hAnsi="Calibri" w:cs="Calibri"/>
          <w:color w:val="auto"/>
          <w:szCs w:val="20"/>
          <w:lang w:val="en-US"/>
        </w:rPr>
        <w:t xml:space="preserve"> many trades which generate little or no profit</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for the customer.</w:t>
      </w:r>
    </w:p>
    <w:p w14:paraId="5FF87A4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Allowed if the customer gives his consent.</w:t>
      </w:r>
    </w:p>
    <w:p w14:paraId="5A7781E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An offence under the Securities and Futures Act (SFA) and SGX-ST Rules.</w:t>
      </w:r>
    </w:p>
    <w:p w14:paraId="35C071A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32D43C7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(c).</w:t>
      </w:r>
    </w:p>
    <w:p w14:paraId="131FF78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4C66964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(d).</w:t>
      </w:r>
    </w:p>
    <w:p w14:paraId="21AE1ADA" w14:textId="77777777" w:rsidR="00B734EC" w:rsidRPr="00B52D53" w:rsidRDefault="00B734EC" w:rsidP="00DA459B">
      <w:pPr>
        <w:jc w:val="both"/>
        <w:rPr>
          <w:rFonts w:ascii="Calibri" w:hAnsi="Calibri" w:cs="Calibri"/>
          <w:color w:val="auto"/>
          <w:szCs w:val="20"/>
          <w:lang w:val="en-US"/>
        </w:rPr>
      </w:pPr>
    </w:p>
    <w:p w14:paraId="3E558EE5" w14:textId="03A0AE5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37. What types of penalties</w:t>
      </w:r>
      <w:r w:rsidR="003421CA">
        <w:rPr>
          <w:rFonts w:ascii="Calibri" w:hAnsi="Calibri" w:cs="Calibri"/>
          <w:color w:val="auto"/>
          <w:szCs w:val="20"/>
          <w:lang w:val="en-US"/>
        </w:rPr>
        <w:t>/</w:t>
      </w:r>
      <w:r w:rsidRPr="00B52D53">
        <w:rPr>
          <w:rFonts w:ascii="Calibri" w:hAnsi="Calibri" w:cs="Calibri"/>
          <w:color w:val="auto"/>
          <w:szCs w:val="20"/>
          <w:lang w:val="en-US"/>
        </w:rPr>
        <w:t>liabilities will a person face for committing market misconduct offences under</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the Securities and Futures Act (SFA)?</w:t>
      </w:r>
    </w:p>
    <w:p w14:paraId="7357BA6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Criminal penalties.</w:t>
      </w:r>
    </w:p>
    <w:p w14:paraId="07982CF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Civil penalties.</w:t>
      </w:r>
    </w:p>
    <w:p w14:paraId="74019DE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Criminal liabilities.</w:t>
      </w:r>
    </w:p>
    <w:p w14:paraId="7D146EA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Civil liabilities.</w:t>
      </w:r>
    </w:p>
    <w:p w14:paraId="13E5E9B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7642E9D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0012B6D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(d).</w:t>
      </w:r>
    </w:p>
    <w:p w14:paraId="68FC9A1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2D6B4677" w14:textId="77777777" w:rsidR="00B734EC" w:rsidRPr="00B52D53" w:rsidRDefault="00B734EC" w:rsidP="00DA459B">
      <w:pPr>
        <w:jc w:val="both"/>
        <w:rPr>
          <w:rFonts w:ascii="Calibri" w:hAnsi="Calibri" w:cs="Calibri"/>
          <w:color w:val="auto"/>
          <w:szCs w:val="20"/>
          <w:lang w:val="en-US"/>
        </w:rPr>
      </w:pPr>
    </w:p>
    <w:p w14:paraId="40C96011" w14:textId="3490ADE0"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6 - Collective Investment Schemes (CIS)</w:t>
      </w:r>
    </w:p>
    <w:p w14:paraId="08773F2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38. A CIS constituted in Singapore that is offered to the public must be:</w:t>
      </w:r>
    </w:p>
    <w:p w14:paraId="61BD6505" w14:textId="1849265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w:t>
      </w:r>
      <w:r w:rsidR="0004778D" w:rsidRPr="00B52D53">
        <w:rPr>
          <w:rFonts w:ascii="Calibri" w:hAnsi="Calibri" w:cs="Calibri"/>
          <w:color w:val="auto"/>
          <w:szCs w:val="20"/>
          <w:lang w:val="en-US"/>
        </w:rPr>
        <w:t>Authorized</w:t>
      </w:r>
      <w:r w:rsidRPr="00B52D53">
        <w:rPr>
          <w:rFonts w:ascii="Calibri" w:hAnsi="Calibri" w:cs="Calibri"/>
          <w:color w:val="auto"/>
          <w:szCs w:val="20"/>
          <w:lang w:val="en-US"/>
        </w:rPr>
        <w:t xml:space="preserve"> by MAS.</w:t>
      </w:r>
    </w:p>
    <w:p w14:paraId="39D96C1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b. Constituted as a unit trust.</w:t>
      </w:r>
    </w:p>
    <w:p w14:paraId="6513E70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Be marketed to sophisticated investors only.</w:t>
      </w:r>
    </w:p>
    <w:p w14:paraId="4792AE0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 closed-end fund.</w:t>
      </w:r>
    </w:p>
    <w:p w14:paraId="14B31FC8" w14:textId="77777777" w:rsidR="00B734EC" w:rsidRPr="00B52D53" w:rsidRDefault="00B734EC" w:rsidP="00DA459B">
      <w:pPr>
        <w:jc w:val="both"/>
        <w:rPr>
          <w:rFonts w:ascii="Calibri" w:hAnsi="Calibri" w:cs="Calibri"/>
          <w:color w:val="auto"/>
          <w:szCs w:val="20"/>
          <w:lang w:val="en-US"/>
        </w:rPr>
      </w:pPr>
    </w:p>
    <w:p w14:paraId="3CFB106D" w14:textId="6E925DA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39. A UK based fund manager plans to offer a CIS constituted in United Kingdom to Singapore retail</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investors. Before it can do so, it should apply to MAS for the CIS to be:</w:t>
      </w:r>
    </w:p>
    <w:p w14:paraId="06B202D0" w14:textId="3EB3038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w:t>
      </w:r>
      <w:r w:rsidR="0004778D" w:rsidRPr="00B52D53">
        <w:rPr>
          <w:rFonts w:ascii="Calibri" w:hAnsi="Calibri" w:cs="Calibri"/>
          <w:color w:val="auto"/>
          <w:szCs w:val="20"/>
          <w:lang w:val="en-US"/>
        </w:rPr>
        <w:t>Authorized</w:t>
      </w:r>
      <w:r w:rsidRPr="00B52D53">
        <w:rPr>
          <w:rFonts w:ascii="Calibri" w:hAnsi="Calibri" w:cs="Calibri"/>
          <w:color w:val="auto"/>
          <w:szCs w:val="20"/>
          <w:lang w:val="en-US"/>
        </w:rPr>
        <w:t>.</w:t>
      </w:r>
    </w:p>
    <w:p w14:paraId="76229789" w14:textId="6F0EF126"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w:t>
      </w:r>
      <w:r w:rsidR="0004778D" w:rsidRPr="00B52D53">
        <w:rPr>
          <w:rFonts w:ascii="Calibri" w:hAnsi="Calibri" w:cs="Calibri"/>
          <w:color w:val="auto"/>
          <w:szCs w:val="20"/>
          <w:lang w:val="en-US"/>
        </w:rPr>
        <w:t>Recognized</w:t>
      </w:r>
      <w:r w:rsidRPr="00B52D53">
        <w:rPr>
          <w:rFonts w:ascii="Calibri" w:hAnsi="Calibri" w:cs="Calibri"/>
          <w:color w:val="auto"/>
          <w:szCs w:val="20"/>
          <w:lang w:val="en-US"/>
        </w:rPr>
        <w:t>.</w:t>
      </w:r>
    </w:p>
    <w:p w14:paraId="281C68E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Restricted.</w:t>
      </w:r>
    </w:p>
    <w:p w14:paraId="64F0D20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Acknowledged.</w:t>
      </w:r>
    </w:p>
    <w:p w14:paraId="73BAE63F" w14:textId="77777777" w:rsidR="00B734EC" w:rsidRPr="00B52D53" w:rsidRDefault="00B734EC" w:rsidP="00DA459B">
      <w:pPr>
        <w:jc w:val="both"/>
        <w:rPr>
          <w:rFonts w:ascii="Calibri" w:hAnsi="Calibri" w:cs="Calibri"/>
          <w:color w:val="auto"/>
          <w:szCs w:val="20"/>
          <w:lang w:val="en-US"/>
        </w:rPr>
      </w:pPr>
    </w:p>
    <w:p w14:paraId="6C624643" w14:textId="6DDE5396"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40. Which of the following would apply for a European constituted fund to be recognized under the</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Securities and Futures Act (SFA)?</w:t>
      </w:r>
    </w:p>
    <w:p w14:paraId="112E618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foreign fund manager must be a member of IMAS.</w:t>
      </w:r>
    </w:p>
    <w:p w14:paraId="644F0010" w14:textId="1EC5E41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foreign fund manager must be managing at least SGD 500 million of discretionary funds in</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Singapore (unless any of the units in the CIS is approved for listing for quotation on a securities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exchange and will be traded on the securities exchange).</w:t>
      </w:r>
    </w:p>
    <w:p w14:paraId="45C25EE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fund must appoint a representative in Singapore.</w:t>
      </w:r>
    </w:p>
    <w:p w14:paraId="4CBF656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European constituted fund must have unique features that are not found in other CIS</w:t>
      </w:r>
    </w:p>
    <w:p w14:paraId="65A24E6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constituted in Singapore.</w:t>
      </w:r>
    </w:p>
    <w:p w14:paraId="1EA6966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77E547E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3204829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(d).</w:t>
      </w:r>
    </w:p>
    <w:p w14:paraId="7212F00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5FB91D2C" w14:textId="77777777" w:rsidR="00B734EC" w:rsidRPr="00B52D53" w:rsidRDefault="00B734EC" w:rsidP="00DA459B">
      <w:pPr>
        <w:jc w:val="both"/>
        <w:rPr>
          <w:rFonts w:ascii="Calibri" w:hAnsi="Calibri" w:cs="Calibri"/>
          <w:color w:val="auto"/>
          <w:szCs w:val="20"/>
          <w:lang w:val="en-US"/>
        </w:rPr>
      </w:pPr>
    </w:p>
    <w:p w14:paraId="5B8F7BE9" w14:textId="3DBBA63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41. Which party is responsible for reporting breaches of investment guidelines by </w:t>
      </w:r>
      <w:r w:rsidR="0004778D" w:rsidRPr="00B52D53">
        <w:rPr>
          <w:rFonts w:ascii="Calibri" w:hAnsi="Calibri" w:cs="Calibri"/>
          <w:color w:val="auto"/>
          <w:szCs w:val="20"/>
          <w:lang w:val="en-US"/>
        </w:rPr>
        <w:t>authorized</w:t>
      </w:r>
      <w:r w:rsidRPr="00B52D53">
        <w:rPr>
          <w:rFonts w:ascii="Calibri" w:hAnsi="Calibri" w:cs="Calibri"/>
          <w:color w:val="auto"/>
          <w:szCs w:val="20"/>
          <w:lang w:val="en-US"/>
        </w:rPr>
        <w:t xml:space="preserve"> CIS?</w:t>
      </w:r>
    </w:p>
    <w:p w14:paraId="2A91703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MAS.</w:t>
      </w:r>
    </w:p>
    <w:p w14:paraId="2889B36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Fund Manager or the Trustee.</w:t>
      </w:r>
    </w:p>
    <w:p w14:paraId="45B4920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External Auditor.</w:t>
      </w:r>
    </w:p>
    <w:p w14:paraId="3B53941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d. IMAS.</w:t>
      </w:r>
    </w:p>
    <w:p w14:paraId="496FE613" w14:textId="77777777" w:rsidR="00B734EC" w:rsidRPr="00B52D53" w:rsidRDefault="00B734EC" w:rsidP="00DA459B">
      <w:pPr>
        <w:jc w:val="both"/>
        <w:rPr>
          <w:rFonts w:ascii="Calibri" w:hAnsi="Calibri" w:cs="Calibri"/>
          <w:color w:val="auto"/>
          <w:szCs w:val="20"/>
          <w:lang w:val="en-US"/>
        </w:rPr>
      </w:pPr>
    </w:p>
    <w:p w14:paraId="59423361" w14:textId="446B8A0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42. Under the covenants in a CIS trust deed, the manager is required to perform all the following functions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EXCEPT:</w:t>
      </w:r>
    </w:p>
    <w:p w14:paraId="5BB9F04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Keeping books for convenient and proper audit.</w:t>
      </w:r>
    </w:p>
    <w:p w14:paraId="665E6F80" w14:textId="3F4826D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Purchasing units in the scheme from participants based on the net asset value of the scheme or</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in accordance with the Code on CIS.</w:t>
      </w:r>
    </w:p>
    <w:p w14:paraId="22F048A8" w14:textId="545D3C1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Redeeming units in the scheme from participants based on the net asset value of the scheme or</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in accordance with the Code on CIS.</w:t>
      </w:r>
    </w:p>
    <w:p w14:paraId="77200AC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Sending reports relating to the scheme to its participants.</w:t>
      </w:r>
    </w:p>
    <w:p w14:paraId="5CB2598D" w14:textId="77777777" w:rsidR="00B734EC" w:rsidRPr="00B52D53" w:rsidRDefault="00B734EC" w:rsidP="00DA459B">
      <w:pPr>
        <w:jc w:val="both"/>
        <w:rPr>
          <w:rFonts w:ascii="Calibri" w:hAnsi="Calibri" w:cs="Calibri"/>
          <w:color w:val="auto"/>
          <w:szCs w:val="20"/>
          <w:lang w:val="en-US"/>
        </w:rPr>
      </w:pPr>
    </w:p>
    <w:p w14:paraId="53819DAA" w14:textId="5ED32B8C"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43. In the event there are rounding differences when calculating the price of a unit in a CIS, the round</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difference should be credited to the:</w:t>
      </w:r>
    </w:p>
    <w:p w14:paraId="2E8A5C3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Fund manager.</w:t>
      </w:r>
    </w:p>
    <w:p w14:paraId="0D00CBE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Investor.</w:t>
      </w:r>
    </w:p>
    <w:p w14:paraId="729B248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CIS.</w:t>
      </w:r>
    </w:p>
    <w:p w14:paraId="44D6019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Senior sales investment manager.</w:t>
      </w:r>
    </w:p>
    <w:p w14:paraId="6FF8F7B5" w14:textId="77777777" w:rsidR="00B734EC" w:rsidRPr="00B52D53" w:rsidRDefault="00B734EC" w:rsidP="00DA459B">
      <w:pPr>
        <w:jc w:val="both"/>
        <w:rPr>
          <w:rFonts w:ascii="Calibri" w:hAnsi="Calibri" w:cs="Calibri"/>
          <w:color w:val="auto"/>
          <w:szCs w:val="20"/>
          <w:lang w:val="en-US"/>
        </w:rPr>
      </w:pPr>
    </w:p>
    <w:p w14:paraId="610741D6" w14:textId="663A91D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44. Which of the following CIS should be valued every business day?</w:t>
      </w:r>
    </w:p>
    <w:p w14:paraId="6E759BF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w:t>
      </w:r>
      <w:proofErr w:type="gramStart"/>
      <w:r w:rsidRPr="00B52D53">
        <w:rPr>
          <w:rFonts w:ascii="Calibri" w:hAnsi="Calibri" w:cs="Calibri"/>
          <w:color w:val="auto"/>
          <w:szCs w:val="20"/>
          <w:lang w:val="en-US"/>
        </w:rPr>
        <w:t>Regional</w:t>
      </w:r>
      <w:proofErr w:type="gramEnd"/>
      <w:r w:rsidRPr="00B52D53">
        <w:rPr>
          <w:rFonts w:ascii="Calibri" w:hAnsi="Calibri" w:cs="Calibri"/>
          <w:color w:val="auto"/>
          <w:szCs w:val="20"/>
          <w:lang w:val="en-US"/>
        </w:rPr>
        <w:t xml:space="preserve"> equity fund.</w:t>
      </w:r>
    </w:p>
    <w:p w14:paraId="30EE0C4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Private equity fund (which do not offer dealing every business day).</w:t>
      </w:r>
    </w:p>
    <w:p w14:paraId="375AEC9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Structured product fund (which do not offer dealing every business day).</w:t>
      </w:r>
    </w:p>
    <w:p w14:paraId="363452E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Property fund.</w:t>
      </w:r>
    </w:p>
    <w:p w14:paraId="6E1447AE" w14:textId="77777777" w:rsidR="00B734EC" w:rsidRPr="00B52D53" w:rsidRDefault="00B734EC" w:rsidP="00DA459B">
      <w:pPr>
        <w:jc w:val="both"/>
        <w:rPr>
          <w:rFonts w:ascii="Calibri" w:hAnsi="Calibri" w:cs="Calibri"/>
          <w:color w:val="auto"/>
          <w:szCs w:val="20"/>
          <w:lang w:val="en-US"/>
        </w:rPr>
      </w:pPr>
    </w:p>
    <w:p w14:paraId="105D11CE" w14:textId="5C0976F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45. Which of the following is NOT a function or responsibility of the trustee of </w:t>
      </w:r>
      <w:r w:rsidR="0004778D" w:rsidRPr="00B52D53">
        <w:rPr>
          <w:rFonts w:ascii="Calibri" w:hAnsi="Calibri" w:cs="Calibri"/>
          <w:color w:val="auto"/>
          <w:szCs w:val="20"/>
          <w:lang w:val="en-US"/>
        </w:rPr>
        <w:t>Authorized</w:t>
      </w:r>
      <w:r w:rsidRPr="00B52D53">
        <w:rPr>
          <w:rFonts w:ascii="Calibri" w:hAnsi="Calibri" w:cs="Calibri"/>
          <w:color w:val="auto"/>
          <w:szCs w:val="20"/>
          <w:lang w:val="en-US"/>
        </w:rPr>
        <w:t xml:space="preserve"> CIS?</w:t>
      </w:r>
    </w:p>
    <w:p w14:paraId="5D80D3E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To conduct all transactions for the CIS at arms’ length.</w:t>
      </w:r>
    </w:p>
    <w:p w14:paraId="324EAE2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To send annual reports of the CIS to the participants.</w:t>
      </w:r>
    </w:p>
    <w:p w14:paraId="0F7C929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To prepare annual reports of the CIS.</w:t>
      </w:r>
    </w:p>
    <w:p w14:paraId="39119FE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To report regulatory breaches by the fund manager of the CIS to MAS.</w:t>
      </w:r>
    </w:p>
    <w:p w14:paraId="23F60027" w14:textId="77777777" w:rsidR="00B734EC" w:rsidRPr="00B52D53" w:rsidRDefault="00B734EC" w:rsidP="00DA459B">
      <w:pPr>
        <w:jc w:val="both"/>
        <w:rPr>
          <w:rFonts w:ascii="Calibri" w:hAnsi="Calibri" w:cs="Calibri"/>
          <w:color w:val="auto"/>
          <w:szCs w:val="20"/>
          <w:lang w:val="en-US"/>
        </w:rPr>
      </w:pPr>
    </w:p>
    <w:p w14:paraId="7431097B" w14:textId="1B0EDB0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46. Which of the following are NOT acceptable practices under the Code on CIS?</w:t>
      </w:r>
    </w:p>
    <w:p w14:paraId="1845B15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Deducting marketing or promotion expenses from the deposited property of the CIS</w:t>
      </w:r>
    </w:p>
    <w:p w14:paraId="44B1219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Receiving cash rebates.</w:t>
      </w:r>
    </w:p>
    <w:p w14:paraId="5A6330B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Lending moneys to the manager’s related corporations.</w:t>
      </w:r>
    </w:p>
    <w:p w14:paraId="2A4FDA0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Receiving soft dollar commissions.</w:t>
      </w:r>
    </w:p>
    <w:p w14:paraId="546C35A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(c).</w:t>
      </w:r>
    </w:p>
    <w:p w14:paraId="7025900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6C12F01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(d).</w:t>
      </w:r>
    </w:p>
    <w:p w14:paraId="2D91D8A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0CBB1E55" w14:textId="77777777" w:rsidR="00B734EC" w:rsidRPr="00B52D53" w:rsidRDefault="00B734EC" w:rsidP="00DA459B">
      <w:pPr>
        <w:jc w:val="both"/>
        <w:rPr>
          <w:rFonts w:ascii="Calibri" w:hAnsi="Calibri" w:cs="Calibri"/>
          <w:color w:val="auto"/>
          <w:szCs w:val="20"/>
          <w:lang w:val="en-US"/>
        </w:rPr>
      </w:pPr>
    </w:p>
    <w:p w14:paraId="4F317C52" w14:textId="2F7092C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47. Which of the following parties is responsible for winding up a CIS when its authorization has been</w:t>
      </w:r>
    </w:p>
    <w:p w14:paraId="387B471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revoked by MAS?</w:t>
      </w:r>
    </w:p>
    <w:p w14:paraId="6C62BCA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Responsible Person.</w:t>
      </w:r>
    </w:p>
    <w:p w14:paraId="22ED471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Lawyers.</w:t>
      </w:r>
    </w:p>
    <w:p w14:paraId="03CC015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Auditors.</w:t>
      </w:r>
    </w:p>
    <w:p w14:paraId="445D0A6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Company secretary.</w:t>
      </w:r>
    </w:p>
    <w:p w14:paraId="3EC9A116" w14:textId="77777777" w:rsidR="00B734EC" w:rsidRPr="00B52D53" w:rsidRDefault="00B734EC" w:rsidP="00DA459B">
      <w:pPr>
        <w:jc w:val="both"/>
        <w:rPr>
          <w:rFonts w:ascii="Calibri" w:hAnsi="Calibri" w:cs="Calibri"/>
          <w:color w:val="auto"/>
          <w:szCs w:val="20"/>
          <w:lang w:val="en-US"/>
        </w:rPr>
      </w:pPr>
    </w:p>
    <w:p w14:paraId="542A0FB8" w14:textId="1C334856"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48. Which of the following is FALSE in relation to a meeting of CIS’s participants (in respect of a proposed</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winding up of the CIS)?</w:t>
      </w:r>
    </w:p>
    <w:p w14:paraId="4C0E0D36" w14:textId="7BAA01E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 meeting should be summoned if the responsible person is in liquidation, to determine</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appropriate course of action.</w:t>
      </w:r>
    </w:p>
    <w:p w14:paraId="57E49361" w14:textId="688514E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Notice of a meeting can be given in writing at least 10 days before the date of proposed meeting</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to each participant.</w:t>
      </w:r>
    </w:p>
    <w:p w14:paraId="76F6E44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Resolutions to wind up the CIS can be tabled at such meetings.</w:t>
      </w:r>
    </w:p>
    <w:p w14:paraId="5DFAC04F" w14:textId="77021FDC"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Notice of a meeting can be given by publishing at least 21 days before the date of proposed</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meeting on newspapers.</w:t>
      </w:r>
    </w:p>
    <w:p w14:paraId="6D678BB8" w14:textId="77777777" w:rsidR="00B734EC" w:rsidRPr="00B52D53" w:rsidRDefault="00B734EC" w:rsidP="00DA459B">
      <w:pPr>
        <w:jc w:val="both"/>
        <w:rPr>
          <w:rFonts w:ascii="Calibri" w:hAnsi="Calibri" w:cs="Calibri"/>
          <w:color w:val="auto"/>
          <w:szCs w:val="20"/>
          <w:lang w:val="en-US"/>
        </w:rPr>
      </w:pPr>
    </w:p>
    <w:p w14:paraId="4786A80C" w14:textId="0C10421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49. Which of the following statements are TRUE in respect of the safeguards that a financial institution is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required to put in place when they market and sell CIS units to retailers?</w:t>
      </w:r>
    </w:p>
    <w:p w14:paraId="0431CA35" w14:textId="25C28326"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a. The financial institution should maintain a register containing information on their marketing</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arrangements at public places.</w:t>
      </w:r>
    </w:p>
    <w:p w14:paraId="44B5CB8E" w14:textId="2B25717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Representatives do not need to disclose upfront their identities and the financial institution they</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represent, when they prospect for clients.</w:t>
      </w:r>
    </w:p>
    <w:p w14:paraId="14DF5765" w14:textId="453E9A7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financial institution is not required to examine the compliance record of the representative</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when determining whether a representative is able to conduct marketing and distribution</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activities at retailers and public places.</w:t>
      </w:r>
    </w:p>
    <w:p w14:paraId="47871967" w14:textId="0E2800A6"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financial institution should conduct surveys or call back for all customers within the cooling</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off period to ensure the customers understood their purchase at such locations.</w:t>
      </w:r>
    </w:p>
    <w:p w14:paraId="24E65D4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(c).</w:t>
      </w:r>
    </w:p>
    <w:p w14:paraId="34957D5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65F5E81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(d).</w:t>
      </w:r>
    </w:p>
    <w:p w14:paraId="5B207ED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330DBA2E" w14:textId="77777777" w:rsidR="00B734EC" w:rsidRPr="00B52D53" w:rsidRDefault="00B734EC" w:rsidP="00DA459B">
      <w:pPr>
        <w:jc w:val="both"/>
        <w:rPr>
          <w:rFonts w:ascii="Calibri" w:hAnsi="Calibri" w:cs="Calibri"/>
          <w:color w:val="auto"/>
          <w:szCs w:val="20"/>
          <w:lang w:val="en-US"/>
        </w:rPr>
      </w:pPr>
    </w:p>
    <w:p w14:paraId="18BE28BA" w14:textId="5C3972C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50. Potential and existing conflicts of interests </w:t>
      </w:r>
      <w:proofErr w:type="gramStart"/>
      <w:r w:rsidRPr="00B52D53">
        <w:rPr>
          <w:rFonts w:ascii="Calibri" w:hAnsi="Calibri" w:cs="Calibri"/>
          <w:color w:val="auto"/>
          <w:szCs w:val="20"/>
          <w:lang w:val="en-US"/>
        </w:rPr>
        <w:t>have to</w:t>
      </w:r>
      <w:proofErr w:type="gramEnd"/>
      <w:r w:rsidRPr="00B52D53">
        <w:rPr>
          <w:rFonts w:ascii="Calibri" w:hAnsi="Calibri" w:cs="Calibri"/>
          <w:color w:val="auto"/>
          <w:szCs w:val="20"/>
          <w:lang w:val="en-US"/>
        </w:rPr>
        <w:t xml:space="preserve"> be declared in the prospectus. Such examples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include:</w:t>
      </w:r>
    </w:p>
    <w:p w14:paraId="522D14D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Any possibility of the manager acquiring an interest in the CIS.</w:t>
      </w:r>
    </w:p>
    <w:p w14:paraId="2684D7C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Whether the manager manages other CIS with a similar transaction focus.</w:t>
      </w:r>
    </w:p>
    <w:p w14:paraId="5156505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Any affiliation with entities that provide services to the CIS.</w:t>
      </w:r>
    </w:p>
    <w:p w14:paraId="7756220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nature and extent of the interests of the manager in respect of the CIS.</w:t>
      </w:r>
    </w:p>
    <w:p w14:paraId="3E6363D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05FB1DE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0DB61F9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1EE708C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(c) and (d).</w:t>
      </w:r>
    </w:p>
    <w:p w14:paraId="53056D6A" w14:textId="77777777" w:rsidR="00B734EC" w:rsidRPr="00B52D53" w:rsidRDefault="00B734EC" w:rsidP="00DA459B">
      <w:pPr>
        <w:jc w:val="both"/>
        <w:rPr>
          <w:rFonts w:ascii="Calibri" w:hAnsi="Calibri" w:cs="Calibri"/>
          <w:color w:val="auto"/>
          <w:szCs w:val="20"/>
          <w:lang w:val="en-US"/>
        </w:rPr>
      </w:pPr>
    </w:p>
    <w:p w14:paraId="204865C1" w14:textId="22F6040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51. What must be clearly stated in a hedge fund prospectus?</w:t>
      </w:r>
    </w:p>
    <w:p w14:paraId="14745E1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material differences between the hedge fund and other types of CIS.</w:t>
      </w:r>
    </w:p>
    <w:p w14:paraId="4F49EB3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Like other types of CIS, the Code prescribes investment guidelines for hedge funds.</w:t>
      </w:r>
    </w:p>
    <w:p w14:paraId="6D862B0B" w14:textId="3BBDEE0C"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risks of investing in a hedge fund is no different from other types of CIS which invest in listed</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securities.</w:t>
      </w:r>
    </w:p>
    <w:p w14:paraId="4F2E496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d. The hedge fund is capital guaranteed and not subject to any credit risk.</w:t>
      </w:r>
    </w:p>
    <w:p w14:paraId="4FE6366E" w14:textId="77777777" w:rsidR="00B734EC" w:rsidRPr="00B52D53" w:rsidRDefault="00B734EC" w:rsidP="00DA459B">
      <w:pPr>
        <w:jc w:val="both"/>
        <w:rPr>
          <w:rFonts w:ascii="Calibri" w:hAnsi="Calibri" w:cs="Calibri"/>
          <w:color w:val="auto"/>
          <w:szCs w:val="20"/>
          <w:lang w:val="en-US"/>
        </w:rPr>
      </w:pPr>
    </w:p>
    <w:p w14:paraId="3DC28008" w14:textId="0062230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52. What restrictions apply to the use of the term “Guaranteed fund” under the Code of CIS?</w:t>
      </w:r>
    </w:p>
    <w:p w14:paraId="1C2562D8" w14:textId="4C49316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scheme must comply with the Code of CIS’s provisions in respect of Capital Guaranteed</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Funds.</w:t>
      </w:r>
    </w:p>
    <w:p w14:paraId="614DBF3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scheme must guarantee income but need not have a guarantor.</w:t>
      </w:r>
    </w:p>
    <w:p w14:paraId="7EACF35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scheme must guarantee return of capital of not less than 80%.</w:t>
      </w:r>
    </w:p>
    <w:p w14:paraId="4C0085C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scheme must only invest in fixed deposits.</w:t>
      </w:r>
    </w:p>
    <w:p w14:paraId="53B8B7B6" w14:textId="77777777" w:rsidR="00B734EC" w:rsidRPr="00B52D53" w:rsidRDefault="00B734EC" w:rsidP="00DA459B">
      <w:pPr>
        <w:jc w:val="both"/>
        <w:rPr>
          <w:rFonts w:ascii="Calibri" w:hAnsi="Calibri" w:cs="Calibri"/>
          <w:color w:val="auto"/>
          <w:szCs w:val="20"/>
          <w:lang w:val="en-US"/>
        </w:rPr>
      </w:pPr>
    </w:p>
    <w:p w14:paraId="1FAA02D8" w14:textId="1464397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53. A prospectus will be registered between 7 to 21 days from the date of lodgment. Which of the following</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will NOT be a ground for an extension of that period?</w:t>
      </w:r>
    </w:p>
    <w:p w14:paraId="583BDAC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person making the offer applies in writing to extend the period.</w:t>
      </w:r>
    </w:p>
    <w:p w14:paraId="0B44FAF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MAS is of the view that the prospectus includes information that is false or prohibited.</w:t>
      </w:r>
    </w:p>
    <w:p w14:paraId="44294F79" w14:textId="0E345FC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MAS gives notice to the person making the offer of an extension, which may be longer than 28</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 xml:space="preserve">days from the date of </w:t>
      </w:r>
      <w:r w:rsidR="0004778D" w:rsidRPr="00B52D53">
        <w:rPr>
          <w:rFonts w:ascii="Calibri" w:hAnsi="Calibri" w:cs="Calibri"/>
          <w:color w:val="auto"/>
          <w:szCs w:val="20"/>
          <w:lang w:val="en-US"/>
        </w:rPr>
        <w:t>lodgment</w:t>
      </w:r>
      <w:r w:rsidRPr="00B52D53">
        <w:rPr>
          <w:rFonts w:ascii="Calibri" w:hAnsi="Calibri" w:cs="Calibri"/>
          <w:color w:val="auto"/>
          <w:szCs w:val="20"/>
          <w:lang w:val="en-US"/>
        </w:rPr>
        <w:t>.</w:t>
      </w:r>
    </w:p>
    <w:p w14:paraId="32B3E631" w14:textId="6D2ED0F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MAS gives the person making the offer notice of an opportunity to be heard in respect of MAS’s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refusal to register the prospectus.</w:t>
      </w:r>
    </w:p>
    <w:p w14:paraId="714D71A6" w14:textId="77777777" w:rsidR="00B734EC" w:rsidRPr="00B52D53" w:rsidRDefault="00B734EC" w:rsidP="00DA459B">
      <w:pPr>
        <w:jc w:val="both"/>
        <w:rPr>
          <w:rFonts w:ascii="Calibri" w:hAnsi="Calibri" w:cs="Calibri"/>
          <w:color w:val="auto"/>
          <w:szCs w:val="20"/>
          <w:lang w:val="en-US"/>
        </w:rPr>
      </w:pPr>
    </w:p>
    <w:p w14:paraId="3EC82B51" w14:textId="32850D0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54. Money Management Ltd (Money) has been issued with a stop order </w:t>
      </w:r>
      <w:proofErr w:type="gramStart"/>
      <w:r w:rsidRPr="00B52D53">
        <w:rPr>
          <w:rFonts w:ascii="Calibri" w:hAnsi="Calibri" w:cs="Calibri"/>
          <w:color w:val="auto"/>
          <w:szCs w:val="20"/>
          <w:lang w:val="en-US"/>
        </w:rPr>
        <w:t>with regard to</w:t>
      </w:r>
      <w:proofErr w:type="gramEnd"/>
      <w:r w:rsidRPr="00B52D53">
        <w:rPr>
          <w:rFonts w:ascii="Calibri" w:hAnsi="Calibri" w:cs="Calibri"/>
          <w:color w:val="auto"/>
          <w:szCs w:val="20"/>
          <w:lang w:val="en-US"/>
        </w:rPr>
        <w:t xml:space="preserve"> a CIS that it has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offered to retail investors in Singapore. Under the SFA, Money may be asked to do all the following</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EXCEPT:</w:t>
      </w:r>
    </w:p>
    <w:p w14:paraId="2032A85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Liquidate investments in the CIS and refund proceeds to applicants.</w:t>
      </w:r>
    </w:p>
    <w:p w14:paraId="5270798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Refund all moneys received from new applicants relating to applications for the CIS.</w:t>
      </w:r>
    </w:p>
    <w:p w14:paraId="3FF40AA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Void all applications for units received for the CIS before the issue of the stop order.</w:t>
      </w:r>
    </w:p>
    <w:p w14:paraId="1049D99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Transfer the investments in the CIS to another scheme with similar investment objectives.</w:t>
      </w:r>
    </w:p>
    <w:p w14:paraId="415DC077" w14:textId="77777777" w:rsidR="00B734EC" w:rsidRPr="00B52D53" w:rsidRDefault="00B734EC" w:rsidP="00DA459B">
      <w:pPr>
        <w:jc w:val="both"/>
        <w:rPr>
          <w:rFonts w:ascii="Calibri" w:hAnsi="Calibri" w:cs="Calibri"/>
          <w:color w:val="auto"/>
          <w:szCs w:val="20"/>
          <w:lang w:val="en-US"/>
        </w:rPr>
      </w:pPr>
    </w:p>
    <w:p w14:paraId="7C2CB09E" w14:textId="3552B7B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55. The prospectus has a validity period of ___ months from the date of its registration.</w:t>
      </w:r>
    </w:p>
    <w:p w14:paraId="5980A3E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6.</w:t>
      </w:r>
    </w:p>
    <w:p w14:paraId="371C63D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12.</w:t>
      </w:r>
    </w:p>
    <w:p w14:paraId="572E9B7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24.</w:t>
      </w:r>
    </w:p>
    <w:p w14:paraId="320F5A8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36.</w:t>
      </w:r>
    </w:p>
    <w:p w14:paraId="4D3FEF10" w14:textId="77777777" w:rsidR="00B734EC" w:rsidRPr="00B52D53" w:rsidRDefault="00B734EC" w:rsidP="00DA459B">
      <w:pPr>
        <w:jc w:val="both"/>
        <w:rPr>
          <w:rFonts w:ascii="Calibri" w:hAnsi="Calibri" w:cs="Calibri"/>
          <w:color w:val="auto"/>
          <w:szCs w:val="20"/>
          <w:lang w:val="en-US"/>
        </w:rPr>
      </w:pPr>
    </w:p>
    <w:p w14:paraId="1210EAA0" w14:textId="44AD73CA"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7 – Guidelines on Product Highlights Sheet</w:t>
      </w:r>
    </w:p>
    <w:p w14:paraId="2DA6DC2B" w14:textId="5FF433B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56. Who is NOT responsible for preparing the Product Highlight Sheet (PHS) in accordance with the PHS</w:t>
      </w:r>
      <w:r w:rsidR="00B734EC" w:rsidRPr="00B52D53">
        <w:rPr>
          <w:rFonts w:ascii="Calibri" w:hAnsi="Calibri" w:cs="Calibri"/>
          <w:color w:val="auto"/>
          <w:szCs w:val="20"/>
          <w:lang w:val="en-US"/>
        </w:rPr>
        <w:t xml:space="preserve"> </w:t>
      </w:r>
      <w:r w:rsidRPr="00B52D53">
        <w:rPr>
          <w:rFonts w:ascii="Calibri" w:hAnsi="Calibri" w:cs="Calibri"/>
          <w:color w:val="auto"/>
          <w:szCs w:val="20"/>
          <w:lang w:val="en-US"/>
        </w:rPr>
        <w:t>Guidelines?</w:t>
      </w:r>
    </w:p>
    <w:p w14:paraId="75591EB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Issuers.</w:t>
      </w:r>
    </w:p>
    <w:p w14:paraId="76FCE63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For schemes constituted as a corporation, the corporation.</w:t>
      </w:r>
    </w:p>
    <w:p w14:paraId="5F18B69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Manager of the scheme.</w:t>
      </w:r>
    </w:p>
    <w:p w14:paraId="52221E1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Trustee of the scheme.</w:t>
      </w:r>
    </w:p>
    <w:p w14:paraId="30E377C7" w14:textId="77777777" w:rsidR="00B734EC" w:rsidRPr="00B52D53" w:rsidRDefault="00B734EC" w:rsidP="00DA459B">
      <w:pPr>
        <w:jc w:val="both"/>
        <w:rPr>
          <w:rFonts w:ascii="Calibri" w:hAnsi="Calibri" w:cs="Calibri"/>
          <w:color w:val="auto"/>
          <w:szCs w:val="20"/>
          <w:lang w:val="en-US"/>
        </w:rPr>
      </w:pPr>
    </w:p>
    <w:p w14:paraId="01E85024" w14:textId="36713AA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57. Who is NOT considered a “Responsible Person” for a CIS?</w:t>
      </w:r>
    </w:p>
    <w:p w14:paraId="48572003" w14:textId="1CD8C07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The manager of the </w:t>
      </w:r>
      <w:r w:rsidR="0004778D" w:rsidRPr="00B52D53">
        <w:rPr>
          <w:rFonts w:ascii="Calibri" w:hAnsi="Calibri" w:cs="Calibri"/>
          <w:color w:val="auto"/>
          <w:szCs w:val="20"/>
          <w:lang w:val="en-US"/>
        </w:rPr>
        <w:t>authorized</w:t>
      </w:r>
      <w:r w:rsidRPr="00B52D53">
        <w:rPr>
          <w:rFonts w:ascii="Calibri" w:hAnsi="Calibri" w:cs="Calibri"/>
          <w:color w:val="auto"/>
          <w:szCs w:val="20"/>
          <w:lang w:val="en-US"/>
        </w:rPr>
        <w:t xml:space="preserve"> CIS.</w:t>
      </w:r>
    </w:p>
    <w:p w14:paraId="5173F001" w14:textId="413CA7A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The trustee of </w:t>
      </w:r>
      <w:r w:rsidR="0004778D" w:rsidRPr="00B52D53">
        <w:rPr>
          <w:rFonts w:ascii="Calibri" w:hAnsi="Calibri" w:cs="Calibri"/>
          <w:color w:val="auto"/>
          <w:szCs w:val="20"/>
          <w:lang w:val="en-US"/>
        </w:rPr>
        <w:t>authorized</w:t>
      </w:r>
      <w:r w:rsidRPr="00B52D53">
        <w:rPr>
          <w:rFonts w:ascii="Calibri" w:hAnsi="Calibri" w:cs="Calibri"/>
          <w:color w:val="auto"/>
          <w:szCs w:val="20"/>
          <w:lang w:val="en-US"/>
        </w:rPr>
        <w:t xml:space="preserve"> schemes.</w:t>
      </w:r>
    </w:p>
    <w:p w14:paraId="67CB29D5" w14:textId="188F5A7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The corporation in the case of </w:t>
      </w:r>
      <w:r w:rsidR="0004778D" w:rsidRPr="00B52D53">
        <w:rPr>
          <w:rFonts w:ascii="Calibri" w:hAnsi="Calibri" w:cs="Calibri"/>
          <w:color w:val="auto"/>
          <w:szCs w:val="20"/>
          <w:lang w:val="en-US"/>
        </w:rPr>
        <w:t>recognized</w:t>
      </w:r>
      <w:r w:rsidRPr="00B52D53">
        <w:rPr>
          <w:rFonts w:ascii="Calibri" w:hAnsi="Calibri" w:cs="Calibri"/>
          <w:color w:val="auto"/>
          <w:szCs w:val="20"/>
          <w:lang w:val="en-US"/>
        </w:rPr>
        <w:t xml:space="preserve"> schemes constituted as corporations.</w:t>
      </w:r>
    </w:p>
    <w:p w14:paraId="7810B78D" w14:textId="2E8C1CF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The manager of </w:t>
      </w:r>
      <w:r w:rsidR="0004778D" w:rsidRPr="00B52D53">
        <w:rPr>
          <w:rFonts w:ascii="Calibri" w:hAnsi="Calibri" w:cs="Calibri"/>
          <w:color w:val="auto"/>
          <w:szCs w:val="20"/>
          <w:lang w:val="en-US"/>
        </w:rPr>
        <w:t>recognized</w:t>
      </w:r>
      <w:r w:rsidRPr="00B52D53">
        <w:rPr>
          <w:rFonts w:ascii="Calibri" w:hAnsi="Calibri" w:cs="Calibri"/>
          <w:color w:val="auto"/>
          <w:szCs w:val="20"/>
          <w:lang w:val="en-US"/>
        </w:rPr>
        <w:t xml:space="preserve"> schemes.</w:t>
      </w:r>
    </w:p>
    <w:p w14:paraId="654C6609" w14:textId="77777777" w:rsidR="00B734EC" w:rsidRPr="00B52D53" w:rsidRDefault="00B734EC" w:rsidP="00DA459B">
      <w:pPr>
        <w:jc w:val="both"/>
        <w:rPr>
          <w:rFonts w:ascii="Calibri" w:hAnsi="Calibri" w:cs="Calibri"/>
          <w:color w:val="auto"/>
          <w:szCs w:val="20"/>
          <w:lang w:val="en-US"/>
        </w:rPr>
      </w:pPr>
    </w:p>
    <w:p w14:paraId="345EA0FF" w14:textId="2176CAB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58. Which of these products require a PHS to be prepared and furnished to investors?</w:t>
      </w:r>
    </w:p>
    <w:p w14:paraId="2D532B6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Debentures and structured notes.</w:t>
      </w:r>
    </w:p>
    <w:p w14:paraId="6AB412C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Sub-funds where multiple sub-funds are covered in a single prospectus.</w:t>
      </w:r>
    </w:p>
    <w:p w14:paraId="6634F0A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Unlisted CIS and exchange-traded funds.</w:t>
      </w:r>
    </w:p>
    <w:p w14:paraId="180156F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Ordinary shares.</w:t>
      </w:r>
    </w:p>
    <w:p w14:paraId="0671235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3D654E2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72749CB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(c).</w:t>
      </w:r>
    </w:p>
    <w:p w14:paraId="7EADE5A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214B5AFD" w14:textId="77777777" w:rsidR="003978CE" w:rsidRPr="00B52D53" w:rsidRDefault="003978CE" w:rsidP="00DA459B">
      <w:pPr>
        <w:jc w:val="both"/>
        <w:rPr>
          <w:rFonts w:ascii="Calibri" w:hAnsi="Calibri" w:cs="Calibri"/>
          <w:color w:val="auto"/>
          <w:szCs w:val="20"/>
          <w:lang w:val="en-US"/>
        </w:rPr>
      </w:pPr>
    </w:p>
    <w:p w14:paraId="7051617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59. The templates for the PHS ___________.</w:t>
      </w:r>
    </w:p>
    <w:p w14:paraId="7D15B61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set out information which an issuer can opt to disclose in the PHS.</w:t>
      </w:r>
    </w:p>
    <w:p w14:paraId="44F6E3A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w:t>
      </w:r>
      <w:proofErr w:type="gramStart"/>
      <w:r w:rsidRPr="00B52D53">
        <w:rPr>
          <w:rFonts w:ascii="Calibri" w:hAnsi="Calibri" w:cs="Calibri"/>
          <w:color w:val="auto"/>
          <w:szCs w:val="20"/>
          <w:lang w:val="en-US"/>
        </w:rPr>
        <w:t>serve</w:t>
      </w:r>
      <w:proofErr w:type="gramEnd"/>
      <w:r w:rsidRPr="00B52D53">
        <w:rPr>
          <w:rFonts w:ascii="Calibri" w:hAnsi="Calibri" w:cs="Calibri"/>
          <w:color w:val="auto"/>
          <w:szCs w:val="20"/>
          <w:lang w:val="en-US"/>
        </w:rPr>
        <w:t xml:space="preserve"> as a minimum standard which must be complied with under law.</w:t>
      </w:r>
    </w:p>
    <w:p w14:paraId="4E873A2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xml:space="preserve">c. </w:t>
      </w:r>
      <w:proofErr w:type="gramStart"/>
      <w:r w:rsidRPr="00B52D53">
        <w:rPr>
          <w:rFonts w:ascii="Calibri" w:hAnsi="Calibri" w:cs="Calibri"/>
          <w:color w:val="auto"/>
          <w:szCs w:val="20"/>
          <w:lang w:val="en-US"/>
        </w:rPr>
        <w:t>are</w:t>
      </w:r>
      <w:proofErr w:type="gramEnd"/>
      <w:r w:rsidRPr="00B52D53">
        <w:rPr>
          <w:rFonts w:ascii="Calibri" w:hAnsi="Calibri" w:cs="Calibri"/>
          <w:color w:val="auto"/>
          <w:szCs w:val="20"/>
          <w:lang w:val="en-US"/>
        </w:rPr>
        <w:t xml:space="preserve"> to be used by an issuer for reference only.</w:t>
      </w:r>
    </w:p>
    <w:p w14:paraId="34CFD45F" w14:textId="3099D41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cannot be varied in any way (including the font </w:t>
      </w:r>
      <w:r w:rsidR="0004778D" w:rsidRPr="00B52D53">
        <w:rPr>
          <w:rFonts w:ascii="Calibri" w:hAnsi="Calibri" w:cs="Calibri"/>
          <w:color w:val="auto"/>
          <w:szCs w:val="20"/>
          <w:lang w:val="en-US"/>
        </w:rPr>
        <w:t>color</w:t>
      </w:r>
      <w:r w:rsidRPr="00B52D53">
        <w:rPr>
          <w:rFonts w:ascii="Calibri" w:hAnsi="Calibri" w:cs="Calibri"/>
          <w:color w:val="auto"/>
          <w:szCs w:val="20"/>
          <w:lang w:val="en-US"/>
        </w:rPr>
        <w:t xml:space="preserve"> or type).</w:t>
      </w:r>
    </w:p>
    <w:p w14:paraId="6D3CE58E" w14:textId="77777777" w:rsidR="003978CE" w:rsidRPr="00B52D53" w:rsidRDefault="003978CE" w:rsidP="00DA459B">
      <w:pPr>
        <w:jc w:val="both"/>
        <w:rPr>
          <w:rFonts w:ascii="Calibri" w:hAnsi="Calibri" w:cs="Calibri"/>
          <w:color w:val="auto"/>
          <w:szCs w:val="20"/>
          <w:lang w:val="en-US"/>
        </w:rPr>
      </w:pPr>
    </w:p>
    <w:p w14:paraId="0C317D02" w14:textId="27AEC16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60. Mr. Tan is </w:t>
      </w:r>
      <w:proofErr w:type="gramStart"/>
      <w:r w:rsidRPr="00B52D53">
        <w:rPr>
          <w:rFonts w:ascii="Calibri" w:hAnsi="Calibri" w:cs="Calibri"/>
          <w:color w:val="auto"/>
          <w:szCs w:val="20"/>
          <w:lang w:val="en-US"/>
        </w:rPr>
        <w:t>in the midst of</w:t>
      </w:r>
      <w:proofErr w:type="gramEnd"/>
      <w:r w:rsidRPr="00B52D53">
        <w:rPr>
          <w:rFonts w:ascii="Calibri" w:hAnsi="Calibri" w:cs="Calibri"/>
          <w:color w:val="auto"/>
          <w:szCs w:val="20"/>
          <w:lang w:val="en-US"/>
        </w:rPr>
        <w:t xml:space="preserve"> preparing a PHS in relation to an exchange-traded fund. Which of the</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following</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must he include in the PHS?</w:t>
      </w:r>
    </w:p>
    <w:p w14:paraId="619570B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 one-liner on how investments are valued.</w:t>
      </w:r>
    </w:p>
    <w:p w14:paraId="3D1134A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His own contact information in font size of 8-point.</w:t>
      </w:r>
    </w:p>
    <w:p w14:paraId="581CE7C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Glossary to explain any technical terms used.</w:t>
      </w:r>
    </w:p>
    <w:p w14:paraId="67F43DE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Information about the investment strategy and parties involved.</w:t>
      </w:r>
    </w:p>
    <w:p w14:paraId="1FF73F0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6B3AACC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45039DC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36C8670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597757FE" w14:textId="77777777" w:rsidR="003978CE" w:rsidRPr="00B52D53" w:rsidRDefault="003978CE" w:rsidP="00DA459B">
      <w:pPr>
        <w:jc w:val="both"/>
        <w:rPr>
          <w:rFonts w:ascii="Calibri" w:hAnsi="Calibri" w:cs="Calibri"/>
          <w:color w:val="auto"/>
          <w:szCs w:val="20"/>
          <w:lang w:val="en-US"/>
        </w:rPr>
      </w:pPr>
    </w:p>
    <w:p w14:paraId="412671C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61. The following are categories of key risks that must be explained to investors EXCEPT:</w:t>
      </w:r>
    </w:p>
    <w:p w14:paraId="7AE7DC7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Operational risks.</w:t>
      </w:r>
    </w:p>
    <w:p w14:paraId="2C02E1F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Liquidity risks.</w:t>
      </w:r>
    </w:p>
    <w:p w14:paraId="05A43F1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Market and credit risks.</w:t>
      </w:r>
    </w:p>
    <w:p w14:paraId="091608B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Product-specific risks.</w:t>
      </w:r>
    </w:p>
    <w:p w14:paraId="4F14F161" w14:textId="77777777" w:rsidR="003978CE" w:rsidRPr="00B52D53" w:rsidRDefault="003978CE" w:rsidP="00DA459B">
      <w:pPr>
        <w:jc w:val="both"/>
        <w:rPr>
          <w:rFonts w:ascii="Calibri" w:hAnsi="Calibri" w:cs="Calibri"/>
          <w:color w:val="auto"/>
          <w:szCs w:val="20"/>
          <w:lang w:val="en-US"/>
        </w:rPr>
      </w:pPr>
    </w:p>
    <w:p w14:paraId="2D590B68" w14:textId="52778ACE"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8 – Central Provident Fund Investment Scheme (CPFIS)</w:t>
      </w:r>
    </w:p>
    <w:p w14:paraId="4C174DBA" w14:textId="60104C9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62. A fund manager who wishes to be included under CPFIS must satisfy </w:t>
      </w:r>
      <w:proofErr w:type="gramStart"/>
      <w:r w:rsidRPr="00B52D53">
        <w:rPr>
          <w:rFonts w:ascii="Calibri" w:hAnsi="Calibri" w:cs="Calibri"/>
          <w:color w:val="auto"/>
          <w:szCs w:val="20"/>
          <w:lang w:val="en-US"/>
        </w:rPr>
        <w:t>all of</w:t>
      </w:r>
      <w:proofErr w:type="gramEnd"/>
      <w:r w:rsidRPr="00B52D53">
        <w:rPr>
          <w:rFonts w:ascii="Calibri" w:hAnsi="Calibri" w:cs="Calibri"/>
          <w:color w:val="auto"/>
          <w:szCs w:val="20"/>
          <w:lang w:val="en-US"/>
        </w:rPr>
        <w:t xml:space="preserve"> the following criteria</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EXCEPT:</w:t>
      </w:r>
    </w:p>
    <w:p w14:paraId="6BFF664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Have a good regulatory compliance record.</w:t>
      </w:r>
    </w:p>
    <w:p w14:paraId="400381F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Be a member of IMAS.</w:t>
      </w:r>
    </w:p>
    <w:p w14:paraId="619DC85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Have a pre-tax profit of at least SGD 1 million for the last 3 years.</w:t>
      </w:r>
    </w:p>
    <w:p w14:paraId="3CF3EF64" w14:textId="185BE07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 minimum of 3 fund managers, one of whom must have at least 5 years of fund management</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experience.</w:t>
      </w:r>
    </w:p>
    <w:p w14:paraId="50D559BE" w14:textId="77777777" w:rsidR="003978CE" w:rsidRPr="00B52D53" w:rsidRDefault="003978CE" w:rsidP="00DA459B">
      <w:pPr>
        <w:jc w:val="both"/>
        <w:rPr>
          <w:rFonts w:ascii="Calibri" w:hAnsi="Calibri" w:cs="Calibri"/>
          <w:color w:val="auto"/>
          <w:szCs w:val="20"/>
          <w:lang w:val="en-US"/>
        </w:rPr>
      </w:pPr>
    </w:p>
    <w:p w14:paraId="1BE14D21" w14:textId="3647A1F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xml:space="preserve">63. A fund management company that is already included under CPFIS is planning to offer an </w:t>
      </w:r>
      <w:r w:rsidR="0004778D" w:rsidRPr="00B52D53">
        <w:rPr>
          <w:rFonts w:ascii="Calibri" w:hAnsi="Calibri" w:cs="Calibri"/>
          <w:color w:val="auto"/>
          <w:szCs w:val="20"/>
          <w:lang w:val="en-US"/>
        </w:rPr>
        <w:t>authorized</w:t>
      </w:r>
      <w:r w:rsidRPr="00B52D53">
        <w:rPr>
          <w:rFonts w:ascii="Calibri" w:hAnsi="Calibri" w:cs="Calibri"/>
          <w:color w:val="auto"/>
          <w:szCs w:val="20"/>
          <w:lang w:val="en-US"/>
        </w:rPr>
        <w:t xml:space="preserve"> CIS</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 xml:space="preserve">that is sub-managed by its subsidiary in France. </w:t>
      </w:r>
      <w:proofErr w:type="gramStart"/>
      <w:r w:rsidRPr="00B52D53">
        <w:rPr>
          <w:rFonts w:ascii="Calibri" w:hAnsi="Calibri" w:cs="Calibri"/>
          <w:color w:val="auto"/>
          <w:szCs w:val="20"/>
          <w:lang w:val="en-US"/>
        </w:rPr>
        <w:t>In order to</w:t>
      </w:r>
      <w:proofErr w:type="gramEnd"/>
      <w:r w:rsidRPr="00B52D53">
        <w:rPr>
          <w:rFonts w:ascii="Calibri" w:hAnsi="Calibri" w:cs="Calibri"/>
          <w:color w:val="auto"/>
          <w:szCs w:val="20"/>
          <w:lang w:val="en-US"/>
        </w:rPr>
        <w:t xml:space="preserve"> be eligible to include this scheme under the</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CPFIS, the fund management company (together with its related group of companies) must be currently</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managing at least:</w:t>
      </w:r>
    </w:p>
    <w:p w14:paraId="2D58AA9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S$1 billion of discretionary funds worldwide.</w:t>
      </w:r>
    </w:p>
    <w:p w14:paraId="3D95B7F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S$1 billion of discretionary funds in Singapore.</w:t>
      </w:r>
    </w:p>
    <w:p w14:paraId="33BED59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S$500 million of discretionary funds in Singapore.</w:t>
      </w:r>
    </w:p>
    <w:p w14:paraId="3B150CC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S$500 million of discretionary funds worldwide.</w:t>
      </w:r>
    </w:p>
    <w:p w14:paraId="5F31CBB7" w14:textId="77777777" w:rsidR="003978CE" w:rsidRPr="00B52D53" w:rsidRDefault="003978CE" w:rsidP="00DA459B">
      <w:pPr>
        <w:jc w:val="both"/>
        <w:rPr>
          <w:rFonts w:ascii="Calibri" w:hAnsi="Calibri" w:cs="Calibri"/>
          <w:color w:val="auto"/>
          <w:szCs w:val="20"/>
          <w:lang w:val="en-US"/>
        </w:rPr>
      </w:pPr>
    </w:p>
    <w:p w14:paraId="295E6405" w14:textId="6B0CF5D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64. Which of the following parties is responsible for conducting due diligence on a fund manager to</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determine if the fund manager and its products are suitable for CPFIS?</w:t>
      </w:r>
    </w:p>
    <w:p w14:paraId="252FCAE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CPF.</w:t>
      </w:r>
    </w:p>
    <w:p w14:paraId="358753B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CPF’s Investment Consultant.</w:t>
      </w:r>
    </w:p>
    <w:p w14:paraId="23A3408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MAS.</w:t>
      </w:r>
    </w:p>
    <w:p w14:paraId="48EEC1C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IMAS.</w:t>
      </w:r>
    </w:p>
    <w:p w14:paraId="03FB39B1" w14:textId="77777777" w:rsidR="003978CE" w:rsidRPr="00B52D53" w:rsidRDefault="003978CE" w:rsidP="00DA459B">
      <w:pPr>
        <w:jc w:val="both"/>
        <w:rPr>
          <w:rFonts w:ascii="Calibri" w:hAnsi="Calibri" w:cs="Calibri"/>
          <w:color w:val="auto"/>
          <w:szCs w:val="20"/>
          <w:lang w:val="en-US"/>
        </w:rPr>
      </w:pPr>
    </w:p>
    <w:p w14:paraId="741914F2" w14:textId="68BCB66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65. Which of the following conditions apply to an application for a recognized fund constituted outside</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Singapore to be included under the CPFIS?</w:t>
      </w:r>
    </w:p>
    <w:p w14:paraId="60CC17F1" w14:textId="5A3AB09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The </w:t>
      </w:r>
      <w:r w:rsidR="0004778D" w:rsidRPr="00B52D53">
        <w:rPr>
          <w:rFonts w:ascii="Calibri" w:hAnsi="Calibri" w:cs="Calibri"/>
          <w:color w:val="auto"/>
          <w:szCs w:val="20"/>
          <w:lang w:val="en-US"/>
        </w:rPr>
        <w:t>recognized</w:t>
      </w:r>
      <w:r w:rsidRPr="00B52D53">
        <w:rPr>
          <w:rFonts w:ascii="Calibri" w:hAnsi="Calibri" w:cs="Calibri"/>
          <w:color w:val="auto"/>
          <w:szCs w:val="20"/>
          <w:lang w:val="en-US"/>
        </w:rPr>
        <w:t xml:space="preserve"> fund must have procedures in place to ensure that at least 95% of the value of</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the fund will be invested in accordance with the CPF Investment Guidelines.</w:t>
      </w:r>
    </w:p>
    <w:p w14:paraId="17BCF879" w14:textId="0253A7D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foreign fund manager provides a confirmation that it does not retain cash rebates for its own</w:t>
      </w:r>
      <w:r w:rsidR="003978CE" w:rsidRPr="00B52D53">
        <w:rPr>
          <w:rFonts w:ascii="Calibri" w:hAnsi="Calibri" w:cs="Calibri"/>
          <w:color w:val="auto"/>
          <w:szCs w:val="20"/>
          <w:lang w:val="en-US"/>
        </w:rPr>
        <w:t xml:space="preserve"> </w:t>
      </w:r>
      <w:r w:rsidRPr="00B52D53">
        <w:rPr>
          <w:rFonts w:ascii="Calibri" w:hAnsi="Calibri" w:cs="Calibri"/>
          <w:color w:val="auto"/>
          <w:szCs w:val="20"/>
          <w:lang w:val="en-US"/>
        </w:rPr>
        <w:t>account in its management of the fund.</w:t>
      </w:r>
    </w:p>
    <w:p w14:paraId="4795064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foreign fund manager must have a minimum 5 years’ experience in the management of CIS.</w:t>
      </w:r>
    </w:p>
    <w:p w14:paraId="3B1FE20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CPF Board must be able to conduct due diligence on the foreign fund manager.</w:t>
      </w:r>
    </w:p>
    <w:p w14:paraId="51303FB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43099A1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62691DD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75AA0DB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3A1A91A6" w14:textId="77777777" w:rsidR="003978CE" w:rsidRPr="00B52D53" w:rsidRDefault="003978CE" w:rsidP="00DA459B">
      <w:pPr>
        <w:jc w:val="both"/>
        <w:rPr>
          <w:rFonts w:ascii="Calibri" w:hAnsi="Calibri" w:cs="Calibri"/>
          <w:color w:val="auto"/>
          <w:szCs w:val="20"/>
          <w:lang w:val="en-US"/>
        </w:rPr>
      </w:pPr>
    </w:p>
    <w:p w14:paraId="42E4C89B" w14:textId="5E59E7B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66. Which of following funds need NOT observe the 95% compliance with the CPF Investment Guidelines?</w:t>
      </w:r>
    </w:p>
    <w:p w14:paraId="5DF0BE3E" w14:textId="3CD3BF2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xml:space="preserve">a. </w:t>
      </w:r>
      <w:r w:rsidR="0004778D" w:rsidRPr="00B52D53">
        <w:rPr>
          <w:rFonts w:ascii="Calibri" w:hAnsi="Calibri" w:cs="Calibri"/>
          <w:color w:val="auto"/>
          <w:szCs w:val="20"/>
          <w:lang w:val="en-US"/>
        </w:rPr>
        <w:t>Recognized</w:t>
      </w:r>
      <w:r w:rsidRPr="00B52D53">
        <w:rPr>
          <w:rFonts w:ascii="Calibri" w:hAnsi="Calibri" w:cs="Calibri"/>
          <w:color w:val="auto"/>
          <w:szCs w:val="20"/>
          <w:lang w:val="en-US"/>
        </w:rPr>
        <w:t xml:space="preserve"> Funds.</w:t>
      </w:r>
    </w:p>
    <w:p w14:paraId="77BF4BD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Property Funds that invest in real estate and infrastructure.</w:t>
      </w:r>
    </w:p>
    <w:p w14:paraId="00CDE9A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Capital Guaranteed Funds.</w:t>
      </w:r>
    </w:p>
    <w:p w14:paraId="76895E1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Exchange Traded Funds.</w:t>
      </w:r>
    </w:p>
    <w:p w14:paraId="7E14D38C" w14:textId="77777777" w:rsidR="003978CE" w:rsidRPr="00B52D53" w:rsidRDefault="003978CE" w:rsidP="00DA459B">
      <w:pPr>
        <w:jc w:val="both"/>
        <w:rPr>
          <w:rFonts w:ascii="Calibri" w:hAnsi="Calibri" w:cs="Calibri"/>
          <w:color w:val="auto"/>
          <w:szCs w:val="20"/>
          <w:lang w:val="en-US"/>
        </w:rPr>
      </w:pPr>
    </w:p>
    <w:p w14:paraId="00AFD300" w14:textId="35DBB07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67. The CPFIS risk classification system measures the risk of the portfolio by the proportion of assets</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invested in stocks. This risk is known as:</w:t>
      </w:r>
    </w:p>
    <w:p w14:paraId="743E489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Focus risk.</w:t>
      </w:r>
    </w:p>
    <w:p w14:paraId="1472CAE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Equity risk.</w:t>
      </w:r>
    </w:p>
    <w:p w14:paraId="12DED86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Market risk.</w:t>
      </w:r>
    </w:p>
    <w:p w14:paraId="0A20FB7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Interest rate risk.</w:t>
      </w:r>
    </w:p>
    <w:p w14:paraId="796F6E73" w14:textId="77777777" w:rsidR="004D1C4D" w:rsidRPr="00B52D53" w:rsidRDefault="004D1C4D" w:rsidP="00DA459B">
      <w:pPr>
        <w:jc w:val="both"/>
        <w:rPr>
          <w:rFonts w:ascii="Calibri" w:hAnsi="Calibri" w:cs="Calibri"/>
          <w:color w:val="auto"/>
          <w:szCs w:val="20"/>
          <w:lang w:val="en-US"/>
        </w:rPr>
      </w:pPr>
    </w:p>
    <w:p w14:paraId="2E5C4E2A" w14:textId="480EC38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68. The following are examples of returns to the CPF Board by the fund manager EXCEPT:</w:t>
      </w:r>
    </w:p>
    <w:p w14:paraId="262F68B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Annual external auditor’s report on the CPFIS fund.</w:t>
      </w:r>
    </w:p>
    <w:p w14:paraId="03D1FF7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Annual external auditor’s report on the fund manager’s operations in relation to the unit holdings.</w:t>
      </w:r>
    </w:p>
    <w:p w14:paraId="2A41514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Returns to confirm continuing compliance with the admission criteria by the fund manager.</w:t>
      </w:r>
    </w:p>
    <w:p w14:paraId="5750BFB4" w14:textId="121B808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Returns to confirm compliance with the IMAS Code of Ethics and Standards of Professional</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Conduct.</w:t>
      </w:r>
    </w:p>
    <w:p w14:paraId="1F082E5A" w14:textId="77777777" w:rsidR="004D1C4D" w:rsidRPr="00B52D53" w:rsidRDefault="004D1C4D" w:rsidP="00DA459B">
      <w:pPr>
        <w:jc w:val="both"/>
        <w:rPr>
          <w:rFonts w:ascii="Calibri" w:hAnsi="Calibri" w:cs="Calibri"/>
          <w:color w:val="auto"/>
          <w:szCs w:val="20"/>
          <w:lang w:val="en-US"/>
        </w:rPr>
      </w:pPr>
    </w:p>
    <w:p w14:paraId="0F9B77D9" w14:textId="46222EC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69. Which of the following descriptions are discouraged by the CPF Board as it may mislead CPF investors</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as to the suitability of an investment product offered by the fund manager?</w:t>
      </w:r>
    </w:p>
    <w:p w14:paraId="5A517F4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unit trust is included under the CPF Investment Scheme.</w:t>
      </w:r>
    </w:p>
    <w:p w14:paraId="038D5AA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unit trust is CPF registered.</w:t>
      </w:r>
    </w:p>
    <w:p w14:paraId="60DC976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unit trust is CPF approved.</w:t>
      </w:r>
    </w:p>
    <w:p w14:paraId="09A95497" w14:textId="5367474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The unit trust is CPF </w:t>
      </w:r>
      <w:r w:rsidR="0004778D" w:rsidRPr="00B52D53">
        <w:rPr>
          <w:rFonts w:ascii="Calibri" w:hAnsi="Calibri" w:cs="Calibri"/>
          <w:color w:val="auto"/>
          <w:szCs w:val="20"/>
          <w:lang w:val="en-US"/>
        </w:rPr>
        <w:t>recognized</w:t>
      </w:r>
      <w:r w:rsidRPr="00B52D53">
        <w:rPr>
          <w:rFonts w:ascii="Calibri" w:hAnsi="Calibri" w:cs="Calibri"/>
          <w:color w:val="auto"/>
          <w:szCs w:val="20"/>
          <w:lang w:val="en-US"/>
        </w:rPr>
        <w:t>.</w:t>
      </w:r>
    </w:p>
    <w:p w14:paraId="4C9023FE" w14:textId="77777777" w:rsidR="004D1C4D" w:rsidRPr="00B52D53" w:rsidRDefault="004D1C4D" w:rsidP="00DA459B">
      <w:pPr>
        <w:jc w:val="both"/>
        <w:rPr>
          <w:rFonts w:ascii="Calibri" w:hAnsi="Calibri" w:cs="Calibri"/>
          <w:color w:val="auto"/>
          <w:szCs w:val="20"/>
          <w:lang w:val="en-US"/>
        </w:rPr>
      </w:pPr>
    </w:p>
    <w:p w14:paraId="7A0D8A2B" w14:textId="2EDE8C4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70. Which of the following must be provided by Fund Management Companies to Funds Tracking</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Companies in providing performance information?</w:t>
      </w:r>
    </w:p>
    <w:p w14:paraId="747A93A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Quarterly expense ratios on an annualized basis for the past year.</w:t>
      </w:r>
    </w:p>
    <w:p w14:paraId="1D8017A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Net asset value (NAV) per unit in Singapore dollars for each year.</w:t>
      </w:r>
    </w:p>
    <w:p w14:paraId="561870B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c. Total asset size of fund as at the end of the relevant reporting period.</w:t>
      </w:r>
    </w:p>
    <w:p w14:paraId="1A11EE51" w14:textId="561AD14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Analytical data necessary to enable proper disclosure of the performance of the funds they</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manage.</w:t>
      </w:r>
    </w:p>
    <w:p w14:paraId="3CF0651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667DE5D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(d).</w:t>
      </w:r>
    </w:p>
    <w:p w14:paraId="06E6392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492C3A4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2A113781" w14:textId="77777777" w:rsidR="004D1C4D" w:rsidRPr="00B52D53" w:rsidRDefault="004D1C4D" w:rsidP="00DA459B">
      <w:pPr>
        <w:jc w:val="both"/>
        <w:rPr>
          <w:rFonts w:ascii="Calibri" w:hAnsi="Calibri" w:cs="Calibri"/>
          <w:color w:val="auto"/>
          <w:szCs w:val="20"/>
          <w:lang w:val="en-US"/>
        </w:rPr>
      </w:pPr>
    </w:p>
    <w:p w14:paraId="40C59CB3" w14:textId="7EA6FFC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71. Which of the following statements relating to investments by funds included under the CPFIS is</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FALSE?</w:t>
      </w:r>
    </w:p>
    <w:p w14:paraId="78195B1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Borrowings may be allowed for meeting redemptions.</w:t>
      </w:r>
    </w:p>
    <w:p w14:paraId="7FC94A7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Investments in unlisted shares are prohibited.</w:t>
      </w:r>
    </w:p>
    <w:p w14:paraId="6839A1E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Funds should seek diversification in their investments.</w:t>
      </w:r>
    </w:p>
    <w:p w14:paraId="0604CE1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Funds may invest in structured products subject to certain criteria.</w:t>
      </w:r>
    </w:p>
    <w:p w14:paraId="54D8F13D" w14:textId="77777777" w:rsidR="004D1C4D" w:rsidRPr="00B52D53" w:rsidRDefault="004D1C4D" w:rsidP="00DA459B">
      <w:pPr>
        <w:jc w:val="both"/>
        <w:rPr>
          <w:rFonts w:ascii="Calibri" w:hAnsi="Calibri" w:cs="Calibri"/>
          <w:color w:val="auto"/>
          <w:szCs w:val="20"/>
          <w:lang w:val="en-US"/>
        </w:rPr>
      </w:pPr>
    </w:p>
    <w:p w14:paraId="01634AE2" w14:textId="67AF8D9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72. A fund’s underlying investments may only consist of which of the following permissible investments?</w:t>
      </w:r>
    </w:p>
    <w:p w14:paraId="593C839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Money market instruments.</w:t>
      </w:r>
    </w:p>
    <w:p w14:paraId="0191EAC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Debt securities eligible under the CPF Investment guidelines (CPFIG).</w:t>
      </w:r>
    </w:p>
    <w:p w14:paraId="55E8202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Cash.</w:t>
      </w:r>
    </w:p>
    <w:p w14:paraId="4525F51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Any debt security.</w:t>
      </w:r>
    </w:p>
    <w:p w14:paraId="5C38943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019B4E3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(c).</w:t>
      </w:r>
    </w:p>
    <w:p w14:paraId="3E15337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4E64CDC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50560A43" w14:textId="77777777" w:rsidR="004D1C4D" w:rsidRPr="00B52D53" w:rsidRDefault="004D1C4D" w:rsidP="00DA459B">
      <w:pPr>
        <w:jc w:val="both"/>
        <w:rPr>
          <w:rFonts w:ascii="Calibri" w:hAnsi="Calibri" w:cs="Calibri"/>
          <w:color w:val="auto"/>
          <w:szCs w:val="20"/>
          <w:lang w:val="en-US"/>
        </w:rPr>
      </w:pPr>
    </w:p>
    <w:p w14:paraId="5C8FB3D0" w14:textId="5896891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73. Mr. Tan, a fund manager, invests in a bank stock, resulting in a unit trust that is included under the</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CPFIS, exceeding the single party limit for that issuer. Mr. Tan should:</w:t>
      </w:r>
    </w:p>
    <w:p w14:paraId="0FF20DD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Rectify the breach immediately.</w:t>
      </w:r>
    </w:p>
    <w:p w14:paraId="54093AA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Rectify the breach within 14 days from the date of the transaction.</w:t>
      </w:r>
    </w:p>
    <w:p w14:paraId="011B30A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c. Rectify the breach within 3 months from the date of the transaction.</w:t>
      </w:r>
    </w:p>
    <w:p w14:paraId="0B26E57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Rectify the breach within 1 year from the date of the transaction.</w:t>
      </w:r>
    </w:p>
    <w:p w14:paraId="6F01891E" w14:textId="77777777" w:rsidR="004D1C4D" w:rsidRPr="00B52D53" w:rsidRDefault="004D1C4D" w:rsidP="00DA459B">
      <w:pPr>
        <w:jc w:val="both"/>
        <w:rPr>
          <w:rFonts w:ascii="Calibri" w:hAnsi="Calibri" w:cs="Calibri"/>
          <w:color w:val="auto"/>
          <w:szCs w:val="20"/>
          <w:lang w:val="en-US"/>
        </w:rPr>
      </w:pPr>
    </w:p>
    <w:p w14:paraId="0E506D81" w14:textId="382EE0AC"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74. Which of the following actions must be taken by a fund manager who fails to rectify a breach of the CPF</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Investment Guidelines by a CIS within the stated period? Assume that the fund manager is unable to</w:t>
      </w:r>
      <w:r w:rsidR="004D1C4D" w:rsidRPr="00B52D53">
        <w:rPr>
          <w:rFonts w:ascii="Calibri" w:hAnsi="Calibri" w:cs="Calibri"/>
          <w:color w:val="auto"/>
          <w:szCs w:val="20"/>
          <w:lang w:val="en-US"/>
        </w:rPr>
        <w:t xml:space="preserve"> </w:t>
      </w:r>
      <w:r w:rsidRPr="00B52D53">
        <w:rPr>
          <w:rFonts w:ascii="Calibri" w:hAnsi="Calibri" w:cs="Calibri"/>
          <w:color w:val="auto"/>
          <w:szCs w:val="20"/>
          <w:lang w:val="en-US"/>
        </w:rPr>
        <w:t>obtain an extension.</w:t>
      </w:r>
    </w:p>
    <w:p w14:paraId="3E859E6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Report the breach to the CPF Board within 14 calendar days of the occurrence of the breach.</w:t>
      </w:r>
    </w:p>
    <w:p w14:paraId="271B3D5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Cease to accept new subscriptions for the CIS with immediate effect.</w:t>
      </w:r>
    </w:p>
    <w:p w14:paraId="5B0C537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Seek to exclude the fund from CPFIS.</w:t>
      </w:r>
    </w:p>
    <w:p w14:paraId="02EA226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Report the breach to the CPF Board within 28 working days of the occurrence of the breach.</w:t>
      </w:r>
    </w:p>
    <w:p w14:paraId="28BF9E7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5A2ECBD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504FC39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1F0E42D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0B48EAC0" w14:textId="77777777" w:rsidR="004D1C4D" w:rsidRPr="00B52D53" w:rsidRDefault="004D1C4D" w:rsidP="00DA459B">
      <w:pPr>
        <w:jc w:val="both"/>
        <w:rPr>
          <w:rFonts w:ascii="Calibri" w:hAnsi="Calibri" w:cs="Calibri"/>
          <w:color w:val="auto"/>
          <w:szCs w:val="20"/>
          <w:lang w:val="en-US"/>
        </w:rPr>
      </w:pPr>
    </w:p>
    <w:p w14:paraId="01269EDA" w14:textId="796DFB26"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75. The fund manager must notify the CPF Board of breaches to investment guidelines by the CIS within</w:t>
      </w:r>
    </w:p>
    <w:p w14:paraId="41A8D0E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______ of an occurrence of breach.</w:t>
      </w:r>
    </w:p>
    <w:p w14:paraId="0462571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7 days.</w:t>
      </w:r>
    </w:p>
    <w:p w14:paraId="4BB36B9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14 days.</w:t>
      </w:r>
    </w:p>
    <w:p w14:paraId="3D32503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3 months.</w:t>
      </w:r>
    </w:p>
    <w:p w14:paraId="4E3C7D8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1 year.</w:t>
      </w:r>
    </w:p>
    <w:p w14:paraId="56AA6468" w14:textId="77777777" w:rsidR="005618A1" w:rsidRPr="00B52D53" w:rsidRDefault="005618A1" w:rsidP="00DA459B">
      <w:pPr>
        <w:jc w:val="both"/>
        <w:rPr>
          <w:rFonts w:ascii="Calibri" w:hAnsi="Calibri" w:cs="Calibri"/>
          <w:color w:val="auto"/>
          <w:szCs w:val="20"/>
          <w:lang w:val="en-US"/>
        </w:rPr>
      </w:pPr>
    </w:p>
    <w:p w14:paraId="01A8E104" w14:textId="77777777"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9 – Ethics, Codes and Standards of Professional Conduct for Fund Management</w:t>
      </w:r>
    </w:p>
    <w:p w14:paraId="46CD0DAD" w14:textId="1A5A2CA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76. Why do people engage in unethical </w:t>
      </w:r>
      <w:r w:rsidR="0004778D" w:rsidRPr="00B52D53">
        <w:rPr>
          <w:rFonts w:ascii="Calibri" w:hAnsi="Calibri" w:cs="Calibri"/>
          <w:color w:val="auto"/>
          <w:szCs w:val="20"/>
          <w:lang w:val="en-US"/>
        </w:rPr>
        <w:t>behavior</w:t>
      </w:r>
      <w:r w:rsidRPr="00B52D53">
        <w:rPr>
          <w:rFonts w:ascii="Calibri" w:hAnsi="Calibri" w:cs="Calibri"/>
          <w:color w:val="auto"/>
          <w:szCs w:val="20"/>
          <w:lang w:val="en-US"/>
        </w:rPr>
        <w:t>?</w:t>
      </w:r>
    </w:p>
    <w:p w14:paraId="43927AA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Lack of understanding or inexperience of rules that are expected when carrying out job functions.</w:t>
      </w:r>
    </w:p>
    <w:p w14:paraId="6578C8B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Personal desire to make financial gains or recognition or attain a position that overrides any</w:t>
      </w:r>
    </w:p>
    <w:p w14:paraId="65B9D39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ethical and moral considerations.</w:t>
      </w:r>
    </w:p>
    <w:p w14:paraId="24F785B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Peer influence.</w:t>
      </w:r>
    </w:p>
    <w:p w14:paraId="46D1EEB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d. Client pressure that violates the ethical rules of the firm and industry code.</w:t>
      </w:r>
    </w:p>
    <w:p w14:paraId="7EBE9FA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720032C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0CA88CB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392AA6D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(c) and (d).</w:t>
      </w:r>
    </w:p>
    <w:p w14:paraId="20953C2D" w14:textId="77777777" w:rsidR="005618A1" w:rsidRPr="00B52D53" w:rsidRDefault="005618A1" w:rsidP="00DA459B">
      <w:pPr>
        <w:jc w:val="both"/>
        <w:rPr>
          <w:rFonts w:ascii="Calibri" w:hAnsi="Calibri" w:cs="Calibri"/>
          <w:color w:val="auto"/>
          <w:szCs w:val="20"/>
          <w:lang w:val="en-US"/>
        </w:rPr>
      </w:pPr>
    </w:p>
    <w:p w14:paraId="0AEC3D1C" w14:textId="2B555290"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77. Miko San is a fund manager with Nippon Fund Limited (NFL). </w:t>
      </w:r>
      <w:proofErr w:type="gramStart"/>
      <w:r w:rsidRPr="00B52D53">
        <w:rPr>
          <w:rFonts w:ascii="Calibri" w:hAnsi="Calibri" w:cs="Calibri"/>
          <w:color w:val="auto"/>
          <w:szCs w:val="20"/>
          <w:lang w:val="en-US"/>
        </w:rPr>
        <w:t>In order to</w:t>
      </w:r>
      <w:proofErr w:type="gramEnd"/>
      <w:r w:rsidRPr="00B52D53">
        <w:rPr>
          <w:rFonts w:ascii="Calibri" w:hAnsi="Calibri" w:cs="Calibri"/>
          <w:color w:val="auto"/>
          <w:szCs w:val="20"/>
          <w:lang w:val="en-US"/>
        </w:rPr>
        <w:t xml:space="preserve"> increase the price of his holdings</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 xml:space="preserve">in Japan Railway Company (JRC), Miko San spreads rumors </w:t>
      </w:r>
      <w:proofErr w:type="gramStart"/>
      <w:r w:rsidRPr="00B52D53">
        <w:rPr>
          <w:rFonts w:ascii="Calibri" w:hAnsi="Calibri" w:cs="Calibri"/>
          <w:color w:val="auto"/>
          <w:szCs w:val="20"/>
          <w:lang w:val="en-US"/>
        </w:rPr>
        <w:t>in</w:t>
      </w:r>
      <w:proofErr w:type="gramEnd"/>
      <w:r w:rsidRPr="00B52D53">
        <w:rPr>
          <w:rFonts w:ascii="Calibri" w:hAnsi="Calibri" w:cs="Calibri"/>
          <w:color w:val="auto"/>
          <w:szCs w:val="20"/>
          <w:lang w:val="en-US"/>
        </w:rPr>
        <w:t xml:space="preserve"> the internet that JRC is expanding its rail</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network. He further adds this is in anticipation of increasing revenue from expanding profitable traffic</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and obtaining subsidies from the government. What type of market manipulation did Miko San</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commits?</w:t>
      </w:r>
    </w:p>
    <w:p w14:paraId="23F103B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Pump and Dump Strategy.</w:t>
      </w:r>
    </w:p>
    <w:p w14:paraId="70281AD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Pump and Dry Strategy.</w:t>
      </w:r>
    </w:p>
    <w:p w14:paraId="4D9B372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Smurfing Strategy.</w:t>
      </w:r>
    </w:p>
    <w:p w14:paraId="56A0775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Sharing and Distort Strategy.</w:t>
      </w:r>
    </w:p>
    <w:p w14:paraId="41315E38" w14:textId="77777777" w:rsidR="005618A1" w:rsidRPr="00B52D53" w:rsidRDefault="005618A1" w:rsidP="00DA459B">
      <w:pPr>
        <w:jc w:val="both"/>
        <w:rPr>
          <w:rFonts w:ascii="Calibri" w:hAnsi="Calibri" w:cs="Calibri"/>
          <w:color w:val="auto"/>
          <w:szCs w:val="20"/>
          <w:lang w:val="en-US"/>
        </w:rPr>
      </w:pPr>
    </w:p>
    <w:p w14:paraId="76E12E79" w14:textId="5BFD553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78. Which of the following are the broad areas covered by the IMAS Guiding Principles for Investment Risk</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and Performance Analysis Functions?</w:t>
      </w:r>
    </w:p>
    <w:p w14:paraId="37C0C8F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Governance.</w:t>
      </w:r>
    </w:p>
    <w:p w14:paraId="79E9FFE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Investment Risk Management.</w:t>
      </w:r>
    </w:p>
    <w:p w14:paraId="210AEA6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Performance Analysis.</w:t>
      </w:r>
    </w:p>
    <w:p w14:paraId="3AD049B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Business Continuity Report.</w:t>
      </w:r>
    </w:p>
    <w:p w14:paraId="63A8BD7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5B79126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4EC3347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31C14EB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28794FDE" w14:textId="77777777" w:rsidR="005618A1" w:rsidRPr="00B52D53" w:rsidRDefault="005618A1" w:rsidP="00DA459B">
      <w:pPr>
        <w:jc w:val="both"/>
        <w:rPr>
          <w:rFonts w:ascii="Calibri" w:hAnsi="Calibri" w:cs="Calibri"/>
          <w:color w:val="auto"/>
          <w:szCs w:val="20"/>
          <w:lang w:val="en-US"/>
        </w:rPr>
      </w:pPr>
    </w:p>
    <w:p w14:paraId="5FF4A761" w14:textId="20BA5C7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79. When a fund manager is analyzing and making an investment decision, he should:</w:t>
      </w:r>
    </w:p>
    <w:p w14:paraId="141CA6AF" w14:textId="162C5088"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Have a reasonable basis for his investment decision and maintain a record of the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recommendation.</w:t>
      </w:r>
    </w:p>
    <w:p w14:paraId="2A33325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Conceal the investment’s limitations and risks associated from potential clients.</w:t>
      </w:r>
    </w:p>
    <w:p w14:paraId="091FC26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c. Ensure that the recommendation will yield the most profits for his fund management firm.</w:t>
      </w:r>
    </w:p>
    <w:p w14:paraId="227187C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Use facts and opinions interchangeably in his investment analysis and recommendations.</w:t>
      </w:r>
    </w:p>
    <w:p w14:paraId="303F15AE" w14:textId="77777777" w:rsidR="005618A1" w:rsidRPr="00B52D53" w:rsidRDefault="005618A1" w:rsidP="00DA459B">
      <w:pPr>
        <w:jc w:val="both"/>
        <w:rPr>
          <w:rFonts w:ascii="Calibri" w:hAnsi="Calibri" w:cs="Calibri"/>
          <w:color w:val="auto"/>
          <w:szCs w:val="20"/>
          <w:lang w:val="en-US"/>
        </w:rPr>
      </w:pPr>
    </w:p>
    <w:p w14:paraId="78723354" w14:textId="3D1A2D0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80. In the ethical framework for the Capital Markets Professional, which of the following sentences BEST</w:t>
      </w:r>
    </w:p>
    <w:p w14:paraId="5028288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describes the term "Execute solutions"?</w:t>
      </w:r>
    </w:p>
    <w:p w14:paraId="2FA6DAF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The solution </w:t>
      </w:r>
      <w:proofErr w:type="gramStart"/>
      <w:r w:rsidRPr="00B52D53">
        <w:rPr>
          <w:rFonts w:ascii="Calibri" w:hAnsi="Calibri" w:cs="Calibri"/>
          <w:color w:val="auto"/>
          <w:szCs w:val="20"/>
          <w:lang w:val="en-US"/>
        </w:rPr>
        <w:t>has to</w:t>
      </w:r>
      <w:proofErr w:type="gramEnd"/>
      <w:r w:rsidRPr="00B52D53">
        <w:rPr>
          <w:rFonts w:ascii="Calibri" w:hAnsi="Calibri" w:cs="Calibri"/>
          <w:color w:val="auto"/>
          <w:szCs w:val="20"/>
          <w:lang w:val="en-US"/>
        </w:rPr>
        <w:t xml:space="preserve"> be executed in a transparent, fair, and just manner.</w:t>
      </w:r>
    </w:p>
    <w:p w14:paraId="2F2B2A7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The solution </w:t>
      </w:r>
      <w:proofErr w:type="gramStart"/>
      <w:r w:rsidRPr="00B52D53">
        <w:rPr>
          <w:rFonts w:ascii="Calibri" w:hAnsi="Calibri" w:cs="Calibri"/>
          <w:color w:val="auto"/>
          <w:szCs w:val="20"/>
          <w:lang w:val="en-US"/>
        </w:rPr>
        <w:t>has to</w:t>
      </w:r>
      <w:proofErr w:type="gramEnd"/>
      <w:r w:rsidRPr="00B52D53">
        <w:rPr>
          <w:rFonts w:ascii="Calibri" w:hAnsi="Calibri" w:cs="Calibri"/>
          <w:color w:val="auto"/>
          <w:szCs w:val="20"/>
          <w:lang w:val="en-US"/>
        </w:rPr>
        <w:t xml:space="preserve"> be executed in the best interest of the representative.</w:t>
      </w:r>
    </w:p>
    <w:p w14:paraId="2609174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solution should be executed without the client’s understanding and risk tolerance.</w:t>
      </w:r>
    </w:p>
    <w:p w14:paraId="45CF0F4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The solution </w:t>
      </w:r>
      <w:proofErr w:type="gramStart"/>
      <w:r w:rsidRPr="00B52D53">
        <w:rPr>
          <w:rFonts w:ascii="Calibri" w:hAnsi="Calibri" w:cs="Calibri"/>
          <w:color w:val="auto"/>
          <w:szCs w:val="20"/>
          <w:lang w:val="en-US"/>
        </w:rPr>
        <w:t>has to</w:t>
      </w:r>
      <w:proofErr w:type="gramEnd"/>
      <w:r w:rsidRPr="00B52D53">
        <w:rPr>
          <w:rFonts w:ascii="Calibri" w:hAnsi="Calibri" w:cs="Calibri"/>
          <w:color w:val="auto"/>
          <w:szCs w:val="20"/>
          <w:lang w:val="en-US"/>
        </w:rPr>
        <w:t xml:space="preserve"> implemented without any errors.</w:t>
      </w:r>
    </w:p>
    <w:p w14:paraId="5A44AA1D" w14:textId="77777777" w:rsidR="005618A1" w:rsidRPr="00B52D53" w:rsidRDefault="005618A1" w:rsidP="00DA459B">
      <w:pPr>
        <w:jc w:val="both"/>
        <w:rPr>
          <w:rFonts w:ascii="Calibri" w:hAnsi="Calibri" w:cs="Calibri"/>
          <w:color w:val="auto"/>
          <w:szCs w:val="20"/>
          <w:lang w:val="en-US"/>
        </w:rPr>
      </w:pPr>
    </w:p>
    <w:p w14:paraId="2C8DC85D" w14:textId="68CF6EE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81. Fund management representatives should be guided by an ethical code of conduct, which include the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following:</w:t>
      </w:r>
    </w:p>
    <w:p w14:paraId="564C6A9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Act with integrity, competence, diligence, and respect.</w:t>
      </w:r>
    </w:p>
    <w:p w14:paraId="4CA1A4F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Practice and encourage others to practice in a professional and ethical manner.</w:t>
      </w:r>
    </w:p>
    <w:p w14:paraId="2F4B00AB" w14:textId="0A6FE2C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Use reasonable care and exercise independent professional judgment when conducting</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investment activities.</w:t>
      </w:r>
    </w:p>
    <w:p w14:paraId="6B655DC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Maintain and improve their professional competence.</w:t>
      </w:r>
    </w:p>
    <w:p w14:paraId="2ACBD4A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476C25C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(c) and (d).</w:t>
      </w:r>
    </w:p>
    <w:p w14:paraId="1AF30D3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794E54A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2800997F" w14:textId="77777777" w:rsidR="005618A1" w:rsidRPr="00B52D53" w:rsidRDefault="005618A1" w:rsidP="00DA459B">
      <w:pPr>
        <w:jc w:val="both"/>
        <w:rPr>
          <w:rFonts w:ascii="Calibri" w:hAnsi="Calibri" w:cs="Calibri"/>
          <w:color w:val="auto"/>
          <w:szCs w:val="20"/>
          <w:lang w:val="en-US"/>
        </w:rPr>
      </w:pPr>
    </w:p>
    <w:p w14:paraId="4D12D041" w14:textId="015B560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82. If a representative faces an ethical dilemma, which of the following are appropriate steps to follow?</w:t>
      </w:r>
    </w:p>
    <w:p w14:paraId="65CC270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representative should exercise care and independent professional judgement.</w:t>
      </w:r>
    </w:p>
    <w:p w14:paraId="1A25AF9C" w14:textId="2FD4066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representative should ensure that their actions are conducted with integrity, competence,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diligence and respect.</w:t>
      </w:r>
    </w:p>
    <w:p w14:paraId="32CEBFA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representative should put clients’ interest first.</w:t>
      </w:r>
    </w:p>
    <w:p w14:paraId="409B243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representative should seek clarification from MAS.</w:t>
      </w:r>
    </w:p>
    <w:p w14:paraId="1AC819F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0998A1A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(a), (c) and (d).</w:t>
      </w:r>
    </w:p>
    <w:p w14:paraId="3F7E286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65E0119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5B8F6CBA" w14:textId="77777777" w:rsidR="005618A1" w:rsidRPr="00B52D53" w:rsidRDefault="005618A1" w:rsidP="00DA459B">
      <w:pPr>
        <w:jc w:val="both"/>
        <w:rPr>
          <w:rFonts w:ascii="Calibri" w:hAnsi="Calibri" w:cs="Calibri"/>
          <w:color w:val="auto"/>
          <w:szCs w:val="20"/>
          <w:lang w:val="en-US"/>
        </w:rPr>
      </w:pPr>
    </w:p>
    <w:p w14:paraId="547E7F60" w14:textId="5FCF422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83. Representatives must keep information about current, former, and prospective clients confidential</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unless the:</w:t>
      </w:r>
    </w:p>
    <w:p w14:paraId="13E97B3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representative received the information from a third party.</w:t>
      </w:r>
    </w:p>
    <w:p w14:paraId="7F28B1B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disclosure is required by law.</w:t>
      </w:r>
    </w:p>
    <w:p w14:paraId="57359C6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client permits disclosure of the information.</w:t>
      </w:r>
    </w:p>
    <w:p w14:paraId="3EBF0C9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representative received the information from his previous employment.</w:t>
      </w:r>
    </w:p>
    <w:p w14:paraId="4252D48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7EAFE01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(c) and (d).</w:t>
      </w:r>
    </w:p>
    <w:p w14:paraId="3C3489C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4697673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241FC286" w14:textId="77777777" w:rsidR="005618A1" w:rsidRPr="00B52D53" w:rsidRDefault="005618A1" w:rsidP="00DA459B">
      <w:pPr>
        <w:jc w:val="both"/>
        <w:rPr>
          <w:rFonts w:ascii="Calibri" w:hAnsi="Calibri" w:cs="Calibri"/>
          <w:color w:val="auto"/>
          <w:szCs w:val="20"/>
          <w:lang w:val="en-US"/>
        </w:rPr>
      </w:pPr>
    </w:p>
    <w:p w14:paraId="657ADB26" w14:textId="0B51E87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84. Julie is a fund manager. One of her firm’s clients has told Julie that he will compensate her beyond the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 xml:space="preserve">compensation provided by her firm </w:t>
      </w:r>
      <w:proofErr w:type="gramStart"/>
      <w:r w:rsidRPr="00B52D53">
        <w:rPr>
          <w:rFonts w:ascii="Calibri" w:hAnsi="Calibri" w:cs="Calibri"/>
          <w:color w:val="auto"/>
          <w:szCs w:val="20"/>
          <w:lang w:val="en-US"/>
        </w:rPr>
        <w:t>on the basis of</w:t>
      </w:r>
      <w:proofErr w:type="gramEnd"/>
      <w:r w:rsidRPr="00B52D53">
        <w:rPr>
          <w:rFonts w:ascii="Calibri" w:hAnsi="Calibri" w:cs="Calibri"/>
          <w:color w:val="auto"/>
          <w:szCs w:val="20"/>
          <w:lang w:val="en-US"/>
        </w:rPr>
        <w:t xml:space="preserve"> the capital appreciation of his portfolio each year.</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Julie should:</w:t>
      </w:r>
    </w:p>
    <w:p w14:paraId="78A5F23B" w14:textId="11D5C78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Turn down the additional compensation because it will result in conflicts with the interests of</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other clients’ accounts.</w:t>
      </w:r>
    </w:p>
    <w:p w14:paraId="79473ABD" w14:textId="3904279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Turn down the additional compensation because it will create undue pressure on her to achieve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strong short-term performance.</w:t>
      </w:r>
    </w:p>
    <w:p w14:paraId="3CA55AB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Obtain permission from her employer prior to accepting the compensation arrangement.</w:t>
      </w:r>
    </w:p>
    <w:p w14:paraId="031666D1" w14:textId="53C2C53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Accept the compensation arrangement since it is a private arrangement between the client and</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her.</w:t>
      </w:r>
    </w:p>
    <w:p w14:paraId="7A4FE88F" w14:textId="77777777" w:rsidR="005618A1" w:rsidRPr="00B52D53" w:rsidRDefault="005618A1" w:rsidP="00DA459B">
      <w:pPr>
        <w:jc w:val="both"/>
        <w:rPr>
          <w:rFonts w:ascii="Calibri" w:hAnsi="Calibri" w:cs="Calibri"/>
          <w:color w:val="auto"/>
          <w:szCs w:val="20"/>
          <w:lang w:val="en-US"/>
        </w:rPr>
      </w:pPr>
    </w:p>
    <w:p w14:paraId="797E5C7A" w14:textId="43F1779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85. Brenda is a representative for a licensed fund management company. Goh, a new client of the firm, is</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meeting Brenda for the first time. Goh used another counselling firm for financial advice for years, but</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she has switched her account to Brenda’s firm. After spending a few minutes getting acquainted, Brenda</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explains to Goh that she has discovered a highly exciting new fund that offers large potential gains. She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recommends that Goh purchase the fund.</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Brenda has committed a violation of the Standards of Professional Conduct. What should she have done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differently?</w:t>
      </w:r>
    </w:p>
    <w:p w14:paraId="6CC904FE" w14:textId="12950C3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a. Brenda should have determined Goh’s needs, objectives, and tolerance for risk before making a</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recommendation of any type of fund.</w:t>
      </w:r>
    </w:p>
    <w:p w14:paraId="76D1776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Brenda should not have accepted Goh as a client at the first meeting.</w:t>
      </w:r>
    </w:p>
    <w:p w14:paraId="5CDFE49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Brenda should have explained her qualifications, including her education, training, and experience.</w:t>
      </w:r>
    </w:p>
    <w:p w14:paraId="145089A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Brenda should have requested for Goh's to place moneys with her before recommending the fund.</w:t>
      </w:r>
    </w:p>
    <w:p w14:paraId="53E3F8FA" w14:textId="77777777" w:rsidR="005618A1" w:rsidRPr="00B52D53" w:rsidRDefault="005618A1" w:rsidP="00DA459B">
      <w:pPr>
        <w:jc w:val="both"/>
        <w:rPr>
          <w:rFonts w:ascii="Calibri" w:hAnsi="Calibri" w:cs="Calibri"/>
          <w:color w:val="auto"/>
          <w:szCs w:val="20"/>
          <w:lang w:val="en-US"/>
        </w:rPr>
      </w:pPr>
    </w:p>
    <w:p w14:paraId="70BCE876" w14:textId="7B0397D0"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10 – Fund Management Practice and Skills</w:t>
      </w:r>
    </w:p>
    <w:p w14:paraId="343D776E" w14:textId="2E85780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86. Marketing representatives of licensed fund management companies should take into consideration of</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the certain criteria when designing the client’s investment policy statement. Which of the following</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criteria must be considered in the investment policy statement?</w:t>
      </w:r>
    </w:p>
    <w:p w14:paraId="351B95B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Client’s objectives.</w:t>
      </w:r>
    </w:p>
    <w:p w14:paraId="7E4C919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Client’s risk appetite.</w:t>
      </w:r>
    </w:p>
    <w:p w14:paraId="5A7AE39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Client’s willingness and ability to invest in the long or short term.</w:t>
      </w:r>
    </w:p>
    <w:p w14:paraId="377AE51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Client’s investment experience and knowledge.</w:t>
      </w:r>
    </w:p>
    <w:p w14:paraId="00B2674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5731388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(c) and (d).</w:t>
      </w:r>
    </w:p>
    <w:p w14:paraId="165196A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530DC8F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(c).</w:t>
      </w:r>
    </w:p>
    <w:p w14:paraId="0BFC0E09" w14:textId="77777777" w:rsidR="005618A1" w:rsidRPr="00B52D53" w:rsidRDefault="005618A1" w:rsidP="00DA459B">
      <w:pPr>
        <w:jc w:val="both"/>
        <w:rPr>
          <w:rFonts w:ascii="Calibri" w:hAnsi="Calibri" w:cs="Calibri"/>
          <w:color w:val="auto"/>
          <w:szCs w:val="20"/>
          <w:lang w:val="en-US"/>
        </w:rPr>
      </w:pPr>
    </w:p>
    <w:p w14:paraId="52E41B20" w14:textId="515A304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87. Which of the following is not a purpose of performance evaluation of an investment program:</w:t>
      </w:r>
    </w:p>
    <w:p w14:paraId="13F1819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It acts as a feedback and control mechanism.</w:t>
      </w:r>
    </w:p>
    <w:p w14:paraId="3304D44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It attributes the fund’s investment results to various key decisions.</w:t>
      </w:r>
    </w:p>
    <w:p w14:paraId="5B503C2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It helps to focus on the attention on poorly performing operations.</w:t>
      </w:r>
    </w:p>
    <w:p w14:paraId="30214D6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It ensures policies are in place to reward a manager's contribution.</w:t>
      </w:r>
    </w:p>
    <w:p w14:paraId="75D5D03B" w14:textId="77777777" w:rsidR="005618A1" w:rsidRPr="00B52D53" w:rsidRDefault="005618A1" w:rsidP="00DA459B">
      <w:pPr>
        <w:jc w:val="both"/>
        <w:rPr>
          <w:rFonts w:ascii="Calibri" w:hAnsi="Calibri" w:cs="Calibri"/>
          <w:color w:val="auto"/>
          <w:szCs w:val="20"/>
          <w:lang w:val="en-US"/>
        </w:rPr>
      </w:pPr>
    </w:p>
    <w:p w14:paraId="410998E3" w14:textId="5FB31FBF"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88. An investor’s risk tolerance is the capacity to accept risk. This capacity is a function of:</w:t>
      </w:r>
    </w:p>
    <w:p w14:paraId="283B1A4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 investor’s willingness to take risk.</w:t>
      </w:r>
    </w:p>
    <w:p w14:paraId="7E6BD92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investor's ability to take risk.</w:t>
      </w:r>
    </w:p>
    <w:p w14:paraId="0A76925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both the investor’s willingness and ability to take risk.</w:t>
      </w:r>
    </w:p>
    <w:p w14:paraId="01D8360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d. the fund manager's risk appetite.</w:t>
      </w:r>
    </w:p>
    <w:p w14:paraId="3B52994C" w14:textId="77777777" w:rsidR="005618A1" w:rsidRPr="00B52D53" w:rsidRDefault="005618A1" w:rsidP="00DA459B">
      <w:pPr>
        <w:jc w:val="both"/>
        <w:rPr>
          <w:rFonts w:ascii="Calibri" w:hAnsi="Calibri" w:cs="Calibri"/>
          <w:color w:val="auto"/>
          <w:szCs w:val="20"/>
          <w:lang w:val="en-US"/>
        </w:rPr>
      </w:pPr>
    </w:p>
    <w:p w14:paraId="512D910A" w14:textId="3E0BAA6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89. In a Fund of Funds (FOF) strategy, the selection of investment managers is important. The following are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typical selection criteria EXCEPT:</w:t>
      </w:r>
    </w:p>
    <w:p w14:paraId="5C22157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Performance of the fund.</w:t>
      </w:r>
    </w:p>
    <w:p w14:paraId="229E07C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investment process, philosophy and style.</w:t>
      </w:r>
    </w:p>
    <w:p w14:paraId="239CB103" w14:textId="1BFB4D4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The </w:t>
      </w:r>
      <w:r w:rsidR="0004778D" w:rsidRPr="00B52D53">
        <w:rPr>
          <w:rFonts w:ascii="Calibri" w:hAnsi="Calibri" w:cs="Calibri"/>
          <w:color w:val="auto"/>
          <w:szCs w:val="20"/>
          <w:lang w:val="en-US"/>
        </w:rPr>
        <w:t>organization’s</w:t>
      </w:r>
      <w:r w:rsidRPr="00B52D53">
        <w:rPr>
          <w:rFonts w:ascii="Calibri" w:hAnsi="Calibri" w:cs="Calibri"/>
          <w:color w:val="auto"/>
          <w:szCs w:val="20"/>
          <w:lang w:val="en-US"/>
        </w:rPr>
        <w:t xml:space="preserve"> structure, size and experience.</w:t>
      </w:r>
    </w:p>
    <w:p w14:paraId="4D3F8C8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number of large investors in their funds.</w:t>
      </w:r>
    </w:p>
    <w:p w14:paraId="3DB5D147" w14:textId="77777777" w:rsidR="005618A1" w:rsidRPr="00B52D53" w:rsidRDefault="005618A1" w:rsidP="00DA459B">
      <w:pPr>
        <w:jc w:val="both"/>
        <w:rPr>
          <w:rFonts w:ascii="Calibri" w:hAnsi="Calibri" w:cs="Calibri"/>
          <w:color w:val="auto"/>
          <w:szCs w:val="20"/>
          <w:lang w:val="en-US"/>
        </w:rPr>
      </w:pPr>
    </w:p>
    <w:p w14:paraId="19FE8849" w14:textId="60948B6D"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90. The volume-weighted average price (VWAP) participation strategy is best used when:</w:t>
      </w:r>
    </w:p>
    <w:p w14:paraId="54BF145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There is a large order on hand, which could move the market price.</w:t>
      </w:r>
    </w:p>
    <w:p w14:paraId="417B18F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The security is thinly traded, and volume pattern is erratic.</w:t>
      </w:r>
    </w:p>
    <w:p w14:paraId="2A7924F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The market is highly liquid with high volume.</w:t>
      </w:r>
    </w:p>
    <w:p w14:paraId="048B761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The historical volume pattern is not consistent.</w:t>
      </w:r>
    </w:p>
    <w:p w14:paraId="0EB989F9" w14:textId="77777777" w:rsidR="005618A1" w:rsidRPr="00B52D53" w:rsidRDefault="005618A1" w:rsidP="00DA459B">
      <w:pPr>
        <w:jc w:val="both"/>
        <w:rPr>
          <w:rFonts w:ascii="Calibri" w:hAnsi="Calibri" w:cs="Calibri"/>
          <w:color w:val="auto"/>
          <w:szCs w:val="20"/>
          <w:lang w:val="en-US"/>
        </w:rPr>
      </w:pPr>
    </w:p>
    <w:p w14:paraId="753E14D6" w14:textId="032A743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91. What are the key components of a performance evaluation?</w:t>
      </w:r>
    </w:p>
    <w:p w14:paraId="69B256B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Attribution.</w:t>
      </w:r>
    </w:p>
    <w:p w14:paraId="79B4B55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Measurement.</w:t>
      </w:r>
    </w:p>
    <w:p w14:paraId="249EB4A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Presentation.</w:t>
      </w:r>
    </w:p>
    <w:p w14:paraId="7785853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Appraisal.</w:t>
      </w:r>
    </w:p>
    <w:p w14:paraId="5855912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65AEB2A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7A07911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0F553D6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(d).</w:t>
      </w:r>
    </w:p>
    <w:p w14:paraId="2AFE11B9" w14:textId="77777777" w:rsidR="005618A1" w:rsidRPr="00B52D53" w:rsidRDefault="005618A1" w:rsidP="00DA459B">
      <w:pPr>
        <w:jc w:val="both"/>
        <w:rPr>
          <w:rFonts w:ascii="Calibri" w:hAnsi="Calibri" w:cs="Calibri"/>
          <w:color w:val="auto"/>
          <w:szCs w:val="20"/>
          <w:lang w:val="en-US"/>
        </w:rPr>
      </w:pPr>
    </w:p>
    <w:p w14:paraId="42576D00" w14:textId="7FA0F54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92. In the event of a sharp market sell-off, the following are appropriate immediate actions taken by a fund</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manager EXCEPT:</w:t>
      </w:r>
    </w:p>
    <w:p w14:paraId="2EFD775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w:t>
      </w:r>
      <w:proofErr w:type="gramStart"/>
      <w:r w:rsidRPr="00B52D53">
        <w:rPr>
          <w:rFonts w:ascii="Calibri" w:hAnsi="Calibri" w:cs="Calibri"/>
          <w:color w:val="auto"/>
          <w:szCs w:val="20"/>
          <w:lang w:val="en-US"/>
        </w:rPr>
        <w:t>evaluate</w:t>
      </w:r>
      <w:proofErr w:type="gramEnd"/>
      <w:r w:rsidRPr="00B52D53">
        <w:rPr>
          <w:rFonts w:ascii="Calibri" w:hAnsi="Calibri" w:cs="Calibri"/>
          <w:color w:val="auto"/>
          <w:szCs w:val="20"/>
          <w:lang w:val="en-US"/>
        </w:rPr>
        <w:t xml:space="preserve"> the performance of the portfolio.</w:t>
      </w:r>
    </w:p>
    <w:p w14:paraId="4CD7EC0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xml:space="preserve">b. </w:t>
      </w:r>
      <w:proofErr w:type="gramStart"/>
      <w:r w:rsidRPr="00B52D53">
        <w:rPr>
          <w:rFonts w:ascii="Calibri" w:hAnsi="Calibri" w:cs="Calibri"/>
          <w:color w:val="auto"/>
          <w:szCs w:val="20"/>
          <w:lang w:val="en-US"/>
        </w:rPr>
        <w:t>review</w:t>
      </w:r>
      <w:proofErr w:type="gramEnd"/>
      <w:r w:rsidRPr="00B52D53">
        <w:rPr>
          <w:rFonts w:ascii="Calibri" w:hAnsi="Calibri" w:cs="Calibri"/>
          <w:color w:val="auto"/>
          <w:szCs w:val="20"/>
          <w:lang w:val="en-US"/>
        </w:rPr>
        <w:t xml:space="preserve"> the shift in the portfolio's asset allocation due to the sell-off.</w:t>
      </w:r>
    </w:p>
    <w:p w14:paraId="1286442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w:t>
      </w:r>
      <w:proofErr w:type="gramStart"/>
      <w:r w:rsidRPr="00B52D53">
        <w:rPr>
          <w:rFonts w:ascii="Calibri" w:hAnsi="Calibri" w:cs="Calibri"/>
          <w:color w:val="auto"/>
          <w:szCs w:val="20"/>
          <w:lang w:val="en-US"/>
        </w:rPr>
        <w:t>rebalance</w:t>
      </w:r>
      <w:proofErr w:type="gramEnd"/>
      <w:r w:rsidRPr="00B52D53">
        <w:rPr>
          <w:rFonts w:ascii="Calibri" w:hAnsi="Calibri" w:cs="Calibri"/>
          <w:color w:val="auto"/>
          <w:szCs w:val="20"/>
          <w:lang w:val="en-US"/>
        </w:rPr>
        <w:t xml:space="preserve"> the portfolio if needed.</w:t>
      </w:r>
    </w:p>
    <w:p w14:paraId="5D5D392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d. </w:t>
      </w:r>
      <w:proofErr w:type="gramStart"/>
      <w:r w:rsidRPr="00B52D53">
        <w:rPr>
          <w:rFonts w:ascii="Calibri" w:hAnsi="Calibri" w:cs="Calibri"/>
          <w:color w:val="auto"/>
          <w:szCs w:val="20"/>
          <w:lang w:val="en-US"/>
        </w:rPr>
        <w:t>redeem</w:t>
      </w:r>
      <w:proofErr w:type="gramEnd"/>
      <w:r w:rsidRPr="00B52D53">
        <w:rPr>
          <w:rFonts w:ascii="Calibri" w:hAnsi="Calibri" w:cs="Calibri"/>
          <w:color w:val="auto"/>
          <w:szCs w:val="20"/>
          <w:lang w:val="en-US"/>
        </w:rPr>
        <w:t xml:space="preserve"> all units from investors of the fund which is affected by the sharp market sell-off.</w:t>
      </w:r>
    </w:p>
    <w:p w14:paraId="745DB726" w14:textId="77777777" w:rsidR="005618A1" w:rsidRPr="00B52D53" w:rsidRDefault="005618A1" w:rsidP="00DA459B">
      <w:pPr>
        <w:jc w:val="both"/>
        <w:rPr>
          <w:rFonts w:ascii="Calibri" w:hAnsi="Calibri" w:cs="Calibri"/>
          <w:color w:val="auto"/>
          <w:szCs w:val="20"/>
          <w:lang w:val="en-US"/>
        </w:rPr>
      </w:pPr>
    </w:p>
    <w:p w14:paraId="5C67154A" w14:textId="5CEFBE20" w:rsidR="00192DB8" w:rsidRPr="00B52D53" w:rsidRDefault="00192DB8"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11 – Prevention of Financial Crimes</w:t>
      </w:r>
    </w:p>
    <w:p w14:paraId="79A89C9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93. Sources of terrorism financing may be derived from _____________.</w:t>
      </w:r>
    </w:p>
    <w:p w14:paraId="548C052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Kidnapping.</w:t>
      </w:r>
    </w:p>
    <w:p w14:paraId="1AAD865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Extortion.</w:t>
      </w:r>
    </w:p>
    <w:p w14:paraId="0E07E97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Donations.</w:t>
      </w:r>
    </w:p>
    <w:p w14:paraId="60951C2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Sale of publications.</w:t>
      </w:r>
    </w:p>
    <w:p w14:paraId="5364EEE9"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622E4113"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(c) and (d).</w:t>
      </w:r>
    </w:p>
    <w:p w14:paraId="23836D5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04066A9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4EA88F66" w14:textId="77777777" w:rsidR="005618A1" w:rsidRPr="00B52D53" w:rsidRDefault="005618A1" w:rsidP="00DA459B">
      <w:pPr>
        <w:jc w:val="both"/>
        <w:rPr>
          <w:rFonts w:ascii="Calibri" w:hAnsi="Calibri" w:cs="Calibri"/>
          <w:color w:val="auto"/>
          <w:szCs w:val="20"/>
          <w:lang w:val="en-US"/>
        </w:rPr>
      </w:pPr>
    </w:p>
    <w:p w14:paraId="0534D1DF" w14:textId="4A4831B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94. Sources of terrorism financing are _________ and involve amounts that are __________.</w:t>
      </w:r>
    </w:p>
    <w:p w14:paraId="5663FA6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a. always </w:t>
      </w:r>
      <w:proofErr w:type="gramStart"/>
      <w:r w:rsidRPr="00B52D53">
        <w:rPr>
          <w:rFonts w:ascii="Calibri" w:hAnsi="Calibri" w:cs="Calibri"/>
          <w:color w:val="auto"/>
          <w:szCs w:val="20"/>
          <w:lang w:val="en-US"/>
        </w:rPr>
        <w:t>illegitimate</w:t>
      </w:r>
      <w:proofErr w:type="gramEnd"/>
      <w:r w:rsidRPr="00B52D53">
        <w:rPr>
          <w:rFonts w:ascii="Calibri" w:hAnsi="Calibri" w:cs="Calibri"/>
          <w:color w:val="auto"/>
          <w:szCs w:val="20"/>
          <w:lang w:val="en-US"/>
        </w:rPr>
        <w:t>, not always large.</w:t>
      </w:r>
    </w:p>
    <w:p w14:paraId="548A299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always </w:t>
      </w:r>
      <w:proofErr w:type="gramStart"/>
      <w:r w:rsidRPr="00B52D53">
        <w:rPr>
          <w:rFonts w:ascii="Calibri" w:hAnsi="Calibri" w:cs="Calibri"/>
          <w:color w:val="auto"/>
          <w:szCs w:val="20"/>
          <w:lang w:val="en-US"/>
        </w:rPr>
        <w:t>illegitimate</w:t>
      </w:r>
      <w:proofErr w:type="gramEnd"/>
      <w:r w:rsidRPr="00B52D53">
        <w:rPr>
          <w:rFonts w:ascii="Calibri" w:hAnsi="Calibri" w:cs="Calibri"/>
          <w:color w:val="auto"/>
          <w:szCs w:val="20"/>
          <w:lang w:val="en-US"/>
        </w:rPr>
        <w:t>, always large.</w:t>
      </w:r>
    </w:p>
    <w:p w14:paraId="53698BF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not always illegitimate, not always large.</w:t>
      </w:r>
    </w:p>
    <w:p w14:paraId="132AAED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not always illegitimate, always large.</w:t>
      </w:r>
    </w:p>
    <w:p w14:paraId="09BA3D33" w14:textId="77777777" w:rsidR="005618A1" w:rsidRPr="00B52D53" w:rsidRDefault="005618A1" w:rsidP="00DA459B">
      <w:pPr>
        <w:jc w:val="both"/>
        <w:rPr>
          <w:rFonts w:ascii="Calibri" w:hAnsi="Calibri" w:cs="Calibri"/>
          <w:color w:val="auto"/>
          <w:szCs w:val="20"/>
          <w:lang w:val="en-US"/>
        </w:rPr>
      </w:pPr>
    </w:p>
    <w:p w14:paraId="614CCD0F" w14:textId="1B033DB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95. To whom does the Corruption, Drug Trafficking and Other Serious Crimes (Confiscation of Benefits) Act</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apply to?</w:t>
      </w:r>
    </w:p>
    <w:p w14:paraId="5A63943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All persons.</w:t>
      </w:r>
    </w:p>
    <w:p w14:paraId="393AAF31" w14:textId="3C4DAD33"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b. Only Holders of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w:t>
      </w:r>
    </w:p>
    <w:p w14:paraId="1B5FCC23" w14:textId="3D4D6CF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xml:space="preserve">c. Only CMS </w:t>
      </w:r>
      <w:r w:rsidR="0004778D" w:rsidRPr="00B52D53">
        <w:rPr>
          <w:rFonts w:ascii="Calibri" w:hAnsi="Calibri" w:cs="Calibri"/>
          <w:color w:val="auto"/>
          <w:szCs w:val="20"/>
          <w:lang w:val="en-US"/>
        </w:rPr>
        <w:t>license</w:t>
      </w:r>
      <w:r w:rsidRPr="00B52D53">
        <w:rPr>
          <w:rFonts w:ascii="Calibri" w:hAnsi="Calibri" w:cs="Calibri"/>
          <w:color w:val="auto"/>
          <w:szCs w:val="20"/>
          <w:lang w:val="en-US"/>
        </w:rPr>
        <w:t xml:space="preserve"> for Fund management.</w:t>
      </w:r>
    </w:p>
    <w:p w14:paraId="45270C5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All financial institutions.</w:t>
      </w:r>
    </w:p>
    <w:p w14:paraId="79C48B08" w14:textId="77777777" w:rsidR="005618A1" w:rsidRPr="00B52D53" w:rsidRDefault="005618A1" w:rsidP="00DA459B">
      <w:pPr>
        <w:jc w:val="both"/>
        <w:rPr>
          <w:rFonts w:ascii="Calibri" w:hAnsi="Calibri" w:cs="Calibri"/>
          <w:color w:val="auto"/>
          <w:szCs w:val="20"/>
          <w:lang w:val="en-US"/>
        </w:rPr>
      </w:pPr>
    </w:p>
    <w:p w14:paraId="061062B6" w14:textId="6662DCFC"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96. Money laundering is an offence in Singapore under the _________.</w:t>
      </w:r>
    </w:p>
    <w:p w14:paraId="3DA7871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Securities Futures Act.</w:t>
      </w:r>
    </w:p>
    <w:p w14:paraId="5EF5F57D"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Corruption, Drug Trafficking and Other Serious Crimes (Confiscation of Benefits) Act.</w:t>
      </w:r>
    </w:p>
    <w:p w14:paraId="1CD7937B"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Banking Act.</w:t>
      </w:r>
    </w:p>
    <w:p w14:paraId="15418BB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Companies Act.</w:t>
      </w:r>
    </w:p>
    <w:p w14:paraId="747C9C32" w14:textId="77777777" w:rsidR="005618A1" w:rsidRPr="00B52D53" w:rsidRDefault="005618A1" w:rsidP="00DA459B">
      <w:pPr>
        <w:jc w:val="both"/>
        <w:rPr>
          <w:rFonts w:ascii="Calibri" w:hAnsi="Calibri" w:cs="Calibri"/>
          <w:color w:val="auto"/>
          <w:szCs w:val="20"/>
          <w:lang w:val="en-US"/>
        </w:rPr>
      </w:pPr>
    </w:p>
    <w:p w14:paraId="307D9359" w14:textId="54C1CFCA"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97. Which of the following are money laundering offences under the Corruption, Drug Trafficking and Other</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Serious Crimes (Confiscation of Benefits) Act?</w:t>
      </w:r>
    </w:p>
    <w:p w14:paraId="6F390C3A"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Assisting another to retain benefits of drug trafficking or criminal conduct.</w:t>
      </w:r>
    </w:p>
    <w:p w14:paraId="0E8937E7" w14:textId="746C19F6"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Acquiring, possessing, using, concealing or transferring benefits of drug dealing or criminal</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conduct.</w:t>
      </w:r>
    </w:p>
    <w:p w14:paraId="413259E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Acquiring illegal benefits for no or inadequate consideration.</w:t>
      </w:r>
    </w:p>
    <w:p w14:paraId="6CBF0611" w14:textId="3FB3508E"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Disclosing to any other person information about an investigation known to be conducted under</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the Corruption, Drug Trafficking and Other Serious Crimes (Confiscation of Benefits) Act that is</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likely to prejudice that investigation.</w:t>
      </w:r>
    </w:p>
    <w:p w14:paraId="7758BE9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2293E5B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1EE189D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4D727C9C"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(c) and (d).</w:t>
      </w:r>
    </w:p>
    <w:p w14:paraId="1BF58346" w14:textId="77777777" w:rsidR="005618A1" w:rsidRPr="00B52D53" w:rsidRDefault="005618A1" w:rsidP="00DA459B">
      <w:pPr>
        <w:jc w:val="both"/>
        <w:rPr>
          <w:rFonts w:ascii="Calibri" w:hAnsi="Calibri" w:cs="Calibri"/>
          <w:color w:val="auto"/>
          <w:szCs w:val="20"/>
          <w:lang w:val="en-US"/>
        </w:rPr>
      </w:pPr>
    </w:p>
    <w:p w14:paraId="3C2355A6" w14:textId="5D2628B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98. Which of the following are TRUE concerning the MAS Notice on Prevention of Money Laundering?</w:t>
      </w:r>
    </w:p>
    <w:p w14:paraId="32998724"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CMS licensees should have adequate procedures to identify ML/TF risks.</w:t>
      </w:r>
    </w:p>
    <w:p w14:paraId="6E243D1D" w14:textId="58CC033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A fund manager does not have to undertake the identification procedure of a client if the client</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is from Singapore.</w:t>
      </w:r>
    </w:p>
    <w:p w14:paraId="42873B75" w14:textId="1CC371C5"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A fund manager must undertake money laundering training for its staff, including those who hold</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supervisory or managerial responsibilities.</w:t>
      </w:r>
    </w:p>
    <w:p w14:paraId="0F23B212" w14:textId="0DF387D4"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A fund manager is required to retain documentation on all its business relations and transactions</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with its customers such that any transaction undertaken by the fund manager can be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 xml:space="preserve">reconstructed </w:t>
      </w:r>
      <w:proofErr w:type="gramStart"/>
      <w:r w:rsidRPr="00B52D53">
        <w:rPr>
          <w:rFonts w:ascii="Calibri" w:hAnsi="Calibri" w:cs="Calibri"/>
          <w:color w:val="auto"/>
          <w:szCs w:val="20"/>
          <w:lang w:val="en-US"/>
        </w:rPr>
        <w:t>so as to</w:t>
      </w:r>
      <w:proofErr w:type="gramEnd"/>
      <w:r w:rsidRPr="00B52D53">
        <w:rPr>
          <w:rFonts w:ascii="Calibri" w:hAnsi="Calibri" w:cs="Calibri"/>
          <w:color w:val="auto"/>
          <w:szCs w:val="20"/>
          <w:lang w:val="en-US"/>
        </w:rPr>
        <w:t xml:space="preserve"> provide, if necessary, evidence for prosecution of criminal activity.</w:t>
      </w:r>
    </w:p>
    <w:p w14:paraId="67730A3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435CE515"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(c) and (d).</w:t>
      </w:r>
    </w:p>
    <w:p w14:paraId="5DCD3A6F"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lastRenderedPageBreak/>
        <w:t>▪ (c) and (d).</w:t>
      </w:r>
    </w:p>
    <w:p w14:paraId="25478C11"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and (c).</w:t>
      </w:r>
    </w:p>
    <w:p w14:paraId="0E3ED032" w14:textId="77777777" w:rsidR="005618A1" w:rsidRPr="00B52D53" w:rsidRDefault="005618A1" w:rsidP="00DA459B">
      <w:pPr>
        <w:jc w:val="both"/>
        <w:rPr>
          <w:rFonts w:ascii="Calibri" w:hAnsi="Calibri" w:cs="Calibri"/>
          <w:color w:val="auto"/>
          <w:szCs w:val="20"/>
          <w:lang w:val="en-US"/>
        </w:rPr>
      </w:pPr>
    </w:p>
    <w:p w14:paraId="429A98E9" w14:textId="30ADD639"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99. A marketing officer is currently applying Know Your Customer procedures for the opening of a new fund</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management account. Which of the following are considered critical elements?</w:t>
      </w:r>
    </w:p>
    <w:p w14:paraId="3FE90CB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Proper identification and verification of client’s identity.</w:t>
      </w:r>
    </w:p>
    <w:p w14:paraId="6A9AB6A7"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Identifying the client’s source of funds.</w:t>
      </w:r>
    </w:p>
    <w:p w14:paraId="4C5E188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Determining the marital status of the client opening the account.</w:t>
      </w:r>
    </w:p>
    <w:p w14:paraId="50DF060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Determining the types of business activity of the client.</w:t>
      </w:r>
    </w:p>
    <w:p w14:paraId="16F6E302"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and (b).</w:t>
      </w:r>
    </w:p>
    <w:p w14:paraId="186F7A80"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(b), (c) and (d).</w:t>
      </w:r>
    </w:p>
    <w:p w14:paraId="03030008"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(c) and (d).</w:t>
      </w:r>
    </w:p>
    <w:p w14:paraId="2524F346"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 (a), (b) and (d).</w:t>
      </w:r>
    </w:p>
    <w:p w14:paraId="583746A9" w14:textId="77777777" w:rsidR="005618A1" w:rsidRPr="00B52D53" w:rsidRDefault="005618A1" w:rsidP="00DA459B">
      <w:pPr>
        <w:jc w:val="both"/>
        <w:rPr>
          <w:rFonts w:ascii="Calibri" w:hAnsi="Calibri" w:cs="Calibri"/>
          <w:color w:val="auto"/>
          <w:szCs w:val="20"/>
          <w:lang w:val="en-US"/>
        </w:rPr>
      </w:pPr>
    </w:p>
    <w:p w14:paraId="22510605" w14:textId="6F42F821"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100. The recommended checks to verify the identity of a prospective customer who has sent in an application</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for account openings by post include all the following EXCEPT:</w:t>
      </w:r>
    </w:p>
    <w:p w14:paraId="2BE7829C" w14:textId="6D9C7DDB"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a. Contacting the customer at the telephone number in the application form to confirm the</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customer’s identity, without any independent verification of the telephone number.</w:t>
      </w:r>
    </w:p>
    <w:p w14:paraId="355A88AA" w14:textId="201C3DB2"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b. Contacting the customer’s employer at a listed business number to confirm the customer’s</w:t>
      </w:r>
      <w:r w:rsidR="005618A1" w:rsidRPr="00B52D53">
        <w:rPr>
          <w:rFonts w:ascii="Calibri" w:hAnsi="Calibri" w:cs="Calibri"/>
          <w:color w:val="auto"/>
          <w:szCs w:val="20"/>
          <w:lang w:val="en-US"/>
        </w:rPr>
        <w:t xml:space="preserve"> </w:t>
      </w:r>
      <w:r w:rsidRPr="00B52D53">
        <w:rPr>
          <w:rFonts w:ascii="Calibri" w:hAnsi="Calibri" w:cs="Calibri"/>
          <w:color w:val="auto"/>
          <w:szCs w:val="20"/>
          <w:lang w:val="en-US"/>
        </w:rPr>
        <w:t>employment.</w:t>
      </w:r>
    </w:p>
    <w:p w14:paraId="6D39BC7E" w14:textId="77777777" w:rsidR="00192DB8"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c. Requesting the customer’s salary details represented on recent bank statements.</w:t>
      </w:r>
    </w:p>
    <w:p w14:paraId="0879BF0B" w14:textId="5B012CB3" w:rsidR="005B3313" w:rsidRPr="00B52D53" w:rsidRDefault="00192DB8" w:rsidP="00DA459B">
      <w:pPr>
        <w:jc w:val="both"/>
        <w:rPr>
          <w:rFonts w:ascii="Calibri" w:hAnsi="Calibri" w:cs="Calibri"/>
          <w:color w:val="auto"/>
          <w:szCs w:val="20"/>
          <w:lang w:val="en-US"/>
        </w:rPr>
      </w:pPr>
      <w:r w:rsidRPr="00B52D53">
        <w:rPr>
          <w:rFonts w:ascii="Calibri" w:hAnsi="Calibri" w:cs="Calibri"/>
          <w:color w:val="auto"/>
          <w:szCs w:val="20"/>
          <w:lang w:val="en-US"/>
        </w:rPr>
        <w:t>d. Verifying the identity of a customer with a secure digital signature.</w:t>
      </w:r>
    </w:p>
    <w:p w14:paraId="73CFFB6B" w14:textId="77777777" w:rsidR="005618A1" w:rsidRPr="00B52D53" w:rsidRDefault="005618A1" w:rsidP="00DA459B">
      <w:pPr>
        <w:jc w:val="both"/>
        <w:rPr>
          <w:rFonts w:ascii="Calibri" w:hAnsi="Calibri" w:cs="Calibri"/>
          <w:color w:val="auto"/>
          <w:szCs w:val="20"/>
          <w:lang w:val="en-US"/>
        </w:rPr>
      </w:pPr>
    </w:p>
    <w:p w14:paraId="01E95589" w14:textId="55D0B84E" w:rsidR="005618A1" w:rsidRPr="00B52D53" w:rsidRDefault="005618A1" w:rsidP="00DA459B">
      <w:pPr>
        <w:jc w:val="both"/>
        <w:rPr>
          <w:rFonts w:ascii="Calibri" w:hAnsi="Calibri" w:cs="Calibri"/>
          <w:b/>
          <w:bCs/>
          <w:color w:val="auto"/>
          <w:szCs w:val="20"/>
          <w:lang w:val="en-US"/>
        </w:rPr>
      </w:pPr>
      <w:r w:rsidRPr="00B52D53">
        <w:rPr>
          <w:rFonts w:ascii="Calibri" w:hAnsi="Calibri" w:cs="Calibri"/>
          <w:b/>
          <w:bCs/>
          <w:color w:val="auto"/>
          <w:szCs w:val="20"/>
          <w:lang w:val="en-US"/>
        </w:rPr>
        <w:t>Additional Questions</w:t>
      </w:r>
    </w:p>
    <w:p w14:paraId="7CDF73C1" w14:textId="0E8AA32C" w:rsidR="00EA3E14" w:rsidRPr="00B52D53" w:rsidRDefault="00EA3E14" w:rsidP="00DA459B">
      <w:pPr>
        <w:jc w:val="both"/>
        <w:rPr>
          <w:rFonts w:ascii="Calibri" w:hAnsi="Calibri" w:cs="Calibri"/>
          <w:b/>
          <w:bCs/>
          <w:color w:val="auto"/>
          <w:szCs w:val="20"/>
        </w:rPr>
      </w:pPr>
      <w:r w:rsidRPr="00B52D53">
        <w:rPr>
          <w:rFonts w:ascii="Calibri" w:hAnsi="Calibri" w:cs="Calibri"/>
          <w:b/>
          <w:bCs/>
          <w:color w:val="auto"/>
          <w:szCs w:val="20"/>
        </w:rPr>
        <w:t xml:space="preserve">Chapter 1 </w:t>
      </w:r>
      <w:r w:rsidR="009F14D9" w:rsidRPr="00B52D53">
        <w:rPr>
          <w:rFonts w:ascii="Calibri" w:hAnsi="Calibri" w:cs="Calibri"/>
          <w:b/>
          <w:bCs/>
          <w:color w:val="auto"/>
          <w:szCs w:val="20"/>
        </w:rPr>
        <w:t>– The Capital Markets and Fund Management Industry in Singapore</w:t>
      </w:r>
    </w:p>
    <w:p w14:paraId="5B5425F0" w14:textId="45B2F14A" w:rsidR="005618A1" w:rsidRPr="00B52D53" w:rsidRDefault="005618A1" w:rsidP="00DA459B">
      <w:pPr>
        <w:jc w:val="both"/>
        <w:rPr>
          <w:rFonts w:ascii="Calibri" w:hAnsi="Calibri" w:cs="Calibri"/>
          <w:color w:val="auto"/>
          <w:szCs w:val="20"/>
        </w:rPr>
      </w:pPr>
      <w:r w:rsidRPr="00B52D53">
        <w:rPr>
          <w:rFonts w:ascii="Calibri" w:hAnsi="Calibri" w:cs="Calibri"/>
          <w:color w:val="auto"/>
          <w:szCs w:val="20"/>
        </w:rPr>
        <w:t>Which of the following entities typically acts as a financial intermediary by matching selling interest with buying interest in the secondary market?</w:t>
      </w:r>
    </w:p>
    <w:p w14:paraId="29D8B38A" w14:textId="77777777" w:rsidR="00EA3E14" w:rsidRPr="00B52D53" w:rsidRDefault="00EA3E14" w:rsidP="00DA459B">
      <w:pPr>
        <w:pStyle w:val="ListParagraph"/>
        <w:numPr>
          <w:ilvl w:val="0"/>
          <w:numId w:val="26"/>
        </w:numPr>
        <w:jc w:val="both"/>
        <w:rPr>
          <w:rFonts w:ascii="Calibri" w:hAnsi="Calibri" w:cs="Calibri"/>
          <w:color w:val="auto"/>
          <w:szCs w:val="20"/>
          <w:lang w:val="en-US"/>
        </w:rPr>
      </w:pPr>
      <w:r w:rsidRPr="00B52D53">
        <w:rPr>
          <w:rFonts w:ascii="Calibri" w:hAnsi="Calibri" w:cs="Calibri"/>
          <w:color w:val="auto"/>
          <w:szCs w:val="20"/>
          <w:lang w:val="en-US"/>
        </w:rPr>
        <w:t>Brokers</w:t>
      </w:r>
    </w:p>
    <w:p w14:paraId="3EEA78BE" w14:textId="77777777" w:rsidR="00EA3E14" w:rsidRPr="00B52D53" w:rsidRDefault="00EA3E14" w:rsidP="00DA459B">
      <w:pPr>
        <w:pStyle w:val="ListParagraph"/>
        <w:numPr>
          <w:ilvl w:val="0"/>
          <w:numId w:val="26"/>
        </w:numPr>
        <w:jc w:val="both"/>
        <w:rPr>
          <w:rFonts w:ascii="Calibri" w:hAnsi="Calibri" w:cs="Calibri"/>
          <w:color w:val="auto"/>
          <w:szCs w:val="20"/>
          <w:lang w:val="en-US"/>
        </w:rPr>
      </w:pPr>
      <w:r w:rsidRPr="00B52D53">
        <w:rPr>
          <w:rFonts w:ascii="Calibri" w:hAnsi="Calibri" w:cs="Calibri"/>
          <w:color w:val="auto"/>
          <w:szCs w:val="20"/>
          <w:lang w:val="en-US"/>
        </w:rPr>
        <w:t>Central banks</w:t>
      </w:r>
    </w:p>
    <w:p w14:paraId="423FBA9F" w14:textId="77777777" w:rsidR="00EA3E14" w:rsidRPr="00B52D53" w:rsidRDefault="00EA3E14" w:rsidP="00DA459B">
      <w:pPr>
        <w:pStyle w:val="ListParagraph"/>
        <w:numPr>
          <w:ilvl w:val="0"/>
          <w:numId w:val="26"/>
        </w:numPr>
        <w:jc w:val="both"/>
        <w:rPr>
          <w:rFonts w:ascii="Calibri" w:hAnsi="Calibri" w:cs="Calibri"/>
          <w:color w:val="auto"/>
          <w:szCs w:val="20"/>
          <w:lang w:val="en-US"/>
        </w:rPr>
      </w:pPr>
      <w:r w:rsidRPr="00B52D53">
        <w:rPr>
          <w:rFonts w:ascii="Calibri" w:hAnsi="Calibri" w:cs="Calibri"/>
          <w:color w:val="auto"/>
          <w:szCs w:val="20"/>
          <w:lang w:val="en-US"/>
        </w:rPr>
        <w:t>Mutual funds</w:t>
      </w:r>
    </w:p>
    <w:p w14:paraId="3BA3CD03" w14:textId="383E1F33" w:rsidR="00EA3E14" w:rsidRPr="00B52D53" w:rsidRDefault="00EA3E14" w:rsidP="00DA459B">
      <w:pPr>
        <w:pStyle w:val="ListParagraph"/>
        <w:numPr>
          <w:ilvl w:val="0"/>
          <w:numId w:val="26"/>
        </w:numPr>
        <w:jc w:val="both"/>
        <w:rPr>
          <w:rFonts w:ascii="Calibri" w:hAnsi="Calibri" w:cs="Calibri"/>
          <w:color w:val="auto"/>
          <w:szCs w:val="20"/>
          <w:lang w:val="en-US"/>
        </w:rPr>
      </w:pPr>
      <w:r w:rsidRPr="00B52D53">
        <w:rPr>
          <w:rFonts w:ascii="Calibri" w:hAnsi="Calibri" w:cs="Calibri"/>
          <w:color w:val="auto"/>
          <w:szCs w:val="20"/>
          <w:lang w:val="en-US"/>
        </w:rPr>
        <w:t>Retail investors</w:t>
      </w:r>
    </w:p>
    <w:p w14:paraId="66843B05" w14:textId="77777777" w:rsidR="00EA3E14" w:rsidRPr="00B52D53" w:rsidRDefault="00EA3E14" w:rsidP="00DA459B">
      <w:pPr>
        <w:pStyle w:val="ListParagraph"/>
        <w:jc w:val="both"/>
        <w:rPr>
          <w:rFonts w:ascii="Calibri" w:hAnsi="Calibri" w:cs="Calibri"/>
          <w:color w:val="auto"/>
          <w:szCs w:val="20"/>
          <w:lang w:val="en-US"/>
        </w:rPr>
      </w:pPr>
    </w:p>
    <w:p w14:paraId="014F7F9B" w14:textId="6FBB5507" w:rsidR="00AE6E4C" w:rsidRPr="00B52D53" w:rsidRDefault="00EA3E14" w:rsidP="00DA459B">
      <w:pPr>
        <w:jc w:val="both"/>
        <w:rPr>
          <w:rFonts w:ascii="Calibri" w:hAnsi="Calibri" w:cs="Calibri"/>
          <w:color w:val="auto"/>
          <w:szCs w:val="20"/>
        </w:rPr>
      </w:pPr>
      <w:r w:rsidRPr="00B52D53">
        <w:rPr>
          <w:rFonts w:ascii="Calibri" w:hAnsi="Calibri" w:cs="Calibri"/>
          <w:color w:val="auto"/>
          <w:szCs w:val="20"/>
        </w:rPr>
        <w:t>Businesses raise capital through the issuance of various securities instruments such as:</w:t>
      </w:r>
    </w:p>
    <w:p w14:paraId="7A4D44A6" w14:textId="4634B973" w:rsidR="00AE6E4C" w:rsidRPr="00B52D53" w:rsidRDefault="00AE6E4C"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400B8983" w14:textId="77777777" w:rsidR="00EA3E14" w:rsidRPr="00B52D53" w:rsidRDefault="00EA3E14" w:rsidP="00DA459B">
      <w:pPr>
        <w:pStyle w:val="ListParagraph"/>
        <w:numPr>
          <w:ilvl w:val="0"/>
          <w:numId w:val="27"/>
        </w:numPr>
        <w:jc w:val="both"/>
        <w:rPr>
          <w:rFonts w:ascii="Calibri" w:hAnsi="Calibri" w:cs="Calibri"/>
          <w:color w:val="auto"/>
          <w:szCs w:val="20"/>
          <w:lang w:val="en-US"/>
        </w:rPr>
      </w:pPr>
      <w:r w:rsidRPr="00B52D53">
        <w:rPr>
          <w:rFonts w:ascii="Calibri" w:hAnsi="Calibri" w:cs="Calibri"/>
          <w:color w:val="auto"/>
          <w:szCs w:val="20"/>
          <w:lang w:val="en-US"/>
        </w:rPr>
        <w:t>Common stock</w:t>
      </w:r>
    </w:p>
    <w:p w14:paraId="593B3E62" w14:textId="77777777" w:rsidR="00EA3E14" w:rsidRPr="00B52D53" w:rsidRDefault="00EA3E14" w:rsidP="00DA459B">
      <w:pPr>
        <w:pStyle w:val="ListParagraph"/>
        <w:numPr>
          <w:ilvl w:val="0"/>
          <w:numId w:val="27"/>
        </w:numPr>
        <w:jc w:val="both"/>
        <w:rPr>
          <w:rFonts w:ascii="Calibri" w:hAnsi="Calibri" w:cs="Calibri"/>
          <w:color w:val="auto"/>
          <w:szCs w:val="20"/>
          <w:lang w:val="en-US"/>
        </w:rPr>
      </w:pPr>
      <w:r w:rsidRPr="00B52D53">
        <w:rPr>
          <w:rFonts w:ascii="Calibri" w:hAnsi="Calibri" w:cs="Calibri"/>
          <w:color w:val="auto"/>
          <w:szCs w:val="20"/>
          <w:lang w:val="en-US"/>
        </w:rPr>
        <w:t>Bonds</w:t>
      </w:r>
    </w:p>
    <w:p w14:paraId="22B8D8AA" w14:textId="77777777" w:rsidR="00EA3E14" w:rsidRPr="00B52D53" w:rsidRDefault="00EA3E14" w:rsidP="00DA459B">
      <w:pPr>
        <w:pStyle w:val="ListParagraph"/>
        <w:numPr>
          <w:ilvl w:val="0"/>
          <w:numId w:val="27"/>
        </w:numPr>
        <w:jc w:val="both"/>
        <w:rPr>
          <w:rFonts w:ascii="Calibri" w:hAnsi="Calibri" w:cs="Calibri"/>
          <w:color w:val="auto"/>
          <w:szCs w:val="20"/>
          <w:lang w:val="en-US"/>
        </w:rPr>
      </w:pPr>
      <w:r w:rsidRPr="00B52D53">
        <w:rPr>
          <w:rFonts w:ascii="Calibri" w:hAnsi="Calibri" w:cs="Calibri"/>
          <w:color w:val="auto"/>
          <w:szCs w:val="20"/>
          <w:lang w:val="en-US"/>
        </w:rPr>
        <w:t>Company warrants</w:t>
      </w:r>
    </w:p>
    <w:p w14:paraId="313AE2AA" w14:textId="666CE944" w:rsidR="00EA3E14" w:rsidRPr="00B52D53" w:rsidRDefault="00EA3E14" w:rsidP="00DA459B">
      <w:pPr>
        <w:pStyle w:val="ListParagraph"/>
        <w:numPr>
          <w:ilvl w:val="0"/>
          <w:numId w:val="27"/>
        </w:numPr>
        <w:jc w:val="both"/>
        <w:rPr>
          <w:rFonts w:ascii="Calibri" w:hAnsi="Calibri" w:cs="Calibri"/>
          <w:color w:val="auto"/>
          <w:szCs w:val="20"/>
          <w:lang w:val="en-US"/>
        </w:rPr>
      </w:pPr>
      <w:r w:rsidRPr="00B52D53">
        <w:rPr>
          <w:rFonts w:ascii="Calibri" w:hAnsi="Calibri" w:cs="Calibri"/>
          <w:color w:val="auto"/>
          <w:szCs w:val="20"/>
          <w:lang w:val="en-US"/>
        </w:rPr>
        <w:t>Unit trusts</w:t>
      </w:r>
    </w:p>
    <w:p w14:paraId="1A66B614" w14:textId="77777777" w:rsidR="00EA3E14" w:rsidRPr="00B52D53" w:rsidRDefault="00EA3E14" w:rsidP="00DA459B">
      <w:pPr>
        <w:pStyle w:val="ListParagraph"/>
        <w:jc w:val="both"/>
        <w:rPr>
          <w:rFonts w:ascii="Calibri" w:hAnsi="Calibri" w:cs="Calibri"/>
          <w:color w:val="auto"/>
          <w:szCs w:val="20"/>
          <w:lang w:val="en-US"/>
        </w:rPr>
      </w:pPr>
    </w:p>
    <w:p w14:paraId="09CD8CBF" w14:textId="1F1491AE" w:rsidR="00AE6E4C" w:rsidRPr="00B52D53" w:rsidRDefault="00EA3E14" w:rsidP="00DA459B">
      <w:pPr>
        <w:jc w:val="both"/>
        <w:rPr>
          <w:rFonts w:ascii="Calibri" w:hAnsi="Calibri" w:cs="Calibri"/>
          <w:color w:val="auto"/>
          <w:szCs w:val="20"/>
        </w:rPr>
      </w:pPr>
      <w:r w:rsidRPr="00B52D53">
        <w:rPr>
          <w:rFonts w:ascii="Calibri" w:hAnsi="Calibri" w:cs="Calibri"/>
          <w:color w:val="auto"/>
          <w:szCs w:val="20"/>
        </w:rPr>
        <w:t>Marcus is an experienced investor focusing on the secondary market. He's interested in managing his investment risk and is considering trading in futures or derivatives. He believes these instruments can offer him opportunities to hedge against market volatility risk. However, Marcus is also aware of the complexities and risks associated with these financial instruments. What should Marcus consider when trading in derivatives in the secondary market?</w:t>
      </w:r>
    </w:p>
    <w:p w14:paraId="781647CD" w14:textId="027D6190" w:rsidR="00AE6E4C" w:rsidRPr="00B52D53" w:rsidRDefault="00AE6E4C"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28C6772F" w14:textId="77777777" w:rsidR="00EA3E14" w:rsidRPr="00B52D53" w:rsidRDefault="00EA3E14" w:rsidP="00DA459B">
      <w:pPr>
        <w:pStyle w:val="ListParagraph"/>
        <w:numPr>
          <w:ilvl w:val="0"/>
          <w:numId w:val="28"/>
        </w:numPr>
        <w:jc w:val="both"/>
        <w:rPr>
          <w:rFonts w:ascii="Calibri" w:hAnsi="Calibri" w:cs="Calibri"/>
          <w:color w:val="auto"/>
          <w:szCs w:val="20"/>
          <w:lang w:val="en-US"/>
        </w:rPr>
      </w:pPr>
      <w:r w:rsidRPr="00B52D53">
        <w:rPr>
          <w:rFonts w:ascii="Calibri" w:hAnsi="Calibri" w:cs="Calibri"/>
          <w:color w:val="auto"/>
          <w:szCs w:val="20"/>
          <w:lang w:val="en-US"/>
        </w:rPr>
        <w:t>The potential for high returns</w:t>
      </w:r>
    </w:p>
    <w:p w14:paraId="41F25CA3" w14:textId="77777777" w:rsidR="00EA3E14" w:rsidRPr="00B52D53" w:rsidRDefault="00EA3E14" w:rsidP="00DA459B">
      <w:pPr>
        <w:pStyle w:val="ListParagraph"/>
        <w:numPr>
          <w:ilvl w:val="0"/>
          <w:numId w:val="28"/>
        </w:numPr>
        <w:jc w:val="both"/>
        <w:rPr>
          <w:rFonts w:ascii="Calibri" w:hAnsi="Calibri" w:cs="Calibri"/>
          <w:color w:val="auto"/>
          <w:szCs w:val="20"/>
          <w:lang w:val="en-US"/>
        </w:rPr>
      </w:pPr>
      <w:r w:rsidRPr="00B52D53">
        <w:rPr>
          <w:rFonts w:ascii="Calibri" w:hAnsi="Calibri" w:cs="Calibri"/>
          <w:color w:val="auto"/>
          <w:szCs w:val="20"/>
          <w:lang w:val="en-US"/>
        </w:rPr>
        <w:t>The liquidity of the instruments</w:t>
      </w:r>
    </w:p>
    <w:p w14:paraId="1D8CC6C6" w14:textId="77777777" w:rsidR="00EA3E14" w:rsidRPr="00B52D53" w:rsidRDefault="00EA3E14" w:rsidP="00DA459B">
      <w:pPr>
        <w:pStyle w:val="ListParagraph"/>
        <w:numPr>
          <w:ilvl w:val="0"/>
          <w:numId w:val="28"/>
        </w:numPr>
        <w:jc w:val="both"/>
        <w:rPr>
          <w:rFonts w:ascii="Calibri" w:hAnsi="Calibri" w:cs="Calibri"/>
          <w:color w:val="auto"/>
          <w:szCs w:val="20"/>
          <w:lang w:val="en-US"/>
        </w:rPr>
      </w:pPr>
      <w:r w:rsidRPr="00B52D53">
        <w:rPr>
          <w:rFonts w:ascii="Calibri" w:hAnsi="Calibri" w:cs="Calibri"/>
          <w:color w:val="auto"/>
          <w:szCs w:val="20"/>
          <w:lang w:val="en-US"/>
        </w:rPr>
        <w:t>The complexities and risks involved</w:t>
      </w:r>
    </w:p>
    <w:p w14:paraId="68C8B295" w14:textId="0A2D89CF" w:rsidR="00EA3E14" w:rsidRPr="00B52D53" w:rsidRDefault="00EA3E14" w:rsidP="00DA459B">
      <w:pPr>
        <w:pStyle w:val="ListParagraph"/>
        <w:numPr>
          <w:ilvl w:val="0"/>
          <w:numId w:val="28"/>
        </w:numPr>
        <w:jc w:val="both"/>
        <w:rPr>
          <w:rFonts w:ascii="Calibri" w:hAnsi="Calibri" w:cs="Calibri"/>
          <w:color w:val="auto"/>
          <w:szCs w:val="20"/>
          <w:lang w:val="en-US"/>
        </w:rPr>
      </w:pPr>
      <w:r w:rsidRPr="00B52D53">
        <w:rPr>
          <w:rFonts w:ascii="Calibri" w:hAnsi="Calibri" w:cs="Calibri"/>
          <w:color w:val="auto"/>
          <w:szCs w:val="20"/>
          <w:lang w:val="en-US"/>
        </w:rPr>
        <w:t>The historical performance of the underlying asset</w:t>
      </w:r>
    </w:p>
    <w:p w14:paraId="20C132DD" w14:textId="77777777" w:rsidR="00EA3E14" w:rsidRPr="00B52D53" w:rsidRDefault="00EA3E14" w:rsidP="00DA459B">
      <w:pPr>
        <w:jc w:val="both"/>
        <w:rPr>
          <w:rFonts w:ascii="Calibri" w:hAnsi="Calibri" w:cs="Calibri"/>
          <w:color w:val="auto"/>
          <w:szCs w:val="20"/>
        </w:rPr>
      </w:pPr>
    </w:p>
    <w:p w14:paraId="26391816" w14:textId="7163E7D1" w:rsidR="00EA3E14" w:rsidRPr="00B52D53" w:rsidRDefault="00EA3E14" w:rsidP="00DA459B">
      <w:pPr>
        <w:jc w:val="both"/>
        <w:rPr>
          <w:rFonts w:ascii="Calibri" w:hAnsi="Calibri" w:cs="Calibri"/>
          <w:color w:val="auto"/>
          <w:szCs w:val="20"/>
        </w:rPr>
      </w:pPr>
      <w:r w:rsidRPr="00B52D53">
        <w:rPr>
          <w:rFonts w:ascii="Calibri" w:hAnsi="Calibri" w:cs="Calibri"/>
          <w:color w:val="auto"/>
          <w:szCs w:val="20"/>
        </w:rPr>
        <w:t>Which of the following markets is known as the "call around" market?</w:t>
      </w:r>
    </w:p>
    <w:p w14:paraId="276C6564" w14:textId="77777777" w:rsidR="00EA3E14" w:rsidRPr="00B52D53" w:rsidRDefault="00EA3E14" w:rsidP="00DA459B">
      <w:pPr>
        <w:pStyle w:val="ListParagraph"/>
        <w:numPr>
          <w:ilvl w:val="0"/>
          <w:numId w:val="29"/>
        </w:numPr>
        <w:jc w:val="both"/>
        <w:rPr>
          <w:rFonts w:ascii="Calibri" w:hAnsi="Calibri" w:cs="Calibri"/>
          <w:color w:val="auto"/>
          <w:szCs w:val="20"/>
          <w:lang w:val="en-US"/>
        </w:rPr>
      </w:pPr>
      <w:r w:rsidRPr="00B52D53">
        <w:rPr>
          <w:rFonts w:ascii="Calibri" w:hAnsi="Calibri" w:cs="Calibri"/>
          <w:color w:val="auto"/>
          <w:szCs w:val="20"/>
          <w:lang w:val="en-US"/>
        </w:rPr>
        <w:t>All regulated secondary market exchanges</w:t>
      </w:r>
    </w:p>
    <w:p w14:paraId="201BE9C0" w14:textId="77777777" w:rsidR="00EA3E14" w:rsidRPr="00B52D53" w:rsidRDefault="00EA3E14" w:rsidP="00DA459B">
      <w:pPr>
        <w:pStyle w:val="ListParagraph"/>
        <w:numPr>
          <w:ilvl w:val="0"/>
          <w:numId w:val="29"/>
        </w:numPr>
        <w:jc w:val="both"/>
        <w:rPr>
          <w:rFonts w:ascii="Calibri" w:hAnsi="Calibri" w:cs="Calibri"/>
          <w:color w:val="auto"/>
          <w:szCs w:val="20"/>
          <w:lang w:val="en-US"/>
        </w:rPr>
      </w:pPr>
      <w:r w:rsidRPr="00B52D53">
        <w:rPr>
          <w:rFonts w:ascii="Calibri" w:hAnsi="Calibri" w:cs="Calibri"/>
          <w:color w:val="auto"/>
          <w:szCs w:val="20"/>
          <w:lang w:val="en-US"/>
        </w:rPr>
        <w:t>All primary markets</w:t>
      </w:r>
    </w:p>
    <w:p w14:paraId="1486C563" w14:textId="77777777" w:rsidR="00EA3E14" w:rsidRPr="00B52D53" w:rsidRDefault="00EA3E14" w:rsidP="00DA459B">
      <w:pPr>
        <w:pStyle w:val="ListParagraph"/>
        <w:numPr>
          <w:ilvl w:val="0"/>
          <w:numId w:val="29"/>
        </w:numPr>
        <w:jc w:val="both"/>
        <w:rPr>
          <w:rFonts w:ascii="Calibri" w:hAnsi="Calibri" w:cs="Calibri"/>
          <w:color w:val="auto"/>
          <w:szCs w:val="20"/>
          <w:lang w:val="en-US"/>
        </w:rPr>
      </w:pPr>
      <w:r w:rsidRPr="00B52D53">
        <w:rPr>
          <w:rFonts w:ascii="Calibri" w:hAnsi="Calibri" w:cs="Calibri"/>
          <w:color w:val="auto"/>
          <w:szCs w:val="20"/>
          <w:lang w:val="en-US"/>
        </w:rPr>
        <w:t>OTC markets</w:t>
      </w:r>
    </w:p>
    <w:p w14:paraId="2110F95C" w14:textId="55D62CF0" w:rsidR="00EA3E14" w:rsidRPr="00B52D53" w:rsidRDefault="00EA3E14" w:rsidP="00DA459B">
      <w:pPr>
        <w:pStyle w:val="ListParagraph"/>
        <w:numPr>
          <w:ilvl w:val="0"/>
          <w:numId w:val="29"/>
        </w:numPr>
        <w:jc w:val="both"/>
        <w:rPr>
          <w:rFonts w:ascii="Calibri" w:hAnsi="Calibri" w:cs="Calibri"/>
          <w:color w:val="auto"/>
          <w:szCs w:val="20"/>
          <w:lang w:val="en-US"/>
        </w:rPr>
      </w:pPr>
      <w:r w:rsidRPr="00B52D53">
        <w:rPr>
          <w:rFonts w:ascii="Calibri" w:hAnsi="Calibri" w:cs="Calibri"/>
          <w:color w:val="auto"/>
          <w:szCs w:val="20"/>
          <w:lang w:val="en-US"/>
        </w:rPr>
        <w:t>All clearing houses</w:t>
      </w:r>
    </w:p>
    <w:p w14:paraId="79132D22" w14:textId="77777777" w:rsidR="00EA3E14" w:rsidRPr="00B52D53" w:rsidRDefault="00EA3E14" w:rsidP="00DA459B">
      <w:pPr>
        <w:jc w:val="both"/>
        <w:rPr>
          <w:rFonts w:ascii="Calibri" w:hAnsi="Calibri" w:cs="Calibri"/>
          <w:color w:val="auto"/>
          <w:szCs w:val="20"/>
          <w:lang w:val="en-US"/>
        </w:rPr>
      </w:pPr>
    </w:p>
    <w:p w14:paraId="3A02C999" w14:textId="1DF47DCA" w:rsidR="009F14D9" w:rsidRPr="00B52D53" w:rsidRDefault="009F14D9" w:rsidP="00DA459B">
      <w:pPr>
        <w:jc w:val="both"/>
        <w:rPr>
          <w:rFonts w:ascii="Calibri" w:hAnsi="Calibri" w:cs="Calibri"/>
          <w:color w:val="auto"/>
          <w:szCs w:val="20"/>
        </w:rPr>
      </w:pPr>
      <w:r w:rsidRPr="00B52D53">
        <w:rPr>
          <w:rFonts w:ascii="Calibri" w:hAnsi="Calibri" w:cs="Calibri"/>
          <w:color w:val="auto"/>
          <w:szCs w:val="20"/>
        </w:rPr>
        <w:t>Alex, a financial advisor, is assisting a client in investing in the primary market. The client is interested in a new IPO but is unsure about the role of financial intermediaries in the process. Alex explains that financial intermediaries, such as banks or financial institutions with a capital market license are often appointed as issue managers due to their expertise in managing complex processes and reaching out to potential investors. What roles do financial intermediaries play in Alex’s explanation?</w:t>
      </w:r>
    </w:p>
    <w:p w14:paraId="77A4B19C" w14:textId="77777777" w:rsidR="009F14D9" w:rsidRPr="00B52D53" w:rsidRDefault="009F14D9" w:rsidP="00DA459B">
      <w:pPr>
        <w:pStyle w:val="ListParagraph"/>
        <w:numPr>
          <w:ilvl w:val="0"/>
          <w:numId w:val="30"/>
        </w:numPr>
        <w:jc w:val="both"/>
        <w:rPr>
          <w:rFonts w:ascii="Calibri" w:hAnsi="Calibri" w:cs="Calibri"/>
          <w:color w:val="auto"/>
          <w:szCs w:val="20"/>
          <w:lang w:val="en-US"/>
        </w:rPr>
      </w:pPr>
      <w:r w:rsidRPr="00B52D53">
        <w:rPr>
          <w:rFonts w:ascii="Calibri" w:hAnsi="Calibri" w:cs="Calibri"/>
          <w:color w:val="auto"/>
          <w:szCs w:val="20"/>
          <w:lang w:val="en-US"/>
        </w:rPr>
        <w:t>Providing investment advice to retail investors</w:t>
      </w:r>
    </w:p>
    <w:p w14:paraId="2F49359F" w14:textId="77777777" w:rsidR="009F14D9" w:rsidRPr="00B52D53" w:rsidRDefault="009F14D9" w:rsidP="00DA459B">
      <w:pPr>
        <w:pStyle w:val="ListParagraph"/>
        <w:numPr>
          <w:ilvl w:val="0"/>
          <w:numId w:val="30"/>
        </w:numPr>
        <w:jc w:val="both"/>
        <w:rPr>
          <w:rFonts w:ascii="Calibri" w:hAnsi="Calibri" w:cs="Calibri"/>
          <w:color w:val="auto"/>
          <w:szCs w:val="20"/>
          <w:lang w:val="en-US"/>
        </w:rPr>
      </w:pPr>
      <w:r w:rsidRPr="00B52D53">
        <w:rPr>
          <w:rFonts w:ascii="Calibri" w:hAnsi="Calibri" w:cs="Calibri"/>
          <w:color w:val="auto"/>
          <w:szCs w:val="20"/>
          <w:lang w:val="en-US"/>
        </w:rPr>
        <w:t>Facilitating the IPO process for businesses</w:t>
      </w:r>
    </w:p>
    <w:p w14:paraId="2F1DBB30" w14:textId="77777777" w:rsidR="009F14D9" w:rsidRPr="00B52D53" w:rsidRDefault="009F14D9" w:rsidP="00DA459B">
      <w:pPr>
        <w:pStyle w:val="ListParagraph"/>
        <w:numPr>
          <w:ilvl w:val="0"/>
          <w:numId w:val="30"/>
        </w:numPr>
        <w:jc w:val="both"/>
        <w:rPr>
          <w:rFonts w:ascii="Calibri" w:hAnsi="Calibri" w:cs="Calibri"/>
          <w:color w:val="auto"/>
          <w:szCs w:val="20"/>
          <w:lang w:val="en-US"/>
        </w:rPr>
      </w:pPr>
      <w:r w:rsidRPr="00B52D53">
        <w:rPr>
          <w:rFonts w:ascii="Calibri" w:hAnsi="Calibri" w:cs="Calibri"/>
          <w:color w:val="auto"/>
          <w:szCs w:val="20"/>
          <w:lang w:val="en-US"/>
        </w:rPr>
        <w:t>Offering custodial services for securities</w:t>
      </w:r>
    </w:p>
    <w:p w14:paraId="37C9ECB2" w14:textId="33A07E65" w:rsidR="009F14D9" w:rsidRPr="00B52D53" w:rsidRDefault="009F14D9" w:rsidP="00DA459B">
      <w:pPr>
        <w:pStyle w:val="ListParagraph"/>
        <w:numPr>
          <w:ilvl w:val="0"/>
          <w:numId w:val="30"/>
        </w:numPr>
        <w:jc w:val="both"/>
        <w:rPr>
          <w:rFonts w:ascii="Calibri" w:hAnsi="Calibri" w:cs="Calibri"/>
          <w:color w:val="auto"/>
          <w:szCs w:val="20"/>
          <w:lang w:val="en-US"/>
        </w:rPr>
      </w:pPr>
      <w:r w:rsidRPr="00B52D53">
        <w:rPr>
          <w:rFonts w:ascii="Calibri" w:hAnsi="Calibri" w:cs="Calibri"/>
          <w:color w:val="auto"/>
          <w:szCs w:val="20"/>
          <w:lang w:val="en-US"/>
        </w:rPr>
        <w:t>Managing investments on behalf of investors</w:t>
      </w:r>
    </w:p>
    <w:p w14:paraId="236BA000" w14:textId="77777777" w:rsidR="009F14D9" w:rsidRPr="00B52D53" w:rsidRDefault="009F14D9" w:rsidP="00DA459B">
      <w:pPr>
        <w:jc w:val="both"/>
        <w:rPr>
          <w:rFonts w:ascii="Calibri" w:hAnsi="Calibri" w:cs="Calibri"/>
          <w:color w:val="auto"/>
          <w:szCs w:val="20"/>
          <w:lang w:val="en-US"/>
        </w:rPr>
      </w:pPr>
    </w:p>
    <w:p w14:paraId="6154285E" w14:textId="057B5EAE" w:rsidR="009F14D9" w:rsidRPr="00B52D53" w:rsidRDefault="009F14D9"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2 – Fund Management Rules, Regulations and Guidelines</w:t>
      </w:r>
    </w:p>
    <w:p w14:paraId="6804A3EF" w14:textId="01D4589D" w:rsidR="009F14D9" w:rsidRPr="00B52D53" w:rsidRDefault="009F14D9" w:rsidP="00DA459B">
      <w:pPr>
        <w:jc w:val="both"/>
        <w:rPr>
          <w:rFonts w:ascii="Calibri" w:hAnsi="Calibri" w:cs="Calibri"/>
          <w:color w:val="auto"/>
          <w:szCs w:val="20"/>
        </w:rPr>
      </w:pPr>
      <w:r w:rsidRPr="00B52D53">
        <w:rPr>
          <w:rFonts w:ascii="Calibri" w:hAnsi="Calibri" w:cs="Calibri"/>
          <w:color w:val="auto"/>
          <w:szCs w:val="20"/>
        </w:rPr>
        <w:lastRenderedPageBreak/>
        <w:t>Which of the following is referred to as the 'IMAS Code'?</w:t>
      </w:r>
    </w:p>
    <w:p w14:paraId="4DE026C2" w14:textId="77777777" w:rsidR="009F14D9" w:rsidRPr="00B52D53" w:rsidRDefault="009F14D9" w:rsidP="00DA459B">
      <w:pPr>
        <w:pStyle w:val="ListParagraph"/>
        <w:numPr>
          <w:ilvl w:val="0"/>
          <w:numId w:val="31"/>
        </w:numPr>
        <w:jc w:val="both"/>
        <w:rPr>
          <w:rFonts w:ascii="Calibri" w:hAnsi="Calibri" w:cs="Calibri"/>
          <w:color w:val="auto"/>
          <w:szCs w:val="20"/>
          <w:lang w:val="en-US"/>
        </w:rPr>
      </w:pPr>
      <w:proofErr w:type="gramStart"/>
      <w:r w:rsidRPr="00B52D53">
        <w:rPr>
          <w:rFonts w:ascii="Calibri" w:hAnsi="Calibri" w:cs="Calibri"/>
          <w:color w:val="auto"/>
          <w:szCs w:val="20"/>
          <w:lang w:val="en-US"/>
        </w:rPr>
        <w:t>Bye-laws</w:t>
      </w:r>
      <w:proofErr w:type="gramEnd"/>
      <w:r w:rsidRPr="00B52D53">
        <w:rPr>
          <w:rFonts w:ascii="Calibri" w:hAnsi="Calibri" w:cs="Calibri"/>
          <w:color w:val="auto"/>
          <w:szCs w:val="20"/>
          <w:lang w:val="en-US"/>
        </w:rPr>
        <w:t> to regulate the professional conduct of its members.</w:t>
      </w:r>
    </w:p>
    <w:p w14:paraId="4B63FB23" w14:textId="77777777" w:rsidR="009F14D9" w:rsidRPr="00B52D53" w:rsidRDefault="009F14D9" w:rsidP="00DA459B">
      <w:pPr>
        <w:pStyle w:val="ListParagraph"/>
        <w:numPr>
          <w:ilvl w:val="0"/>
          <w:numId w:val="31"/>
        </w:numPr>
        <w:jc w:val="both"/>
        <w:rPr>
          <w:rFonts w:ascii="Calibri" w:hAnsi="Calibri" w:cs="Calibri"/>
          <w:color w:val="auto"/>
          <w:szCs w:val="20"/>
          <w:lang w:val="en-US"/>
        </w:rPr>
      </w:pPr>
      <w:r w:rsidRPr="00B52D53">
        <w:rPr>
          <w:rFonts w:ascii="Calibri" w:hAnsi="Calibri" w:cs="Calibri"/>
          <w:color w:val="auto"/>
          <w:szCs w:val="20"/>
          <w:lang w:val="en-US"/>
        </w:rPr>
        <w:t>Code of Ethics and Standards of Professional Conduct</w:t>
      </w:r>
    </w:p>
    <w:p w14:paraId="413BD8B2" w14:textId="77777777" w:rsidR="009F14D9" w:rsidRPr="00B52D53" w:rsidRDefault="009F14D9" w:rsidP="00DA459B">
      <w:pPr>
        <w:pStyle w:val="ListParagraph"/>
        <w:numPr>
          <w:ilvl w:val="0"/>
          <w:numId w:val="31"/>
        </w:numPr>
        <w:jc w:val="both"/>
        <w:rPr>
          <w:rFonts w:ascii="Calibri" w:hAnsi="Calibri" w:cs="Calibri"/>
          <w:color w:val="auto"/>
          <w:szCs w:val="20"/>
          <w:lang w:val="en-US"/>
        </w:rPr>
      </w:pPr>
      <w:r w:rsidRPr="00B52D53">
        <w:rPr>
          <w:rFonts w:ascii="Calibri" w:hAnsi="Calibri" w:cs="Calibri"/>
          <w:color w:val="auto"/>
          <w:szCs w:val="20"/>
          <w:lang w:val="en-US"/>
        </w:rPr>
        <w:t>Code of ethics which members must fully observe and comply with.</w:t>
      </w:r>
    </w:p>
    <w:p w14:paraId="48D4B9FB" w14:textId="1E01AC4D" w:rsidR="009F14D9" w:rsidRPr="00B52D53" w:rsidRDefault="009F14D9" w:rsidP="00DA459B">
      <w:pPr>
        <w:pStyle w:val="ListParagraph"/>
        <w:numPr>
          <w:ilvl w:val="0"/>
          <w:numId w:val="31"/>
        </w:numPr>
        <w:jc w:val="both"/>
        <w:rPr>
          <w:rFonts w:ascii="Calibri" w:hAnsi="Calibri" w:cs="Calibri"/>
          <w:color w:val="auto"/>
          <w:szCs w:val="20"/>
          <w:lang w:val="en-US"/>
        </w:rPr>
      </w:pPr>
      <w:r w:rsidRPr="00B52D53">
        <w:rPr>
          <w:rFonts w:ascii="Calibri" w:hAnsi="Calibri" w:cs="Calibri"/>
          <w:color w:val="auto"/>
          <w:szCs w:val="20"/>
          <w:lang w:val="en-US"/>
        </w:rPr>
        <w:t>None of the above</w:t>
      </w:r>
    </w:p>
    <w:p w14:paraId="6B24BBC1" w14:textId="77777777" w:rsidR="009F14D9" w:rsidRPr="00B52D53" w:rsidRDefault="009F14D9" w:rsidP="00DA459B">
      <w:pPr>
        <w:jc w:val="both"/>
        <w:rPr>
          <w:rFonts w:ascii="Calibri" w:hAnsi="Calibri" w:cs="Calibri"/>
          <w:color w:val="auto"/>
          <w:szCs w:val="20"/>
        </w:rPr>
      </w:pPr>
    </w:p>
    <w:p w14:paraId="62228B92" w14:textId="18041AB9" w:rsidR="009F14D9" w:rsidRPr="00B52D53" w:rsidRDefault="009F14D9" w:rsidP="00DA459B">
      <w:pPr>
        <w:jc w:val="both"/>
        <w:rPr>
          <w:rFonts w:ascii="Calibri" w:hAnsi="Calibri" w:cs="Calibri"/>
          <w:color w:val="auto"/>
          <w:szCs w:val="20"/>
        </w:rPr>
      </w:pPr>
      <w:r w:rsidRPr="00B52D53">
        <w:rPr>
          <w:rFonts w:ascii="Calibri" w:hAnsi="Calibri" w:cs="Calibri"/>
          <w:color w:val="auto"/>
          <w:szCs w:val="20"/>
        </w:rPr>
        <w:t>Which one of the following instruments issued by the MAS has the force of law?</w:t>
      </w:r>
    </w:p>
    <w:p w14:paraId="5789B2B6" w14:textId="77777777" w:rsidR="009F14D9" w:rsidRPr="00B52D53" w:rsidRDefault="009F14D9" w:rsidP="00DA459B">
      <w:pPr>
        <w:pStyle w:val="ListParagraph"/>
        <w:numPr>
          <w:ilvl w:val="0"/>
          <w:numId w:val="32"/>
        </w:numPr>
        <w:jc w:val="both"/>
        <w:rPr>
          <w:rFonts w:ascii="Calibri" w:hAnsi="Calibri" w:cs="Calibri"/>
          <w:color w:val="auto"/>
          <w:szCs w:val="20"/>
          <w:lang w:val="en-US"/>
        </w:rPr>
      </w:pPr>
      <w:r w:rsidRPr="00B52D53">
        <w:rPr>
          <w:rFonts w:ascii="Calibri" w:hAnsi="Calibri" w:cs="Calibri"/>
          <w:color w:val="auto"/>
          <w:szCs w:val="20"/>
          <w:lang w:val="en-US"/>
        </w:rPr>
        <w:t>Codes.</w:t>
      </w:r>
    </w:p>
    <w:p w14:paraId="743B9AAE" w14:textId="77777777" w:rsidR="009F14D9" w:rsidRPr="00B52D53" w:rsidRDefault="009F14D9" w:rsidP="00DA459B">
      <w:pPr>
        <w:pStyle w:val="ListParagraph"/>
        <w:numPr>
          <w:ilvl w:val="0"/>
          <w:numId w:val="32"/>
        </w:numPr>
        <w:jc w:val="both"/>
        <w:rPr>
          <w:rFonts w:ascii="Calibri" w:hAnsi="Calibri" w:cs="Calibri"/>
          <w:color w:val="auto"/>
          <w:szCs w:val="20"/>
          <w:lang w:val="en-US"/>
        </w:rPr>
      </w:pPr>
      <w:r w:rsidRPr="00B52D53">
        <w:rPr>
          <w:rFonts w:ascii="Calibri" w:hAnsi="Calibri" w:cs="Calibri"/>
          <w:color w:val="auto"/>
          <w:szCs w:val="20"/>
          <w:lang w:val="en-US"/>
        </w:rPr>
        <w:t>Notices.</w:t>
      </w:r>
    </w:p>
    <w:p w14:paraId="365E3C45" w14:textId="77777777" w:rsidR="009F14D9" w:rsidRPr="00B52D53" w:rsidRDefault="009F14D9" w:rsidP="00DA459B">
      <w:pPr>
        <w:pStyle w:val="ListParagraph"/>
        <w:numPr>
          <w:ilvl w:val="0"/>
          <w:numId w:val="32"/>
        </w:numPr>
        <w:jc w:val="both"/>
        <w:rPr>
          <w:rFonts w:ascii="Calibri" w:hAnsi="Calibri" w:cs="Calibri"/>
          <w:color w:val="auto"/>
          <w:szCs w:val="20"/>
          <w:lang w:val="en-US"/>
        </w:rPr>
      </w:pPr>
      <w:r w:rsidRPr="00B52D53">
        <w:rPr>
          <w:rFonts w:ascii="Calibri" w:hAnsi="Calibri" w:cs="Calibri"/>
          <w:color w:val="auto"/>
          <w:szCs w:val="20"/>
          <w:lang w:val="en-US"/>
        </w:rPr>
        <w:t>Guidelines.</w:t>
      </w:r>
    </w:p>
    <w:p w14:paraId="62F41EF5" w14:textId="001B6780" w:rsidR="009F14D9" w:rsidRPr="00B52D53" w:rsidRDefault="009F14D9" w:rsidP="00DA459B">
      <w:pPr>
        <w:pStyle w:val="ListParagraph"/>
        <w:numPr>
          <w:ilvl w:val="0"/>
          <w:numId w:val="32"/>
        </w:numPr>
        <w:jc w:val="both"/>
        <w:rPr>
          <w:rFonts w:ascii="Calibri" w:hAnsi="Calibri" w:cs="Calibri"/>
          <w:color w:val="auto"/>
          <w:szCs w:val="20"/>
          <w:lang w:val="en-US"/>
        </w:rPr>
      </w:pPr>
      <w:r w:rsidRPr="00B52D53">
        <w:rPr>
          <w:rFonts w:ascii="Calibri" w:hAnsi="Calibri" w:cs="Calibri"/>
          <w:color w:val="auto"/>
          <w:szCs w:val="20"/>
          <w:lang w:val="en-US"/>
        </w:rPr>
        <w:t>Practice Notes.</w:t>
      </w:r>
    </w:p>
    <w:p w14:paraId="6C559578" w14:textId="77777777" w:rsidR="009F14D9" w:rsidRPr="00B52D53" w:rsidRDefault="009F14D9" w:rsidP="00DA459B">
      <w:pPr>
        <w:jc w:val="both"/>
        <w:rPr>
          <w:rFonts w:ascii="Calibri" w:hAnsi="Calibri" w:cs="Calibri"/>
          <w:color w:val="auto"/>
          <w:szCs w:val="20"/>
        </w:rPr>
      </w:pPr>
    </w:p>
    <w:p w14:paraId="65E35FEE" w14:textId="535E7BD6" w:rsidR="009F14D9" w:rsidRPr="00B52D53" w:rsidRDefault="009F14D9" w:rsidP="00DA459B">
      <w:pPr>
        <w:jc w:val="both"/>
        <w:rPr>
          <w:rFonts w:ascii="Calibri" w:hAnsi="Calibri" w:cs="Calibri"/>
          <w:color w:val="auto"/>
          <w:szCs w:val="20"/>
        </w:rPr>
      </w:pPr>
      <w:r w:rsidRPr="00B52D53">
        <w:rPr>
          <w:rFonts w:ascii="Calibri" w:hAnsi="Calibri" w:cs="Calibri"/>
          <w:color w:val="auto"/>
          <w:szCs w:val="20"/>
        </w:rPr>
        <w:t>Contravention of the provisions of which of the following documents is most likely to be considered a criminal offence?</w:t>
      </w:r>
    </w:p>
    <w:p w14:paraId="7F1834CD" w14:textId="77777777" w:rsidR="009F14D9" w:rsidRPr="00B52D53" w:rsidRDefault="009F14D9" w:rsidP="00DA459B">
      <w:pPr>
        <w:pStyle w:val="ListParagraph"/>
        <w:numPr>
          <w:ilvl w:val="0"/>
          <w:numId w:val="33"/>
        </w:numPr>
        <w:jc w:val="both"/>
        <w:rPr>
          <w:rFonts w:ascii="Calibri" w:hAnsi="Calibri" w:cs="Calibri"/>
          <w:color w:val="auto"/>
          <w:szCs w:val="20"/>
          <w:lang w:val="en-US"/>
        </w:rPr>
      </w:pPr>
      <w:r w:rsidRPr="00B52D53">
        <w:rPr>
          <w:rFonts w:ascii="Calibri" w:hAnsi="Calibri" w:cs="Calibri"/>
          <w:color w:val="auto"/>
          <w:szCs w:val="20"/>
          <w:lang w:val="en-US"/>
        </w:rPr>
        <w:t>Guidelines</w:t>
      </w:r>
    </w:p>
    <w:p w14:paraId="298CA314" w14:textId="77777777" w:rsidR="009F14D9" w:rsidRPr="00B52D53" w:rsidRDefault="009F14D9" w:rsidP="00DA459B">
      <w:pPr>
        <w:pStyle w:val="ListParagraph"/>
        <w:numPr>
          <w:ilvl w:val="0"/>
          <w:numId w:val="33"/>
        </w:numPr>
        <w:jc w:val="both"/>
        <w:rPr>
          <w:rFonts w:ascii="Calibri" w:hAnsi="Calibri" w:cs="Calibri"/>
          <w:color w:val="auto"/>
          <w:szCs w:val="20"/>
          <w:lang w:val="en-US"/>
        </w:rPr>
      </w:pPr>
      <w:r w:rsidRPr="00B52D53">
        <w:rPr>
          <w:rFonts w:ascii="Calibri" w:hAnsi="Calibri" w:cs="Calibri"/>
          <w:color w:val="auto"/>
          <w:szCs w:val="20"/>
          <w:lang w:val="en-US"/>
        </w:rPr>
        <w:t>Codes</w:t>
      </w:r>
    </w:p>
    <w:p w14:paraId="0938928F" w14:textId="77777777" w:rsidR="009F14D9" w:rsidRPr="00B52D53" w:rsidRDefault="009F14D9" w:rsidP="00DA459B">
      <w:pPr>
        <w:pStyle w:val="ListParagraph"/>
        <w:numPr>
          <w:ilvl w:val="0"/>
          <w:numId w:val="33"/>
        </w:numPr>
        <w:jc w:val="both"/>
        <w:rPr>
          <w:rFonts w:ascii="Calibri" w:hAnsi="Calibri" w:cs="Calibri"/>
          <w:color w:val="auto"/>
          <w:szCs w:val="20"/>
          <w:lang w:val="en-US"/>
        </w:rPr>
      </w:pPr>
      <w:r w:rsidRPr="00B52D53">
        <w:rPr>
          <w:rFonts w:ascii="Calibri" w:hAnsi="Calibri" w:cs="Calibri"/>
          <w:color w:val="auto"/>
          <w:szCs w:val="20"/>
          <w:lang w:val="en-US"/>
        </w:rPr>
        <w:t>Practice notes</w:t>
      </w:r>
    </w:p>
    <w:p w14:paraId="27F234A9" w14:textId="1E38EF14" w:rsidR="009F14D9" w:rsidRPr="00B52D53" w:rsidRDefault="009F14D9" w:rsidP="00DA459B">
      <w:pPr>
        <w:pStyle w:val="ListParagraph"/>
        <w:numPr>
          <w:ilvl w:val="0"/>
          <w:numId w:val="33"/>
        </w:numPr>
        <w:jc w:val="both"/>
        <w:rPr>
          <w:rFonts w:ascii="Calibri" w:hAnsi="Calibri" w:cs="Calibri"/>
          <w:color w:val="auto"/>
          <w:szCs w:val="20"/>
          <w:lang w:val="en-US"/>
        </w:rPr>
      </w:pPr>
      <w:r w:rsidRPr="00B52D53">
        <w:rPr>
          <w:rFonts w:ascii="Calibri" w:hAnsi="Calibri" w:cs="Calibri"/>
          <w:color w:val="auto"/>
          <w:szCs w:val="20"/>
          <w:lang w:val="en-US"/>
        </w:rPr>
        <w:t>Notices</w:t>
      </w:r>
    </w:p>
    <w:p w14:paraId="59C612B9" w14:textId="77777777" w:rsidR="009F14D9" w:rsidRPr="00B52D53" w:rsidRDefault="009F14D9" w:rsidP="00DA459B">
      <w:pPr>
        <w:jc w:val="both"/>
        <w:rPr>
          <w:rFonts w:ascii="Calibri" w:hAnsi="Calibri" w:cs="Calibri"/>
          <w:color w:val="auto"/>
          <w:szCs w:val="20"/>
        </w:rPr>
      </w:pPr>
    </w:p>
    <w:p w14:paraId="33C97421" w14:textId="124599B8" w:rsidR="009F14D9" w:rsidRPr="00B52D53" w:rsidRDefault="009F14D9" w:rsidP="00DA459B">
      <w:pPr>
        <w:jc w:val="both"/>
        <w:rPr>
          <w:rFonts w:ascii="Calibri" w:hAnsi="Calibri" w:cs="Calibri"/>
          <w:color w:val="auto"/>
          <w:szCs w:val="20"/>
        </w:rPr>
      </w:pPr>
      <w:r w:rsidRPr="00B52D53">
        <w:rPr>
          <w:rFonts w:ascii="Calibri" w:hAnsi="Calibri" w:cs="Calibri"/>
          <w:color w:val="auto"/>
          <w:szCs w:val="20"/>
        </w:rPr>
        <w:t>Which of the following statements about Rules, Regulations and Guidelines under the SFA is TRUE?</w:t>
      </w:r>
    </w:p>
    <w:p w14:paraId="08CA5C91" w14:textId="619EEC52" w:rsidR="009F14D9" w:rsidRPr="00B52D53" w:rsidRDefault="009F14D9" w:rsidP="00DA459B">
      <w:pPr>
        <w:pStyle w:val="ListParagraph"/>
        <w:numPr>
          <w:ilvl w:val="0"/>
          <w:numId w:val="34"/>
        </w:numPr>
        <w:jc w:val="both"/>
        <w:rPr>
          <w:rFonts w:ascii="Calibri" w:hAnsi="Calibri" w:cs="Calibri"/>
          <w:color w:val="auto"/>
          <w:szCs w:val="20"/>
          <w:lang w:val="en-US"/>
        </w:rPr>
      </w:pPr>
      <w:r w:rsidRPr="00B52D53">
        <w:rPr>
          <w:rFonts w:ascii="Calibri" w:hAnsi="Calibri" w:cs="Calibri"/>
          <w:color w:val="auto"/>
          <w:szCs w:val="20"/>
          <w:lang w:val="en-US"/>
        </w:rPr>
        <w:t>Guidelines primarily impose legally binding requirements on a specified class of financial institutions or persons</w:t>
      </w:r>
    </w:p>
    <w:p w14:paraId="3CC224FA" w14:textId="77777777" w:rsidR="009F14D9" w:rsidRPr="00B52D53" w:rsidRDefault="009F14D9" w:rsidP="00DA459B">
      <w:pPr>
        <w:pStyle w:val="ListParagraph"/>
        <w:numPr>
          <w:ilvl w:val="0"/>
          <w:numId w:val="34"/>
        </w:numPr>
        <w:jc w:val="both"/>
        <w:rPr>
          <w:rFonts w:ascii="Calibri" w:hAnsi="Calibri" w:cs="Calibri"/>
          <w:color w:val="auto"/>
          <w:szCs w:val="20"/>
          <w:lang w:val="en-US"/>
        </w:rPr>
      </w:pPr>
      <w:r w:rsidRPr="00B52D53">
        <w:rPr>
          <w:rFonts w:ascii="Calibri" w:hAnsi="Calibri" w:cs="Calibri"/>
          <w:color w:val="auto"/>
          <w:szCs w:val="20"/>
          <w:lang w:val="en-US"/>
        </w:rPr>
        <w:t>Notices do not have the force of law.</w:t>
      </w:r>
    </w:p>
    <w:p w14:paraId="72CC4D0C" w14:textId="77777777" w:rsidR="009F14D9" w:rsidRPr="00B52D53" w:rsidRDefault="009F14D9" w:rsidP="00DA459B">
      <w:pPr>
        <w:pStyle w:val="ListParagraph"/>
        <w:numPr>
          <w:ilvl w:val="0"/>
          <w:numId w:val="34"/>
        </w:numPr>
        <w:jc w:val="both"/>
        <w:rPr>
          <w:rFonts w:ascii="Calibri" w:hAnsi="Calibri" w:cs="Calibri"/>
          <w:color w:val="auto"/>
          <w:szCs w:val="20"/>
          <w:lang w:val="en-US"/>
        </w:rPr>
      </w:pPr>
      <w:r w:rsidRPr="00B52D53">
        <w:rPr>
          <w:rFonts w:ascii="Calibri" w:hAnsi="Calibri" w:cs="Calibri"/>
          <w:color w:val="auto"/>
          <w:szCs w:val="20"/>
          <w:lang w:val="en-US"/>
        </w:rPr>
        <w:t>Codes set out principles or "best practice standards" that govern the conduct of specified institutions or persons.</w:t>
      </w:r>
    </w:p>
    <w:p w14:paraId="4183BB39" w14:textId="4750B7CD" w:rsidR="009F14D9" w:rsidRPr="00B52D53" w:rsidRDefault="009F14D9" w:rsidP="00DA459B">
      <w:pPr>
        <w:pStyle w:val="ListParagraph"/>
        <w:numPr>
          <w:ilvl w:val="0"/>
          <w:numId w:val="34"/>
        </w:numPr>
        <w:jc w:val="both"/>
        <w:rPr>
          <w:rFonts w:ascii="Calibri" w:hAnsi="Calibri" w:cs="Calibri"/>
          <w:color w:val="auto"/>
          <w:szCs w:val="20"/>
          <w:lang w:val="en-US"/>
        </w:rPr>
      </w:pPr>
      <w:r w:rsidRPr="00B52D53">
        <w:rPr>
          <w:rFonts w:ascii="Calibri" w:hAnsi="Calibri" w:cs="Calibri"/>
          <w:color w:val="auto"/>
          <w:szCs w:val="20"/>
          <w:lang w:val="en-US"/>
        </w:rPr>
        <w:t xml:space="preserve">Practice </w:t>
      </w:r>
      <w:r w:rsidR="00D9170C" w:rsidRPr="00B52D53">
        <w:rPr>
          <w:rFonts w:ascii="Calibri" w:hAnsi="Calibri" w:cs="Calibri"/>
          <w:color w:val="auto"/>
          <w:szCs w:val="20"/>
          <w:lang w:val="en-US"/>
        </w:rPr>
        <w:t>N</w:t>
      </w:r>
      <w:r w:rsidRPr="00B52D53">
        <w:rPr>
          <w:rFonts w:ascii="Calibri" w:hAnsi="Calibri" w:cs="Calibri"/>
          <w:color w:val="auto"/>
          <w:szCs w:val="20"/>
          <w:lang w:val="en-US"/>
        </w:rPr>
        <w:t>otes issued by MAS are meant to guide specified institutions or persons on admin procedures related to certain matters.</w:t>
      </w:r>
    </w:p>
    <w:p w14:paraId="09EAC9D5" w14:textId="77777777" w:rsidR="009F14D9" w:rsidRPr="00B52D53" w:rsidRDefault="009F14D9" w:rsidP="00DA459B">
      <w:pPr>
        <w:jc w:val="both"/>
        <w:rPr>
          <w:rFonts w:ascii="Calibri" w:hAnsi="Calibri" w:cs="Calibri"/>
          <w:color w:val="auto"/>
          <w:szCs w:val="20"/>
        </w:rPr>
      </w:pPr>
    </w:p>
    <w:p w14:paraId="12DC67AA" w14:textId="73582375" w:rsidR="00D9170C" w:rsidRPr="00B52D53" w:rsidRDefault="00D9170C" w:rsidP="00DA459B">
      <w:pPr>
        <w:jc w:val="both"/>
        <w:rPr>
          <w:rFonts w:ascii="Calibri" w:hAnsi="Calibri" w:cs="Calibri"/>
          <w:color w:val="auto"/>
          <w:szCs w:val="20"/>
        </w:rPr>
      </w:pPr>
      <w:r w:rsidRPr="00B52D53">
        <w:rPr>
          <w:rFonts w:ascii="Calibri" w:hAnsi="Calibri" w:cs="Calibri"/>
          <w:color w:val="auto"/>
          <w:szCs w:val="20"/>
        </w:rPr>
        <w:t>Which of the following has the force of law that financial institutions or other specified persons </w:t>
      </w:r>
      <w:proofErr w:type="gramStart"/>
      <w:r w:rsidRPr="00B52D53">
        <w:rPr>
          <w:rFonts w:ascii="Calibri" w:hAnsi="Calibri" w:cs="Calibri"/>
          <w:color w:val="auto"/>
          <w:szCs w:val="20"/>
        </w:rPr>
        <w:t>have to</w:t>
      </w:r>
      <w:proofErr w:type="gramEnd"/>
      <w:r w:rsidRPr="00B52D53">
        <w:rPr>
          <w:rFonts w:ascii="Calibri" w:hAnsi="Calibri" w:cs="Calibri"/>
          <w:color w:val="auto"/>
          <w:szCs w:val="20"/>
        </w:rPr>
        <w:t> adhere to?</w:t>
      </w:r>
    </w:p>
    <w:p w14:paraId="51E34E8F" w14:textId="77777777" w:rsidR="00D9170C" w:rsidRPr="00B52D53" w:rsidRDefault="00D9170C" w:rsidP="00DA459B">
      <w:pPr>
        <w:pStyle w:val="ListParagraph"/>
        <w:numPr>
          <w:ilvl w:val="0"/>
          <w:numId w:val="35"/>
        </w:numPr>
        <w:jc w:val="both"/>
        <w:rPr>
          <w:rFonts w:ascii="Calibri" w:hAnsi="Calibri" w:cs="Calibri"/>
          <w:color w:val="auto"/>
          <w:szCs w:val="20"/>
          <w:lang w:val="en-US"/>
        </w:rPr>
      </w:pPr>
      <w:r w:rsidRPr="00B52D53">
        <w:rPr>
          <w:rFonts w:ascii="Calibri" w:hAnsi="Calibri" w:cs="Calibri"/>
          <w:color w:val="auto"/>
          <w:szCs w:val="20"/>
          <w:lang w:val="en-US"/>
        </w:rPr>
        <w:t>Practice Notes</w:t>
      </w:r>
    </w:p>
    <w:p w14:paraId="6BE740F0" w14:textId="77777777" w:rsidR="00D9170C" w:rsidRPr="00B52D53" w:rsidRDefault="00D9170C" w:rsidP="00DA459B">
      <w:pPr>
        <w:pStyle w:val="ListParagraph"/>
        <w:numPr>
          <w:ilvl w:val="0"/>
          <w:numId w:val="35"/>
        </w:numPr>
        <w:jc w:val="both"/>
        <w:rPr>
          <w:rFonts w:ascii="Calibri" w:hAnsi="Calibri" w:cs="Calibri"/>
          <w:color w:val="auto"/>
          <w:szCs w:val="20"/>
          <w:lang w:val="en-US"/>
        </w:rPr>
      </w:pPr>
      <w:r w:rsidRPr="00B52D53">
        <w:rPr>
          <w:rFonts w:ascii="Calibri" w:hAnsi="Calibri" w:cs="Calibri"/>
          <w:color w:val="auto"/>
          <w:szCs w:val="20"/>
          <w:lang w:val="en-US"/>
        </w:rPr>
        <w:t>Subsidiary Legislation</w:t>
      </w:r>
    </w:p>
    <w:p w14:paraId="40A69D44" w14:textId="77777777" w:rsidR="00D9170C" w:rsidRPr="00B52D53" w:rsidRDefault="00D9170C" w:rsidP="00DA459B">
      <w:pPr>
        <w:pStyle w:val="ListParagraph"/>
        <w:numPr>
          <w:ilvl w:val="0"/>
          <w:numId w:val="35"/>
        </w:numPr>
        <w:jc w:val="both"/>
        <w:rPr>
          <w:rFonts w:ascii="Calibri" w:hAnsi="Calibri" w:cs="Calibri"/>
          <w:color w:val="auto"/>
          <w:szCs w:val="20"/>
          <w:lang w:val="en-US"/>
        </w:rPr>
      </w:pPr>
      <w:r w:rsidRPr="00B52D53">
        <w:rPr>
          <w:rFonts w:ascii="Calibri" w:hAnsi="Calibri" w:cs="Calibri"/>
          <w:color w:val="auto"/>
          <w:szCs w:val="20"/>
          <w:lang w:val="en-US"/>
        </w:rPr>
        <w:t>Guidelines</w:t>
      </w:r>
    </w:p>
    <w:p w14:paraId="49C2F043" w14:textId="4F99217D" w:rsidR="00D9170C" w:rsidRPr="00B52D53" w:rsidRDefault="00D9170C" w:rsidP="00DA459B">
      <w:pPr>
        <w:pStyle w:val="ListParagraph"/>
        <w:numPr>
          <w:ilvl w:val="0"/>
          <w:numId w:val="35"/>
        </w:numPr>
        <w:jc w:val="both"/>
        <w:rPr>
          <w:rFonts w:ascii="Calibri" w:hAnsi="Calibri" w:cs="Calibri"/>
          <w:color w:val="auto"/>
          <w:szCs w:val="20"/>
          <w:lang w:val="en-US"/>
        </w:rPr>
      </w:pPr>
      <w:r w:rsidRPr="00B52D53">
        <w:rPr>
          <w:rFonts w:ascii="Calibri" w:hAnsi="Calibri" w:cs="Calibri"/>
          <w:color w:val="auto"/>
          <w:szCs w:val="20"/>
          <w:lang w:val="en-US"/>
        </w:rPr>
        <w:t>Codes</w:t>
      </w:r>
    </w:p>
    <w:p w14:paraId="42C56F0D" w14:textId="77777777" w:rsidR="00D9170C" w:rsidRPr="00B52D53" w:rsidRDefault="00D9170C" w:rsidP="00DA459B">
      <w:pPr>
        <w:jc w:val="both"/>
        <w:rPr>
          <w:rFonts w:ascii="Calibri" w:hAnsi="Calibri" w:cs="Calibri"/>
          <w:color w:val="auto"/>
          <w:szCs w:val="20"/>
        </w:rPr>
      </w:pPr>
    </w:p>
    <w:p w14:paraId="23852031" w14:textId="2E889636" w:rsidR="00D9170C" w:rsidRPr="00B52D53" w:rsidRDefault="00D9170C" w:rsidP="00DA459B">
      <w:pPr>
        <w:jc w:val="both"/>
        <w:rPr>
          <w:rFonts w:ascii="Calibri" w:hAnsi="Calibri" w:cs="Calibri"/>
          <w:b/>
          <w:bCs/>
          <w:color w:val="auto"/>
          <w:szCs w:val="20"/>
        </w:rPr>
      </w:pPr>
      <w:r w:rsidRPr="00B52D53">
        <w:rPr>
          <w:rFonts w:ascii="Calibri" w:hAnsi="Calibri" w:cs="Calibri"/>
          <w:b/>
          <w:bCs/>
          <w:color w:val="auto"/>
          <w:szCs w:val="20"/>
        </w:rPr>
        <w:t>Chapter 3 – Licensing Requirements for Fund Management</w:t>
      </w:r>
    </w:p>
    <w:p w14:paraId="13D88817" w14:textId="6B867B18" w:rsidR="00151951" w:rsidRPr="00B52D53" w:rsidRDefault="00151951" w:rsidP="00DA459B">
      <w:pPr>
        <w:jc w:val="both"/>
        <w:rPr>
          <w:rFonts w:ascii="Calibri" w:hAnsi="Calibri" w:cs="Calibri"/>
          <w:color w:val="auto"/>
          <w:szCs w:val="20"/>
        </w:rPr>
      </w:pPr>
      <w:r w:rsidRPr="00B52D53">
        <w:rPr>
          <w:rFonts w:ascii="Calibri" w:hAnsi="Calibri" w:cs="Calibri"/>
          <w:color w:val="auto"/>
          <w:szCs w:val="20"/>
        </w:rPr>
        <w:lastRenderedPageBreak/>
        <w:t>John is 30 years old and sat for GCE O Level Examination in 2013. Which of the following achievements will help him meet the required educational qualifications?</w:t>
      </w:r>
    </w:p>
    <w:p w14:paraId="2B0933FD" w14:textId="77777777" w:rsidR="00151951" w:rsidRPr="00B52D53" w:rsidRDefault="00151951" w:rsidP="00DA459B">
      <w:pPr>
        <w:pStyle w:val="ListParagraph"/>
        <w:numPr>
          <w:ilvl w:val="0"/>
          <w:numId w:val="36"/>
        </w:numPr>
        <w:jc w:val="both"/>
        <w:rPr>
          <w:rFonts w:ascii="Calibri" w:hAnsi="Calibri" w:cs="Calibri"/>
          <w:color w:val="auto"/>
          <w:szCs w:val="20"/>
          <w:lang w:val="en-US"/>
        </w:rPr>
      </w:pPr>
      <w:r w:rsidRPr="00B52D53">
        <w:rPr>
          <w:rFonts w:ascii="Calibri" w:hAnsi="Calibri" w:cs="Calibri"/>
          <w:color w:val="auto"/>
          <w:szCs w:val="20"/>
          <w:lang w:val="en-US"/>
        </w:rPr>
        <w:t>4 GCE O Level credit passes.</w:t>
      </w:r>
    </w:p>
    <w:p w14:paraId="6BE5E030" w14:textId="38FDA984" w:rsidR="00151951" w:rsidRPr="00B52D53" w:rsidRDefault="00151951" w:rsidP="00DA459B">
      <w:pPr>
        <w:pStyle w:val="ListParagraph"/>
        <w:numPr>
          <w:ilvl w:val="0"/>
          <w:numId w:val="36"/>
        </w:numPr>
        <w:jc w:val="both"/>
        <w:rPr>
          <w:rFonts w:ascii="Calibri" w:hAnsi="Calibri" w:cs="Calibri"/>
          <w:color w:val="auto"/>
          <w:szCs w:val="20"/>
          <w:lang w:val="en-US"/>
        </w:rPr>
      </w:pPr>
      <w:r w:rsidRPr="00B52D53">
        <w:rPr>
          <w:rFonts w:ascii="Calibri" w:hAnsi="Calibri" w:cs="Calibri"/>
          <w:color w:val="auto"/>
          <w:szCs w:val="20"/>
          <w:lang w:val="en-US"/>
        </w:rPr>
        <w:t>2 GCE O Level credit passes with 4 years of relevant and continuous work experience over the past 5 years in respect of the regulated activity</w:t>
      </w:r>
    </w:p>
    <w:p w14:paraId="663CD50F" w14:textId="49B6AF43" w:rsidR="00151951" w:rsidRPr="00B52D53" w:rsidRDefault="00151951" w:rsidP="00DA459B">
      <w:pPr>
        <w:pStyle w:val="ListParagraph"/>
        <w:numPr>
          <w:ilvl w:val="0"/>
          <w:numId w:val="36"/>
        </w:numPr>
        <w:jc w:val="both"/>
        <w:rPr>
          <w:rFonts w:ascii="Calibri" w:hAnsi="Calibri" w:cs="Calibri"/>
          <w:color w:val="auto"/>
          <w:szCs w:val="20"/>
          <w:lang w:val="en-US"/>
        </w:rPr>
      </w:pPr>
      <w:r w:rsidRPr="00B52D53">
        <w:rPr>
          <w:rFonts w:ascii="Calibri" w:hAnsi="Calibri" w:cs="Calibri"/>
          <w:color w:val="auto"/>
          <w:szCs w:val="20"/>
          <w:lang w:val="en-US"/>
        </w:rPr>
        <w:t>3 GCE O Level credit passes with 4 years of relevant and continuous work experience over the past 5 years in respect of the regulated activity</w:t>
      </w:r>
    </w:p>
    <w:p w14:paraId="5B76AAA9" w14:textId="6E39440E" w:rsidR="00151951" w:rsidRPr="00B52D53" w:rsidRDefault="00151951" w:rsidP="00DA459B">
      <w:pPr>
        <w:pStyle w:val="ListParagraph"/>
        <w:numPr>
          <w:ilvl w:val="0"/>
          <w:numId w:val="36"/>
        </w:numPr>
        <w:jc w:val="both"/>
        <w:rPr>
          <w:rFonts w:ascii="Calibri" w:hAnsi="Calibri" w:cs="Calibri"/>
          <w:color w:val="auto"/>
          <w:szCs w:val="20"/>
          <w:lang w:val="en-US"/>
        </w:rPr>
      </w:pPr>
      <w:r w:rsidRPr="00B52D53">
        <w:rPr>
          <w:rFonts w:ascii="Calibri" w:hAnsi="Calibri" w:cs="Calibri"/>
          <w:color w:val="auto"/>
          <w:szCs w:val="20"/>
          <w:lang w:val="en-US"/>
        </w:rPr>
        <w:t>2 GCE O Level credit passes.</w:t>
      </w:r>
    </w:p>
    <w:p w14:paraId="604CC491" w14:textId="77777777" w:rsidR="00151951" w:rsidRPr="00B52D53" w:rsidRDefault="00151951" w:rsidP="00DA459B">
      <w:pPr>
        <w:jc w:val="both"/>
        <w:rPr>
          <w:rFonts w:ascii="Calibri" w:hAnsi="Calibri" w:cs="Calibri"/>
          <w:color w:val="auto"/>
          <w:szCs w:val="20"/>
        </w:rPr>
      </w:pPr>
    </w:p>
    <w:p w14:paraId="1E87FEB8" w14:textId="68C3EAB5" w:rsidR="00AE6E4C" w:rsidRPr="00B52D53" w:rsidRDefault="00151951" w:rsidP="00DA459B">
      <w:pPr>
        <w:jc w:val="both"/>
        <w:rPr>
          <w:rFonts w:ascii="Calibri" w:hAnsi="Calibri" w:cs="Calibri"/>
          <w:color w:val="auto"/>
          <w:szCs w:val="20"/>
        </w:rPr>
      </w:pPr>
      <w:r w:rsidRPr="00B52D53">
        <w:rPr>
          <w:rFonts w:ascii="Calibri" w:hAnsi="Calibri" w:cs="Calibri"/>
          <w:color w:val="auto"/>
          <w:szCs w:val="20"/>
        </w:rPr>
        <w:t>John is an appointed representative for PQR Limited (a CMSL holder). John can apply to the MAS to simultaneously act as an appointed representative for which of the following entities? Presume that the other entity is also a CMSL holder for the same regulated activity.</w:t>
      </w:r>
    </w:p>
    <w:p w14:paraId="7EFF2DAB" w14:textId="59673E0A" w:rsidR="00AE6E4C" w:rsidRPr="00B52D53" w:rsidRDefault="00AE6E4C"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6549283C" w14:textId="77777777" w:rsidR="00151951" w:rsidRPr="00B52D53" w:rsidRDefault="00151951" w:rsidP="00DA459B">
      <w:pPr>
        <w:pStyle w:val="ListParagraph"/>
        <w:numPr>
          <w:ilvl w:val="0"/>
          <w:numId w:val="37"/>
        </w:numPr>
        <w:jc w:val="both"/>
        <w:rPr>
          <w:rFonts w:ascii="Calibri" w:hAnsi="Calibri" w:cs="Calibri"/>
          <w:color w:val="auto"/>
          <w:szCs w:val="20"/>
          <w:lang w:val="en-US"/>
        </w:rPr>
      </w:pPr>
      <w:r w:rsidRPr="00B52D53">
        <w:rPr>
          <w:rFonts w:ascii="Calibri" w:hAnsi="Calibri" w:cs="Calibri"/>
          <w:color w:val="auto"/>
          <w:szCs w:val="20"/>
          <w:lang w:val="en-US"/>
        </w:rPr>
        <w:t>PQR's subsidiary.</w:t>
      </w:r>
    </w:p>
    <w:p w14:paraId="060211EB" w14:textId="77777777" w:rsidR="00151951" w:rsidRPr="00B52D53" w:rsidRDefault="00151951" w:rsidP="00DA459B">
      <w:pPr>
        <w:pStyle w:val="ListParagraph"/>
        <w:numPr>
          <w:ilvl w:val="0"/>
          <w:numId w:val="37"/>
        </w:numPr>
        <w:jc w:val="both"/>
        <w:rPr>
          <w:rFonts w:ascii="Calibri" w:hAnsi="Calibri" w:cs="Calibri"/>
          <w:color w:val="auto"/>
          <w:szCs w:val="20"/>
          <w:lang w:val="en-US"/>
        </w:rPr>
      </w:pPr>
      <w:r w:rsidRPr="00B52D53">
        <w:rPr>
          <w:rFonts w:ascii="Calibri" w:hAnsi="Calibri" w:cs="Calibri"/>
          <w:color w:val="auto"/>
          <w:szCs w:val="20"/>
          <w:lang w:val="en-US"/>
        </w:rPr>
        <w:t>PQR's holding company.</w:t>
      </w:r>
    </w:p>
    <w:p w14:paraId="28581F63" w14:textId="77777777" w:rsidR="00151951" w:rsidRPr="00B52D53" w:rsidRDefault="00151951" w:rsidP="00DA459B">
      <w:pPr>
        <w:pStyle w:val="ListParagraph"/>
        <w:numPr>
          <w:ilvl w:val="0"/>
          <w:numId w:val="37"/>
        </w:numPr>
        <w:jc w:val="both"/>
        <w:rPr>
          <w:rFonts w:ascii="Calibri" w:hAnsi="Calibri" w:cs="Calibri"/>
          <w:color w:val="auto"/>
          <w:szCs w:val="20"/>
          <w:lang w:val="en-US"/>
        </w:rPr>
      </w:pPr>
      <w:r w:rsidRPr="00B52D53">
        <w:rPr>
          <w:rFonts w:ascii="Calibri" w:hAnsi="Calibri" w:cs="Calibri"/>
          <w:color w:val="auto"/>
          <w:szCs w:val="20"/>
          <w:lang w:val="en-US"/>
        </w:rPr>
        <w:t>PQR's substantial shareholder company.</w:t>
      </w:r>
    </w:p>
    <w:p w14:paraId="7C649192" w14:textId="01294C13" w:rsidR="00151951" w:rsidRPr="00B52D53" w:rsidRDefault="00151951" w:rsidP="00DA459B">
      <w:pPr>
        <w:pStyle w:val="ListParagraph"/>
        <w:numPr>
          <w:ilvl w:val="0"/>
          <w:numId w:val="37"/>
        </w:numPr>
        <w:jc w:val="both"/>
        <w:rPr>
          <w:rFonts w:ascii="Calibri" w:hAnsi="Calibri" w:cs="Calibri"/>
          <w:color w:val="auto"/>
          <w:szCs w:val="20"/>
          <w:lang w:val="en-US"/>
        </w:rPr>
      </w:pPr>
      <w:r w:rsidRPr="00B52D53">
        <w:rPr>
          <w:rFonts w:ascii="Calibri" w:hAnsi="Calibri" w:cs="Calibri"/>
          <w:color w:val="auto"/>
          <w:szCs w:val="20"/>
          <w:lang w:val="en-US"/>
        </w:rPr>
        <w:t>A company that is a subsidiary of PQR's holding company.</w:t>
      </w:r>
    </w:p>
    <w:p w14:paraId="3ADF3877" w14:textId="77777777" w:rsidR="00151951" w:rsidRPr="00B52D53" w:rsidRDefault="00151951" w:rsidP="00DA459B">
      <w:pPr>
        <w:jc w:val="both"/>
        <w:rPr>
          <w:rFonts w:ascii="Calibri" w:hAnsi="Calibri" w:cs="Calibri"/>
          <w:color w:val="auto"/>
          <w:szCs w:val="20"/>
        </w:rPr>
      </w:pPr>
    </w:p>
    <w:p w14:paraId="6FA8343C" w14:textId="0A737C67" w:rsidR="00151951" w:rsidRPr="00B52D53" w:rsidRDefault="00151951" w:rsidP="00DA459B">
      <w:pPr>
        <w:jc w:val="both"/>
        <w:rPr>
          <w:rFonts w:ascii="Calibri" w:hAnsi="Calibri" w:cs="Calibri"/>
          <w:color w:val="auto"/>
          <w:szCs w:val="20"/>
        </w:rPr>
      </w:pPr>
      <w:r w:rsidRPr="00B52D53">
        <w:rPr>
          <w:rFonts w:ascii="Calibri" w:hAnsi="Calibri" w:cs="Calibri"/>
          <w:color w:val="auto"/>
          <w:szCs w:val="20"/>
        </w:rPr>
        <w:t xml:space="preserve">John and Jane work as appointed representatives for LMN Bank. LMN deals in capital market products. John fails to pay a personal loan and receives a court order to pay the lender. Jane is suspended because she has violated LMN's internal code of conduct. LMN discovered that its ex-representative Julie was involved in insider trading. Julie had resigned from LMN to join another CMSL holder 9 months ago. In this context, LMN: </w:t>
      </w:r>
    </w:p>
    <w:p w14:paraId="12E756F6" w14:textId="77777777" w:rsidR="00151951" w:rsidRPr="00B52D53" w:rsidRDefault="00151951" w:rsidP="00DA459B">
      <w:pPr>
        <w:pStyle w:val="ListParagraph"/>
        <w:numPr>
          <w:ilvl w:val="0"/>
          <w:numId w:val="38"/>
        </w:numPr>
        <w:jc w:val="both"/>
        <w:rPr>
          <w:rFonts w:ascii="Calibri" w:hAnsi="Calibri" w:cs="Calibri"/>
          <w:color w:val="auto"/>
          <w:szCs w:val="20"/>
          <w:lang w:val="en-US"/>
        </w:rPr>
      </w:pPr>
      <w:r w:rsidRPr="00B52D53">
        <w:rPr>
          <w:rFonts w:ascii="Calibri" w:hAnsi="Calibri" w:cs="Calibri"/>
          <w:color w:val="auto"/>
          <w:szCs w:val="20"/>
          <w:lang w:val="en-US"/>
        </w:rPr>
        <w:t>Need not file a Report on Misconduct of Representative for Jane because it is a violation of the internal code of conduct leading to suspension, not termination.</w:t>
      </w:r>
    </w:p>
    <w:p w14:paraId="39D10AC9" w14:textId="0CA66CF0" w:rsidR="00151951" w:rsidRPr="00B52D53" w:rsidRDefault="00151951" w:rsidP="00DA459B">
      <w:pPr>
        <w:pStyle w:val="ListParagraph"/>
        <w:numPr>
          <w:ilvl w:val="0"/>
          <w:numId w:val="38"/>
        </w:numPr>
        <w:jc w:val="both"/>
        <w:rPr>
          <w:rFonts w:ascii="Calibri" w:hAnsi="Calibri" w:cs="Calibri"/>
          <w:color w:val="auto"/>
          <w:szCs w:val="20"/>
          <w:lang w:val="en-US"/>
        </w:rPr>
      </w:pPr>
      <w:r w:rsidRPr="00B52D53">
        <w:rPr>
          <w:rFonts w:ascii="Calibri" w:hAnsi="Calibri" w:cs="Calibri"/>
          <w:color w:val="auto"/>
          <w:szCs w:val="20"/>
          <w:lang w:val="en-US"/>
        </w:rPr>
        <w:t>Must file a Report on Misconduct of Representative for John to the MAS within 21 days of the date when it discovered that John ceased to be fit and proper.</w:t>
      </w:r>
    </w:p>
    <w:p w14:paraId="53F99F4B" w14:textId="744A3794" w:rsidR="00151951" w:rsidRPr="00B52D53" w:rsidRDefault="00151951" w:rsidP="00DA459B">
      <w:pPr>
        <w:pStyle w:val="ListParagraph"/>
        <w:numPr>
          <w:ilvl w:val="0"/>
          <w:numId w:val="38"/>
        </w:numPr>
        <w:jc w:val="both"/>
        <w:rPr>
          <w:rFonts w:ascii="Calibri" w:hAnsi="Calibri" w:cs="Calibri"/>
          <w:color w:val="auto"/>
          <w:szCs w:val="20"/>
          <w:lang w:val="en-US"/>
        </w:rPr>
      </w:pPr>
      <w:r w:rsidRPr="00B52D53">
        <w:rPr>
          <w:rFonts w:ascii="Calibri" w:hAnsi="Calibri" w:cs="Calibri"/>
          <w:color w:val="auto"/>
          <w:szCs w:val="20"/>
          <w:lang w:val="en-US"/>
        </w:rPr>
        <w:t>Must file a Report on Misconduct of Representative for Julie to the MAS within 14 days of the date when it discovered that John ceased to be fit and proper.</w:t>
      </w:r>
    </w:p>
    <w:p w14:paraId="02BBB42B" w14:textId="01A092D7" w:rsidR="00151951" w:rsidRPr="00B52D53" w:rsidRDefault="00151951" w:rsidP="00DA459B">
      <w:pPr>
        <w:pStyle w:val="ListParagraph"/>
        <w:numPr>
          <w:ilvl w:val="0"/>
          <w:numId w:val="38"/>
        </w:numPr>
        <w:jc w:val="both"/>
        <w:rPr>
          <w:rFonts w:ascii="Calibri" w:hAnsi="Calibri" w:cs="Calibri"/>
          <w:color w:val="auto"/>
          <w:szCs w:val="20"/>
          <w:lang w:val="en-US"/>
        </w:rPr>
      </w:pPr>
      <w:r w:rsidRPr="00B52D53">
        <w:rPr>
          <w:rFonts w:ascii="Calibri" w:hAnsi="Calibri" w:cs="Calibri"/>
          <w:color w:val="auto"/>
          <w:szCs w:val="20"/>
          <w:lang w:val="en-US"/>
        </w:rPr>
        <w:t>LMN need not file the Report on Misconduct of Representative for any of the representatives because it is an exempt institution.</w:t>
      </w:r>
    </w:p>
    <w:p w14:paraId="513427AA" w14:textId="77777777" w:rsidR="00151951" w:rsidRPr="00B52D53" w:rsidRDefault="00151951" w:rsidP="00DA459B">
      <w:pPr>
        <w:jc w:val="both"/>
        <w:rPr>
          <w:rFonts w:ascii="Calibri" w:hAnsi="Calibri" w:cs="Calibri"/>
          <w:color w:val="auto"/>
          <w:szCs w:val="20"/>
          <w:lang w:val="en-US"/>
        </w:rPr>
      </w:pPr>
    </w:p>
    <w:p w14:paraId="249FDC9A" w14:textId="147FBBB7" w:rsidR="00151951" w:rsidRPr="00B52D53" w:rsidRDefault="00151951" w:rsidP="00DA459B">
      <w:pPr>
        <w:jc w:val="both"/>
        <w:rPr>
          <w:rFonts w:ascii="Calibri" w:hAnsi="Calibri" w:cs="Calibri"/>
          <w:color w:val="auto"/>
          <w:szCs w:val="20"/>
        </w:rPr>
      </w:pPr>
      <w:r w:rsidRPr="00B52D53">
        <w:rPr>
          <w:rFonts w:ascii="Calibri" w:hAnsi="Calibri" w:cs="Calibri"/>
          <w:color w:val="auto"/>
          <w:szCs w:val="20"/>
          <w:lang w:val="en-US"/>
        </w:rPr>
        <w:t xml:space="preserve">An </w:t>
      </w:r>
      <w:r w:rsidRPr="00B52D53">
        <w:rPr>
          <w:rFonts w:ascii="Calibri" w:hAnsi="Calibri" w:cs="Calibri"/>
          <w:color w:val="auto"/>
          <w:szCs w:val="20"/>
        </w:rPr>
        <w:t>appointed, provisional or temporary representative is required to inform _ of any change in his residential address or other personal particulars within _ after the date of change of the particulars.</w:t>
      </w:r>
    </w:p>
    <w:p w14:paraId="4F7CA897" w14:textId="77777777" w:rsidR="004567B3" w:rsidRPr="00B52D53" w:rsidRDefault="004567B3" w:rsidP="00DA459B">
      <w:pPr>
        <w:pStyle w:val="ListParagraph"/>
        <w:numPr>
          <w:ilvl w:val="0"/>
          <w:numId w:val="39"/>
        </w:numPr>
        <w:jc w:val="both"/>
        <w:rPr>
          <w:rFonts w:ascii="Calibri" w:hAnsi="Calibri" w:cs="Calibri"/>
          <w:color w:val="auto"/>
          <w:szCs w:val="20"/>
          <w:lang w:val="en-US"/>
        </w:rPr>
      </w:pPr>
      <w:r w:rsidRPr="00B52D53">
        <w:rPr>
          <w:rFonts w:ascii="Calibri" w:hAnsi="Calibri" w:cs="Calibri"/>
          <w:color w:val="auto"/>
          <w:szCs w:val="20"/>
          <w:lang w:val="en-US"/>
        </w:rPr>
        <w:t>his principal company; 7 days</w:t>
      </w:r>
    </w:p>
    <w:p w14:paraId="7DA21627" w14:textId="77777777" w:rsidR="004567B3" w:rsidRPr="00B52D53" w:rsidRDefault="004567B3" w:rsidP="00DA459B">
      <w:pPr>
        <w:pStyle w:val="ListParagraph"/>
        <w:numPr>
          <w:ilvl w:val="0"/>
          <w:numId w:val="39"/>
        </w:numPr>
        <w:jc w:val="both"/>
        <w:rPr>
          <w:rFonts w:ascii="Calibri" w:hAnsi="Calibri" w:cs="Calibri"/>
          <w:color w:val="auto"/>
          <w:szCs w:val="20"/>
          <w:lang w:val="en-US"/>
        </w:rPr>
      </w:pPr>
      <w:r w:rsidRPr="00B52D53">
        <w:rPr>
          <w:rFonts w:ascii="Calibri" w:hAnsi="Calibri" w:cs="Calibri"/>
          <w:color w:val="auto"/>
          <w:szCs w:val="20"/>
          <w:lang w:val="en-US"/>
        </w:rPr>
        <w:t>his principal company; 14 days</w:t>
      </w:r>
    </w:p>
    <w:p w14:paraId="5B8F03DC" w14:textId="77777777" w:rsidR="004567B3" w:rsidRPr="00B52D53" w:rsidRDefault="004567B3" w:rsidP="00DA459B">
      <w:pPr>
        <w:pStyle w:val="ListParagraph"/>
        <w:numPr>
          <w:ilvl w:val="0"/>
          <w:numId w:val="39"/>
        </w:numPr>
        <w:jc w:val="both"/>
        <w:rPr>
          <w:rFonts w:ascii="Calibri" w:hAnsi="Calibri" w:cs="Calibri"/>
          <w:color w:val="auto"/>
          <w:szCs w:val="20"/>
          <w:lang w:val="en-US"/>
        </w:rPr>
      </w:pPr>
      <w:r w:rsidRPr="00B52D53">
        <w:rPr>
          <w:rFonts w:ascii="Calibri" w:hAnsi="Calibri" w:cs="Calibri"/>
          <w:color w:val="auto"/>
          <w:szCs w:val="20"/>
          <w:lang w:val="en-US"/>
        </w:rPr>
        <w:t>MAS; 7 days</w:t>
      </w:r>
    </w:p>
    <w:p w14:paraId="7F6C9945" w14:textId="72A2687A" w:rsidR="004567B3" w:rsidRPr="00B52D53" w:rsidRDefault="004567B3" w:rsidP="00DA459B">
      <w:pPr>
        <w:pStyle w:val="ListParagraph"/>
        <w:numPr>
          <w:ilvl w:val="0"/>
          <w:numId w:val="39"/>
        </w:numPr>
        <w:jc w:val="both"/>
        <w:rPr>
          <w:rFonts w:ascii="Calibri" w:hAnsi="Calibri" w:cs="Calibri"/>
          <w:color w:val="auto"/>
          <w:szCs w:val="20"/>
          <w:lang w:val="en-US"/>
        </w:rPr>
      </w:pPr>
      <w:r w:rsidRPr="00B52D53">
        <w:rPr>
          <w:rFonts w:ascii="Calibri" w:hAnsi="Calibri" w:cs="Calibri"/>
          <w:color w:val="auto"/>
          <w:szCs w:val="20"/>
          <w:lang w:val="en-US"/>
        </w:rPr>
        <w:t>MAS; 14 days</w:t>
      </w:r>
    </w:p>
    <w:p w14:paraId="59D9C61A" w14:textId="77777777" w:rsidR="00151951" w:rsidRPr="00B52D53" w:rsidRDefault="00151951" w:rsidP="00DA459B">
      <w:pPr>
        <w:jc w:val="both"/>
        <w:rPr>
          <w:rFonts w:ascii="Calibri" w:hAnsi="Calibri" w:cs="Calibri"/>
          <w:color w:val="auto"/>
          <w:szCs w:val="20"/>
          <w:lang w:val="en-US"/>
        </w:rPr>
      </w:pPr>
    </w:p>
    <w:p w14:paraId="34091F61" w14:textId="308BC23B" w:rsidR="00AE6E4C" w:rsidRPr="00B52D53" w:rsidRDefault="004567B3" w:rsidP="00DA459B">
      <w:pPr>
        <w:jc w:val="both"/>
        <w:rPr>
          <w:rFonts w:ascii="Calibri" w:hAnsi="Calibri" w:cs="Calibri"/>
          <w:color w:val="auto"/>
          <w:szCs w:val="20"/>
        </w:rPr>
      </w:pPr>
      <w:r w:rsidRPr="00B52D53">
        <w:rPr>
          <w:rFonts w:ascii="Calibri" w:hAnsi="Calibri" w:cs="Calibri"/>
          <w:color w:val="auto"/>
          <w:szCs w:val="20"/>
        </w:rPr>
        <w:t>LMN corporation wants to apply for a CMSL for dealing in capital markets products. PQR Corporationis LMN's holding company. Which of the following persons/entities must be "fit and proper" for LMN to be considered for grant of the licence?</w:t>
      </w:r>
    </w:p>
    <w:p w14:paraId="6924637A" w14:textId="3BF7E7FE" w:rsidR="00AE6E4C" w:rsidRPr="00B52D53" w:rsidRDefault="00AE6E4C"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77BBD37A" w14:textId="77777777" w:rsidR="004567B3" w:rsidRPr="00B52D53" w:rsidRDefault="004567B3" w:rsidP="00DA459B">
      <w:pPr>
        <w:pStyle w:val="ListParagraph"/>
        <w:numPr>
          <w:ilvl w:val="0"/>
          <w:numId w:val="40"/>
        </w:numPr>
        <w:jc w:val="both"/>
        <w:rPr>
          <w:rFonts w:ascii="Calibri" w:hAnsi="Calibri" w:cs="Calibri"/>
          <w:color w:val="auto"/>
          <w:szCs w:val="20"/>
          <w:lang w:val="en-US"/>
        </w:rPr>
      </w:pPr>
      <w:r w:rsidRPr="00B52D53">
        <w:rPr>
          <w:rFonts w:ascii="Calibri" w:hAnsi="Calibri" w:cs="Calibri"/>
          <w:color w:val="auto"/>
          <w:szCs w:val="20"/>
          <w:lang w:val="en-US"/>
        </w:rPr>
        <w:t>LMN Corporation</w:t>
      </w:r>
    </w:p>
    <w:p w14:paraId="2106641B" w14:textId="77777777" w:rsidR="004567B3" w:rsidRPr="00B52D53" w:rsidRDefault="004567B3" w:rsidP="00DA459B">
      <w:pPr>
        <w:pStyle w:val="ListParagraph"/>
        <w:numPr>
          <w:ilvl w:val="0"/>
          <w:numId w:val="40"/>
        </w:numPr>
        <w:jc w:val="both"/>
        <w:rPr>
          <w:rFonts w:ascii="Calibri" w:hAnsi="Calibri" w:cs="Calibri"/>
          <w:color w:val="auto"/>
          <w:szCs w:val="20"/>
          <w:lang w:val="en-US"/>
        </w:rPr>
      </w:pPr>
      <w:r w:rsidRPr="00B52D53">
        <w:rPr>
          <w:rFonts w:ascii="Calibri" w:hAnsi="Calibri" w:cs="Calibri"/>
          <w:color w:val="auto"/>
          <w:szCs w:val="20"/>
          <w:lang w:val="en-US"/>
        </w:rPr>
        <w:t>PQR Corporation</w:t>
      </w:r>
    </w:p>
    <w:p w14:paraId="268169FE" w14:textId="77777777" w:rsidR="004567B3" w:rsidRPr="00B52D53" w:rsidRDefault="004567B3" w:rsidP="00DA459B">
      <w:pPr>
        <w:pStyle w:val="ListParagraph"/>
        <w:numPr>
          <w:ilvl w:val="0"/>
          <w:numId w:val="40"/>
        </w:numPr>
        <w:jc w:val="both"/>
        <w:rPr>
          <w:rFonts w:ascii="Calibri" w:hAnsi="Calibri" w:cs="Calibri"/>
          <w:color w:val="auto"/>
          <w:szCs w:val="20"/>
          <w:lang w:val="en-US"/>
        </w:rPr>
      </w:pPr>
      <w:r w:rsidRPr="00B52D53">
        <w:rPr>
          <w:rFonts w:ascii="Calibri" w:hAnsi="Calibri" w:cs="Calibri"/>
          <w:color w:val="auto"/>
          <w:szCs w:val="20"/>
          <w:lang w:val="en-US"/>
        </w:rPr>
        <w:t>Vendors that supply and maintain critical IT infrastructure for LMN</w:t>
      </w:r>
    </w:p>
    <w:p w14:paraId="78F5CE13" w14:textId="12FA46F9" w:rsidR="004567B3" w:rsidRPr="00B52D53" w:rsidRDefault="004567B3" w:rsidP="00DA459B">
      <w:pPr>
        <w:pStyle w:val="ListParagraph"/>
        <w:numPr>
          <w:ilvl w:val="0"/>
          <w:numId w:val="40"/>
        </w:numPr>
        <w:jc w:val="both"/>
        <w:rPr>
          <w:rFonts w:ascii="Calibri" w:hAnsi="Calibri" w:cs="Calibri"/>
          <w:color w:val="auto"/>
          <w:szCs w:val="20"/>
          <w:lang w:val="en-US"/>
        </w:rPr>
      </w:pPr>
      <w:r w:rsidRPr="00B52D53">
        <w:rPr>
          <w:rFonts w:ascii="Calibri" w:hAnsi="Calibri" w:cs="Calibri"/>
          <w:color w:val="auto"/>
          <w:szCs w:val="20"/>
          <w:lang w:val="en-US"/>
        </w:rPr>
        <w:t>LMN's employees</w:t>
      </w:r>
    </w:p>
    <w:p w14:paraId="068CDB10" w14:textId="77777777" w:rsidR="004567B3" w:rsidRPr="00B52D53" w:rsidRDefault="004567B3" w:rsidP="00DA459B">
      <w:pPr>
        <w:jc w:val="both"/>
        <w:rPr>
          <w:rFonts w:ascii="Calibri" w:hAnsi="Calibri" w:cs="Calibri"/>
          <w:color w:val="auto"/>
          <w:szCs w:val="20"/>
        </w:rPr>
      </w:pPr>
    </w:p>
    <w:p w14:paraId="6ABB1786" w14:textId="1FEF0AE3" w:rsidR="00151951" w:rsidRPr="00B52D53" w:rsidRDefault="004567B3"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4 – Conduct of Business for Fund Management</w:t>
      </w:r>
    </w:p>
    <w:p w14:paraId="4B2F1A25" w14:textId="52DF3A88" w:rsidR="00AE6E4C" w:rsidRPr="00B52D53" w:rsidRDefault="004567B3" w:rsidP="00DA459B">
      <w:pPr>
        <w:jc w:val="both"/>
        <w:rPr>
          <w:rFonts w:ascii="Calibri" w:hAnsi="Calibri" w:cs="Calibri"/>
          <w:color w:val="auto"/>
          <w:szCs w:val="20"/>
        </w:rPr>
      </w:pPr>
      <w:r w:rsidRPr="00B52D53">
        <w:rPr>
          <w:rFonts w:ascii="Calibri" w:hAnsi="Calibri" w:cs="Calibri"/>
          <w:color w:val="auto"/>
          <w:szCs w:val="20"/>
        </w:rPr>
        <w:t>John is the CEO of CMSL holder LMN Corporation. John files for bankruptcy. In this context, which of the following statements is TRUE?</w:t>
      </w:r>
    </w:p>
    <w:p w14:paraId="69DD7D1E" w14:textId="77777777" w:rsidR="004567B3" w:rsidRPr="00B52D53" w:rsidRDefault="004567B3" w:rsidP="00DA459B">
      <w:pPr>
        <w:pStyle w:val="ListParagraph"/>
        <w:numPr>
          <w:ilvl w:val="0"/>
          <w:numId w:val="41"/>
        </w:numPr>
        <w:jc w:val="both"/>
        <w:rPr>
          <w:rFonts w:ascii="Calibri" w:hAnsi="Calibri" w:cs="Calibri"/>
          <w:color w:val="auto"/>
          <w:szCs w:val="20"/>
          <w:lang w:val="en-US"/>
        </w:rPr>
      </w:pPr>
      <w:r w:rsidRPr="00B52D53">
        <w:rPr>
          <w:rFonts w:ascii="Calibri" w:hAnsi="Calibri" w:cs="Calibri"/>
          <w:color w:val="auto"/>
          <w:szCs w:val="20"/>
          <w:lang w:val="en-US"/>
        </w:rPr>
        <w:t>MAS has the power of authority to remove John as CEO of LMN.</w:t>
      </w:r>
    </w:p>
    <w:p w14:paraId="4E7CF642" w14:textId="77777777" w:rsidR="004567B3" w:rsidRPr="00B52D53" w:rsidRDefault="004567B3" w:rsidP="00DA459B">
      <w:pPr>
        <w:pStyle w:val="ListParagraph"/>
        <w:numPr>
          <w:ilvl w:val="0"/>
          <w:numId w:val="41"/>
        </w:numPr>
        <w:jc w:val="both"/>
        <w:rPr>
          <w:rFonts w:ascii="Calibri" w:hAnsi="Calibri" w:cs="Calibri"/>
          <w:color w:val="auto"/>
          <w:szCs w:val="20"/>
          <w:lang w:val="en-US"/>
        </w:rPr>
      </w:pPr>
      <w:r w:rsidRPr="00B52D53">
        <w:rPr>
          <w:rFonts w:ascii="Calibri" w:hAnsi="Calibri" w:cs="Calibri"/>
          <w:color w:val="auto"/>
          <w:szCs w:val="20"/>
          <w:lang w:val="en-US"/>
        </w:rPr>
        <w:t>MAS can only suggest that LMN should remove John as its CEO immediately.</w:t>
      </w:r>
    </w:p>
    <w:p w14:paraId="6ED74C76" w14:textId="77777777" w:rsidR="004567B3" w:rsidRPr="00B52D53" w:rsidRDefault="004567B3" w:rsidP="00DA459B">
      <w:pPr>
        <w:pStyle w:val="ListParagraph"/>
        <w:numPr>
          <w:ilvl w:val="0"/>
          <w:numId w:val="41"/>
        </w:numPr>
        <w:jc w:val="both"/>
        <w:rPr>
          <w:rFonts w:ascii="Calibri" w:hAnsi="Calibri" w:cs="Calibri"/>
          <w:color w:val="auto"/>
          <w:szCs w:val="20"/>
          <w:lang w:val="en-US"/>
        </w:rPr>
      </w:pPr>
      <w:r w:rsidRPr="00B52D53">
        <w:rPr>
          <w:rFonts w:ascii="Calibri" w:hAnsi="Calibri" w:cs="Calibri"/>
          <w:color w:val="auto"/>
          <w:szCs w:val="20"/>
          <w:lang w:val="en-US"/>
        </w:rPr>
        <w:t>MAS must obtain a court order to remove John as LMN's CEO.</w:t>
      </w:r>
    </w:p>
    <w:p w14:paraId="34CB3949" w14:textId="1083884E" w:rsidR="004567B3" w:rsidRPr="00B52D53" w:rsidRDefault="004567B3" w:rsidP="00DA459B">
      <w:pPr>
        <w:pStyle w:val="ListParagraph"/>
        <w:numPr>
          <w:ilvl w:val="0"/>
          <w:numId w:val="41"/>
        </w:numPr>
        <w:jc w:val="both"/>
        <w:rPr>
          <w:rFonts w:ascii="Calibri" w:hAnsi="Calibri" w:cs="Calibri"/>
          <w:color w:val="auto"/>
          <w:szCs w:val="20"/>
          <w:lang w:val="en-US"/>
        </w:rPr>
      </w:pPr>
      <w:r w:rsidRPr="00B52D53">
        <w:rPr>
          <w:rFonts w:ascii="Calibri" w:hAnsi="Calibri" w:cs="Calibri"/>
          <w:color w:val="auto"/>
          <w:szCs w:val="20"/>
          <w:lang w:val="en-US"/>
        </w:rPr>
        <w:t>John must step down on his own immediately.</w:t>
      </w:r>
    </w:p>
    <w:p w14:paraId="1AA4708B" w14:textId="77777777" w:rsidR="004567B3" w:rsidRPr="00B52D53" w:rsidRDefault="004567B3" w:rsidP="00DA459B">
      <w:pPr>
        <w:jc w:val="both"/>
        <w:rPr>
          <w:rFonts w:ascii="Calibri" w:hAnsi="Calibri" w:cs="Calibri"/>
          <w:color w:val="auto"/>
          <w:szCs w:val="20"/>
          <w:lang w:val="en-US"/>
        </w:rPr>
      </w:pPr>
    </w:p>
    <w:p w14:paraId="3C78F2C0" w14:textId="128DF0BB" w:rsidR="004567B3" w:rsidRPr="00B52D53" w:rsidRDefault="004567B3" w:rsidP="00DA459B">
      <w:pPr>
        <w:jc w:val="both"/>
        <w:rPr>
          <w:rFonts w:ascii="Calibri" w:hAnsi="Calibri" w:cs="Calibri"/>
          <w:color w:val="auto"/>
          <w:szCs w:val="20"/>
        </w:rPr>
      </w:pPr>
      <w:r w:rsidRPr="00B52D53">
        <w:rPr>
          <w:rFonts w:ascii="Calibri" w:hAnsi="Calibri" w:cs="Calibri"/>
          <w:color w:val="auto"/>
          <w:szCs w:val="20"/>
        </w:rPr>
        <w:t>A CMSL holder must inform the MAS within ____ of any change in particulars if it ceases to carry on business in the regulated activity it is licenced for.</w:t>
      </w:r>
    </w:p>
    <w:p w14:paraId="615C2A04" w14:textId="77777777" w:rsidR="004567B3" w:rsidRPr="00B52D53" w:rsidRDefault="004567B3" w:rsidP="00DA459B">
      <w:pPr>
        <w:pStyle w:val="ListParagraph"/>
        <w:numPr>
          <w:ilvl w:val="0"/>
          <w:numId w:val="42"/>
        </w:numPr>
        <w:jc w:val="both"/>
        <w:rPr>
          <w:rFonts w:ascii="Calibri" w:hAnsi="Calibri" w:cs="Calibri"/>
          <w:color w:val="auto"/>
          <w:szCs w:val="20"/>
          <w:lang w:val="en-US"/>
        </w:rPr>
      </w:pPr>
      <w:r w:rsidRPr="00B52D53">
        <w:rPr>
          <w:rFonts w:ascii="Calibri" w:hAnsi="Calibri" w:cs="Calibri"/>
          <w:color w:val="auto"/>
          <w:szCs w:val="20"/>
          <w:lang w:val="en-US"/>
        </w:rPr>
        <w:t>7 days</w:t>
      </w:r>
    </w:p>
    <w:p w14:paraId="675BC6DD" w14:textId="77777777" w:rsidR="004567B3" w:rsidRPr="00B52D53" w:rsidRDefault="004567B3" w:rsidP="00DA459B">
      <w:pPr>
        <w:pStyle w:val="ListParagraph"/>
        <w:numPr>
          <w:ilvl w:val="0"/>
          <w:numId w:val="42"/>
        </w:numPr>
        <w:jc w:val="both"/>
        <w:rPr>
          <w:rFonts w:ascii="Calibri" w:hAnsi="Calibri" w:cs="Calibri"/>
          <w:color w:val="auto"/>
          <w:szCs w:val="20"/>
          <w:lang w:val="en-US"/>
        </w:rPr>
      </w:pPr>
      <w:r w:rsidRPr="00B52D53">
        <w:rPr>
          <w:rFonts w:ascii="Calibri" w:hAnsi="Calibri" w:cs="Calibri"/>
          <w:color w:val="auto"/>
          <w:szCs w:val="20"/>
          <w:lang w:val="en-US"/>
        </w:rPr>
        <w:t>14 days</w:t>
      </w:r>
    </w:p>
    <w:p w14:paraId="3AF64FD7" w14:textId="77777777" w:rsidR="004567B3" w:rsidRPr="00B52D53" w:rsidRDefault="004567B3" w:rsidP="00DA459B">
      <w:pPr>
        <w:pStyle w:val="ListParagraph"/>
        <w:numPr>
          <w:ilvl w:val="0"/>
          <w:numId w:val="42"/>
        </w:numPr>
        <w:jc w:val="both"/>
        <w:rPr>
          <w:rFonts w:ascii="Calibri" w:hAnsi="Calibri" w:cs="Calibri"/>
          <w:color w:val="auto"/>
          <w:szCs w:val="20"/>
          <w:lang w:val="en-US"/>
        </w:rPr>
      </w:pPr>
      <w:r w:rsidRPr="00B52D53">
        <w:rPr>
          <w:rFonts w:ascii="Calibri" w:hAnsi="Calibri" w:cs="Calibri"/>
          <w:color w:val="auto"/>
          <w:szCs w:val="20"/>
          <w:lang w:val="en-US"/>
        </w:rPr>
        <w:t>6 weeks</w:t>
      </w:r>
    </w:p>
    <w:p w14:paraId="4FBC993A" w14:textId="5D8E6645" w:rsidR="004567B3" w:rsidRPr="00B52D53" w:rsidRDefault="004567B3" w:rsidP="00DA459B">
      <w:pPr>
        <w:pStyle w:val="ListParagraph"/>
        <w:numPr>
          <w:ilvl w:val="0"/>
          <w:numId w:val="42"/>
        </w:numPr>
        <w:jc w:val="both"/>
        <w:rPr>
          <w:rFonts w:ascii="Calibri" w:hAnsi="Calibri" w:cs="Calibri"/>
          <w:color w:val="auto"/>
          <w:szCs w:val="20"/>
          <w:lang w:val="en-US"/>
        </w:rPr>
      </w:pPr>
      <w:r w:rsidRPr="00B52D53">
        <w:rPr>
          <w:rFonts w:ascii="Calibri" w:hAnsi="Calibri" w:cs="Calibri"/>
          <w:color w:val="auto"/>
          <w:szCs w:val="20"/>
          <w:lang w:val="en-US"/>
        </w:rPr>
        <w:t>2 months</w:t>
      </w:r>
    </w:p>
    <w:p w14:paraId="4109F57A" w14:textId="77777777" w:rsidR="004567B3" w:rsidRPr="00B52D53" w:rsidRDefault="004567B3" w:rsidP="00DA459B">
      <w:pPr>
        <w:jc w:val="both"/>
        <w:rPr>
          <w:rFonts w:ascii="Calibri" w:hAnsi="Calibri" w:cs="Calibri"/>
          <w:color w:val="auto"/>
          <w:szCs w:val="20"/>
          <w:lang w:val="en-US"/>
        </w:rPr>
      </w:pPr>
    </w:p>
    <w:p w14:paraId="3EDEB452" w14:textId="28DE5B74" w:rsidR="004567B3" w:rsidRPr="00B52D53" w:rsidRDefault="004567B3" w:rsidP="00DA459B">
      <w:pPr>
        <w:jc w:val="both"/>
        <w:rPr>
          <w:rFonts w:ascii="Calibri" w:hAnsi="Calibri" w:cs="Calibri"/>
          <w:color w:val="auto"/>
          <w:szCs w:val="20"/>
        </w:rPr>
      </w:pPr>
      <w:r w:rsidRPr="00B52D53">
        <w:rPr>
          <w:rFonts w:ascii="Calibri" w:hAnsi="Calibri" w:cs="Calibri"/>
          <w:color w:val="auto"/>
          <w:szCs w:val="20"/>
        </w:rPr>
        <w:t>Which of the following statements is NOT CORRECT?</w:t>
      </w:r>
    </w:p>
    <w:p w14:paraId="7FB2304A" w14:textId="37C8694A" w:rsidR="004567B3" w:rsidRPr="00B52D53" w:rsidRDefault="004567B3" w:rsidP="00DA459B">
      <w:pPr>
        <w:pStyle w:val="ListParagraph"/>
        <w:numPr>
          <w:ilvl w:val="0"/>
          <w:numId w:val="43"/>
        </w:numPr>
        <w:jc w:val="both"/>
        <w:rPr>
          <w:rFonts w:ascii="Calibri" w:hAnsi="Calibri" w:cs="Calibri"/>
          <w:color w:val="auto"/>
          <w:szCs w:val="20"/>
          <w:lang w:val="en-US"/>
        </w:rPr>
      </w:pPr>
      <w:r w:rsidRPr="00B52D53">
        <w:rPr>
          <w:rFonts w:ascii="Calibri" w:hAnsi="Calibri" w:cs="Calibri"/>
          <w:color w:val="auto"/>
          <w:szCs w:val="20"/>
          <w:lang w:val="en-US"/>
        </w:rPr>
        <w:t>A </w:t>
      </w:r>
      <w:r w:rsidR="00B72D51">
        <w:rPr>
          <w:rFonts w:ascii="Calibri" w:hAnsi="Calibri" w:cs="Calibri"/>
          <w:color w:val="auto"/>
          <w:szCs w:val="20"/>
          <w:lang w:val="en-US"/>
        </w:rPr>
        <w:t>LFMC</w:t>
      </w:r>
      <w:r w:rsidRPr="00B52D53">
        <w:rPr>
          <w:rFonts w:ascii="Calibri" w:hAnsi="Calibri" w:cs="Calibri"/>
          <w:color w:val="auto"/>
          <w:szCs w:val="20"/>
          <w:lang w:val="en-US"/>
        </w:rPr>
        <w:t> may appoint its chief executive officer without the MAS' prior approval.</w:t>
      </w:r>
    </w:p>
    <w:p w14:paraId="20729865" w14:textId="196B6B1B" w:rsidR="004567B3" w:rsidRPr="00B52D53" w:rsidRDefault="004567B3" w:rsidP="00DA459B">
      <w:pPr>
        <w:pStyle w:val="ListParagraph"/>
        <w:numPr>
          <w:ilvl w:val="0"/>
          <w:numId w:val="43"/>
        </w:numPr>
        <w:jc w:val="both"/>
        <w:rPr>
          <w:rFonts w:ascii="Calibri" w:hAnsi="Calibri" w:cs="Calibri"/>
          <w:color w:val="auto"/>
          <w:szCs w:val="20"/>
          <w:lang w:val="en-US"/>
        </w:rPr>
      </w:pPr>
      <w:r w:rsidRPr="00B52D53">
        <w:rPr>
          <w:rFonts w:ascii="Calibri" w:hAnsi="Calibri" w:cs="Calibri"/>
          <w:color w:val="auto"/>
          <w:szCs w:val="20"/>
          <w:lang w:val="en-US"/>
        </w:rPr>
        <w:t>If a </w:t>
      </w:r>
      <w:r w:rsidR="00B72D51">
        <w:rPr>
          <w:rFonts w:ascii="Calibri" w:hAnsi="Calibri" w:cs="Calibri"/>
          <w:color w:val="auto"/>
          <w:szCs w:val="20"/>
          <w:lang w:val="en-US"/>
        </w:rPr>
        <w:t>LFMC</w:t>
      </w:r>
      <w:r w:rsidRPr="00B52D53">
        <w:rPr>
          <w:rFonts w:ascii="Calibri" w:hAnsi="Calibri" w:cs="Calibri"/>
          <w:color w:val="auto"/>
          <w:szCs w:val="20"/>
          <w:lang w:val="en-US"/>
        </w:rPr>
        <w:t> has obtained MAS approval for the appointment of a director, the director may subsequently be reappointed immediately upon the expiry of his earlier term without approval of MAS.</w:t>
      </w:r>
    </w:p>
    <w:p w14:paraId="17545924" w14:textId="06D7116F" w:rsidR="004567B3" w:rsidRPr="00B52D53" w:rsidRDefault="004567B3" w:rsidP="00DA459B">
      <w:pPr>
        <w:pStyle w:val="ListParagraph"/>
        <w:numPr>
          <w:ilvl w:val="0"/>
          <w:numId w:val="43"/>
        </w:numPr>
        <w:jc w:val="both"/>
        <w:rPr>
          <w:rFonts w:ascii="Calibri" w:hAnsi="Calibri" w:cs="Calibri"/>
          <w:color w:val="auto"/>
          <w:szCs w:val="20"/>
          <w:lang w:val="en-US"/>
        </w:rPr>
      </w:pPr>
      <w:r w:rsidRPr="00B52D53">
        <w:rPr>
          <w:rFonts w:ascii="Calibri" w:hAnsi="Calibri" w:cs="Calibri"/>
          <w:color w:val="auto"/>
          <w:szCs w:val="20"/>
          <w:lang w:val="en-US"/>
        </w:rPr>
        <w:t>A </w:t>
      </w:r>
      <w:r w:rsidR="00B72D51">
        <w:rPr>
          <w:rFonts w:ascii="Calibri" w:hAnsi="Calibri" w:cs="Calibri"/>
          <w:color w:val="auto"/>
          <w:szCs w:val="20"/>
          <w:lang w:val="en-US"/>
        </w:rPr>
        <w:t>LFMC</w:t>
      </w:r>
      <w:r w:rsidRPr="00B52D53">
        <w:rPr>
          <w:rFonts w:ascii="Calibri" w:hAnsi="Calibri" w:cs="Calibri"/>
          <w:color w:val="auto"/>
          <w:szCs w:val="20"/>
          <w:lang w:val="en-US"/>
        </w:rPr>
        <w:t> must obtain the approval of MAS before changing the nature of the appointment of a person from a non-executive to an executive director.</w:t>
      </w:r>
    </w:p>
    <w:p w14:paraId="46377BF7" w14:textId="64B01A1E" w:rsidR="004567B3" w:rsidRPr="00B52D53" w:rsidRDefault="004567B3" w:rsidP="00DA459B">
      <w:pPr>
        <w:pStyle w:val="ListParagraph"/>
        <w:numPr>
          <w:ilvl w:val="0"/>
          <w:numId w:val="43"/>
        </w:numPr>
        <w:jc w:val="both"/>
        <w:rPr>
          <w:rFonts w:ascii="Calibri" w:hAnsi="Calibri" w:cs="Calibri"/>
          <w:color w:val="auto"/>
          <w:szCs w:val="20"/>
          <w:lang w:val="en-US"/>
        </w:rPr>
      </w:pPr>
      <w:r w:rsidRPr="00B52D53">
        <w:rPr>
          <w:rFonts w:ascii="Calibri" w:hAnsi="Calibri" w:cs="Calibri"/>
          <w:color w:val="auto"/>
          <w:szCs w:val="20"/>
          <w:lang w:val="en-US"/>
        </w:rPr>
        <w:t>A </w:t>
      </w:r>
      <w:r w:rsidR="00B72D51">
        <w:rPr>
          <w:rFonts w:ascii="Calibri" w:hAnsi="Calibri" w:cs="Calibri"/>
          <w:color w:val="auto"/>
          <w:szCs w:val="20"/>
          <w:lang w:val="en-US"/>
        </w:rPr>
        <w:t>LFMC</w:t>
      </w:r>
      <w:r w:rsidRPr="00B52D53">
        <w:rPr>
          <w:rFonts w:ascii="Calibri" w:hAnsi="Calibri" w:cs="Calibri"/>
          <w:color w:val="auto"/>
          <w:szCs w:val="20"/>
          <w:lang w:val="en-US"/>
        </w:rPr>
        <w:t> need not obtain the approval of MAS for the appointment of a director of a foreign company, if at the time of the appointment, the director does not reside in Singapore and is not directly responsible for the </w:t>
      </w:r>
      <w:r w:rsidR="00B72D51">
        <w:rPr>
          <w:rFonts w:ascii="Calibri" w:hAnsi="Calibri" w:cs="Calibri"/>
          <w:color w:val="auto"/>
          <w:szCs w:val="20"/>
          <w:lang w:val="en-US"/>
        </w:rPr>
        <w:t>LFMC</w:t>
      </w:r>
      <w:r w:rsidRPr="00B52D53">
        <w:rPr>
          <w:rFonts w:ascii="Calibri" w:hAnsi="Calibri" w:cs="Calibri"/>
          <w:color w:val="auto"/>
          <w:szCs w:val="20"/>
          <w:lang w:val="en-US"/>
        </w:rPr>
        <w:t>'s business in Singapore.</w:t>
      </w:r>
    </w:p>
    <w:p w14:paraId="69325335" w14:textId="77777777" w:rsidR="004567B3" w:rsidRPr="00B52D53" w:rsidRDefault="004567B3" w:rsidP="00DA459B">
      <w:pPr>
        <w:jc w:val="both"/>
        <w:rPr>
          <w:rFonts w:ascii="Calibri" w:hAnsi="Calibri" w:cs="Calibri"/>
          <w:color w:val="auto"/>
          <w:szCs w:val="20"/>
          <w:lang w:val="en-US"/>
        </w:rPr>
      </w:pPr>
    </w:p>
    <w:p w14:paraId="11B0B3E9" w14:textId="68F4BE5E" w:rsidR="004567B3" w:rsidRPr="00B52D53" w:rsidRDefault="004567B3" w:rsidP="00DA459B">
      <w:pPr>
        <w:jc w:val="both"/>
        <w:rPr>
          <w:rFonts w:ascii="Calibri" w:hAnsi="Calibri" w:cs="Calibri"/>
          <w:color w:val="auto"/>
          <w:szCs w:val="20"/>
        </w:rPr>
      </w:pPr>
      <w:r w:rsidRPr="00B52D53">
        <w:rPr>
          <w:rFonts w:ascii="Calibri" w:hAnsi="Calibri" w:cs="Calibri"/>
          <w:color w:val="auto"/>
          <w:szCs w:val="20"/>
        </w:rPr>
        <w:lastRenderedPageBreak/>
        <w:t>The register of Listed Specified Products should be easily accessible and retained for at least:</w:t>
      </w:r>
    </w:p>
    <w:p w14:paraId="188DBDEE" w14:textId="77777777" w:rsidR="00A07839" w:rsidRPr="00B52D53" w:rsidRDefault="004567B3" w:rsidP="00DA459B">
      <w:pPr>
        <w:pStyle w:val="ListParagraph"/>
        <w:numPr>
          <w:ilvl w:val="0"/>
          <w:numId w:val="44"/>
        </w:numPr>
        <w:jc w:val="both"/>
        <w:rPr>
          <w:rFonts w:ascii="Calibri" w:hAnsi="Calibri" w:cs="Calibri"/>
          <w:color w:val="auto"/>
          <w:szCs w:val="20"/>
          <w:lang w:val="en-US"/>
        </w:rPr>
      </w:pPr>
      <w:r w:rsidRPr="00B52D53">
        <w:rPr>
          <w:rFonts w:ascii="Calibri" w:hAnsi="Calibri" w:cs="Calibri"/>
          <w:color w:val="auto"/>
          <w:szCs w:val="20"/>
          <w:lang w:val="en-US"/>
        </w:rPr>
        <w:t>5 years after the date of each specific entry.</w:t>
      </w:r>
    </w:p>
    <w:p w14:paraId="04B48EC8" w14:textId="77777777" w:rsidR="00A07839" w:rsidRPr="00B52D53" w:rsidRDefault="004567B3" w:rsidP="00DA459B">
      <w:pPr>
        <w:pStyle w:val="ListParagraph"/>
        <w:numPr>
          <w:ilvl w:val="0"/>
          <w:numId w:val="44"/>
        </w:numPr>
        <w:jc w:val="both"/>
        <w:rPr>
          <w:rFonts w:ascii="Calibri" w:hAnsi="Calibri" w:cs="Calibri"/>
          <w:color w:val="auto"/>
          <w:szCs w:val="20"/>
          <w:lang w:val="en-US"/>
        </w:rPr>
      </w:pPr>
      <w:r w:rsidRPr="00B52D53">
        <w:rPr>
          <w:rFonts w:ascii="Calibri" w:hAnsi="Calibri" w:cs="Calibri"/>
          <w:color w:val="auto"/>
          <w:szCs w:val="20"/>
          <w:lang w:val="en-US"/>
        </w:rPr>
        <w:t>5 years after the date of the last entry.</w:t>
      </w:r>
    </w:p>
    <w:p w14:paraId="704BF9BD" w14:textId="77777777" w:rsidR="00A07839" w:rsidRPr="00B52D53" w:rsidRDefault="004567B3" w:rsidP="00DA459B">
      <w:pPr>
        <w:pStyle w:val="ListParagraph"/>
        <w:numPr>
          <w:ilvl w:val="0"/>
          <w:numId w:val="44"/>
        </w:numPr>
        <w:jc w:val="both"/>
        <w:rPr>
          <w:rFonts w:ascii="Calibri" w:hAnsi="Calibri" w:cs="Calibri"/>
          <w:color w:val="auto"/>
          <w:szCs w:val="20"/>
          <w:lang w:val="en-US"/>
        </w:rPr>
      </w:pPr>
      <w:r w:rsidRPr="00B52D53">
        <w:rPr>
          <w:rFonts w:ascii="Calibri" w:hAnsi="Calibri" w:cs="Calibri"/>
          <w:color w:val="auto"/>
          <w:szCs w:val="20"/>
          <w:lang w:val="en-US"/>
        </w:rPr>
        <w:t>7 years after the date of each specific entry.</w:t>
      </w:r>
    </w:p>
    <w:p w14:paraId="54D83892" w14:textId="39C25BE4" w:rsidR="004567B3" w:rsidRPr="00B52D53" w:rsidRDefault="004567B3" w:rsidP="00DA459B">
      <w:pPr>
        <w:pStyle w:val="ListParagraph"/>
        <w:numPr>
          <w:ilvl w:val="0"/>
          <w:numId w:val="44"/>
        </w:numPr>
        <w:jc w:val="both"/>
        <w:rPr>
          <w:rFonts w:ascii="Calibri" w:hAnsi="Calibri" w:cs="Calibri"/>
          <w:color w:val="auto"/>
          <w:szCs w:val="20"/>
          <w:lang w:val="en-US"/>
        </w:rPr>
      </w:pPr>
      <w:r w:rsidRPr="00B52D53">
        <w:rPr>
          <w:rFonts w:ascii="Calibri" w:hAnsi="Calibri" w:cs="Calibri"/>
          <w:color w:val="auto"/>
          <w:szCs w:val="20"/>
          <w:lang w:val="en-US"/>
        </w:rPr>
        <w:t>7 years after the date of the last entry.</w:t>
      </w:r>
    </w:p>
    <w:p w14:paraId="247F1EF8" w14:textId="77777777" w:rsidR="00A07839" w:rsidRPr="00B52D53" w:rsidRDefault="00A07839" w:rsidP="00DA459B">
      <w:pPr>
        <w:jc w:val="both"/>
        <w:rPr>
          <w:rFonts w:ascii="Calibri" w:hAnsi="Calibri" w:cs="Calibri"/>
          <w:color w:val="auto"/>
          <w:szCs w:val="20"/>
          <w:lang w:val="en-US"/>
        </w:rPr>
      </w:pPr>
    </w:p>
    <w:p w14:paraId="11A460DA" w14:textId="3A433343" w:rsidR="00A07839" w:rsidRPr="00B52D53" w:rsidRDefault="00A07839" w:rsidP="00DA459B">
      <w:pPr>
        <w:jc w:val="both"/>
        <w:rPr>
          <w:rFonts w:ascii="Calibri" w:hAnsi="Calibri" w:cs="Calibri"/>
          <w:b/>
          <w:bCs/>
          <w:color w:val="auto"/>
          <w:szCs w:val="20"/>
          <w:lang w:val="en-US"/>
        </w:rPr>
      </w:pPr>
      <w:r w:rsidRPr="00B52D53">
        <w:rPr>
          <w:rFonts w:ascii="Calibri" w:hAnsi="Calibri" w:cs="Calibri"/>
          <w:b/>
          <w:bCs/>
          <w:color w:val="auto"/>
          <w:szCs w:val="20"/>
          <w:lang w:val="en-US"/>
        </w:rPr>
        <w:t>Chapter 5 – Market Conduct</w:t>
      </w:r>
    </w:p>
    <w:p w14:paraId="15EF9D5D" w14:textId="6CF2AB87" w:rsidR="00A07839" w:rsidRPr="00B52D53" w:rsidRDefault="00A07839" w:rsidP="00DA459B">
      <w:pPr>
        <w:jc w:val="both"/>
        <w:rPr>
          <w:rFonts w:ascii="Calibri" w:hAnsi="Calibri" w:cs="Calibri"/>
          <w:color w:val="auto"/>
          <w:szCs w:val="20"/>
        </w:rPr>
      </w:pPr>
      <w:r w:rsidRPr="00B52D53">
        <w:rPr>
          <w:rFonts w:ascii="Calibri" w:hAnsi="Calibri" w:cs="Calibri"/>
          <w:color w:val="auto"/>
          <w:szCs w:val="20"/>
        </w:rPr>
        <w:t>John, a reputed financial analyst, releases a report forecasting the rise in profits of </w:t>
      </w:r>
      <w:r w:rsidR="0004778D" w:rsidRPr="00B52D53">
        <w:rPr>
          <w:rFonts w:ascii="Calibri" w:hAnsi="Calibri" w:cs="Calibri"/>
          <w:color w:val="auto"/>
          <w:szCs w:val="20"/>
        </w:rPr>
        <w:t>WiseKid</w:t>
      </w:r>
      <w:r w:rsidRPr="00B52D53">
        <w:rPr>
          <w:rFonts w:ascii="Calibri" w:hAnsi="Calibri" w:cs="Calibri"/>
          <w:color w:val="auto"/>
          <w:szCs w:val="20"/>
        </w:rPr>
        <w:t xml:space="preserve"> Limited over the next few years. The forecast is based on publicly available economic data about the prospects of the relevant industry in which WiseKid operates. John recommends investor to buy WiseKid’s shares. Has John committed any market misconduct under the SFA.</w:t>
      </w:r>
    </w:p>
    <w:p w14:paraId="34169375" w14:textId="60915A08" w:rsidR="00A07839" w:rsidRPr="00B52D53" w:rsidRDefault="00A07839"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1671ABBA" w14:textId="77777777" w:rsidR="00A07839" w:rsidRPr="00B52D53" w:rsidRDefault="00A07839" w:rsidP="00DA459B">
      <w:pPr>
        <w:pStyle w:val="ListParagraph"/>
        <w:numPr>
          <w:ilvl w:val="0"/>
          <w:numId w:val="45"/>
        </w:numPr>
        <w:jc w:val="both"/>
        <w:rPr>
          <w:rFonts w:ascii="Calibri" w:hAnsi="Calibri" w:cs="Calibri"/>
          <w:color w:val="auto"/>
          <w:szCs w:val="20"/>
          <w:lang w:val="en-US"/>
        </w:rPr>
      </w:pPr>
      <w:r w:rsidRPr="00B52D53">
        <w:rPr>
          <w:rFonts w:ascii="Calibri" w:hAnsi="Calibri" w:cs="Calibri"/>
          <w:color w:val="auto"/>
          <w:szCs w:val="20"/>
          <w:lang w:val="en-US"/>
        </w:rPr>
        <w:t>Yes, if he knows that forecasts cannot be totally relied upon.</w:t>
      </w:r>
    </w:p>
    <w:p w14:paraId="49743C24" w14:textId="77777777" w:rsidR="00A07839" w:rsidRPr="00B52D53" w:rsidRDefault="00A07839" w:rsidP="00DA459B">
      <w:pPr>
        <w:pStyle w:val="ListParagraph"/>
        <w:numPr>
          <w:ilvl w:val="0"/>
          <w:numId w:val="45"/>
        </w:numPr>
        <w:jc w:val="both"/>
        <w:rPr>
          <w:rFonts w:ascii="Calibri" w:hAnsi="Calibri" w:cs="Calibri"/>
          <w:color w:val="auto"/>
          <w:szCs w:val="20"/>
          <w:lang w:val="en-US"/>
        </w:rPr>
      </w:pPr>
      <w:r w:rsidRPr="00B52D53">
        <w:rPr>
          <w:rFonts w:ascii="Calibri" w:hAnsi="Calibri" w:cs="Calibri"/>
          <w:color w:val="auto"/>
          <w:szCs w:val="20"/>
          <w:lang w:val="en-US"/>
        </w:rPr>
        <w:t>No, unless he knows that the underlying data is erroneous and unreliable.</w:t>
      </w:r>
    </w:p>
    <w:p w14:paraId="2B1EFF1F" w14:textId="77777777" w:rsidR="00A07839" w:rsidRPr="00B52D53" w:rsidRDefault="00A07839" w:rsidP="00DA459B">
      <w:pPr>
        <w:pStyle w:val="ListParagraph"/>
        <w:numPr>
          <w:ilvl w:val="0"/>
          <w:numId w:val="45"/>
        </w:numPr>
        <w:jc w:val="both"/>
        <w:rPr>
          <w:rFonts w:ascii="Calibri" w:hAnsi="Calibri" w:cs="Calibri"/>
          <w:color w:val="auto"/>
          <w:szCs w:val="20"/>
          <w:lang w:val="en-US"/>
        </w:rPr>
      </w:pPr>
      <w:r w:rsidRPr="00B52D53">
        <w:rPr>
          <w:rFonts w:ascii="Calibri" w:hAnsi="Calibri" w:cs="Calibri"/>
          <w:color w:val="auto"/>
          <w:szCs w:val="20"/>
          <w:lang w:val="en-US"/>
        </w:rPr>
        <w:t>Yes, if he wants others to buy based on his recommendation.</w:t>
      </w:r>
    </w:p>
    <w:p w14:paraId="07E7B0BC" w14:textId="4BF64E77" w:rsidR="00A07839" w:rsidRPr="00B52D53" w:rsidRDefault="00A07839" w:rsidP="00DA459B">
      <w:pPr>
        <w:pStyle w:val="ListParagraph"/>
        <w:numPr>
          <w:ilvl w:val="0"/>
          <w:numId w:val="45"/>
        </w:numPr>
        <w:jc w:val="both"/>
        <w:rPr>
          <w:rFonts w:ascii="Calibri" w:hAnsi="Calibri" w:cs="Calibri"/>
          <w:color w:val="auto"/>
          <w:szCs w:val="20"/>
          <w:lang w:val="en-US"/>
        </w:rPr>
      </w:pPr>
      <w:r w:rsidRPr="00B52D53">
        <w:rPr>
          <w:rFonts w:ascii="Calibri" w:hAnsi="Calibri" w:cs="Calibri"/>
          <w:color w:val="auto"/>
          <w:szCs w:val="20"/>
          <w:lang w:val="en-US"/>
        </w:rPr>
        <w:t>No, if John has published the report in good faith and clearly mentions in the report that the forecast may not come out to be true.</w:t>
      </w:r>
    </w:p>
    <w:p w14:paraId="763A8B69" w14:textId="77777777" w:rsidR="00A07839" w:rsidRPr="00B52D53" w:rsidRDefault="00A07839" w:rsidP="00DA459B">
      <w:pPr>
        <w:jc w:val="both"/>
        <w:rPr>
          <w:rFonts w:ascii="Calibri" w:hAnsi="Calibri" w:cs="Calibri"/>
          <w:color w:val="auto"/>
          <w:szCs w:val="20"/>
        </w:rPr>
      </w:pPr>
    </w:p>
    <w:p w14:paraId="26BF478E" w14:textId="199FACC6" w:rsidR="00AE6E4C" w:rsidRPr="00B52D53" w:rsidRDefault="00AE6E4C" w:rsidP="00DA459B">
      <w:pPr>
        <w:jc w:val="both"/>
        <w:rPr>
          <w:rFonts w:ascii="Calibri" w:hAnsi="Calibri" w:cs="Calibri"/>
          <w:color w:val="auto"/>
          <w:szCs w:val="20"/>
        </w:rPr>
      </w:pPr>
      <w:r w:rsidRPr="00B52D53">
        <w:rPr>
          <w:rFonts w:ascii="Calibri" w:hAnsi="Calibri" w:cs="Calibri"/>
          <w:color w:val="auto"/>
          <w:szCs w:val="20"/>
        </w:rPr>
        <w:t>A person sells 1 million shares of a company to a company which is controlled by him through the SGX. This is an example of:</w:t>
      </w:r>
    </w:p>
    <w:p w14:paraId="099CE38A" w14:textId="77777777" w:rsidR="00917594" w:rsidRPr="00B52D53" w:rsidRDefault="00917594"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6363E033" w14:textId="77777777" w:rsidR="00917594" w:rsidRPr="00B52D53" w:rsidRDefault="00917594" w:rsidP="00DA459B">
      <w:pPr>
        <w:jc w:val="both"/>
        <w:rPr>
          <w:rFonts w:ascii="Calibri" w:hAnsi="Calibri" w:cs="Calibri"/>
          <w:color w:val="auto"/>
          <w:szCs w:val="20"/>
        </w:rPr>
      </w:pPr>
    </w:p>
    <w:p w14:paraId="63B4C063" w14:textId="77777777" w:rsidR="00AE6E4C" w:rsidRPr="00B52D53" w:rsidRDefault="00AE6E4C" w:rsidP="009F73BE">
      <w:pPr>
        <w:pStyle w:val="ListParagraph"/>
        <w:numPr>
          <w:ilvl w:val="0"/>
          <w:numId w:val="46"/>
        </w:numPr>
        <w:jc w:val="both"/>
        <w:rPr>
          <w:rFonts w:ascii="Calibri" w:hAnsi="Calibri" w:cs="Calibri"/>
          <w:color w:val="auto"/>
          <w:szCs w:val="20"/>
          <w:lang w:val="en-US"/>
        </w:rPr>
      </w:pPr>
      <w:r w:rsidRPr="00B52D53">
        <w:rPr>
          <w:rFonts w:ascii="Calibri" w:hAnsi="Calibri" w:cs="Calibri"/>
          <w:color w:val="auto"/>
          <w:szCs w:val="20"/>
          <w:lang w:val="en-US"/>
        </w:rPr>
        <w:t>False appearance of active trading.</w:t>
      </w:r>
    </w:p>
    <w:p w14:paraId="7EC3E0E0" w14:textId="77777777" w:rsidR="00AE6E4C" w:rsidRPr="00B52D53" w:rsidRDefault="00AE6E4C" w:rsidP="009F73BE">
      <w:pPr>
        <w:pStyle w:val="ListParagraph"/>
        <w:numPr>
          <w:ilvl w:val="0"/>
          <w:numId w:val="46"/>
        </w:numPr>
        <w:jc w:val="both"/>
        <w:rPr>
          <w:rFonts w:ascii="Calibri" w:hAnsi="Calibri" w:cs="Calibri"/>
          <w:color w:val="auto"/>
          <w:szCs w:val="20"/>
          <w:lang w:val="en-US"/>
        </w:rPr>
      </w:pPr>
      <w:r w:rsidRPr="00B52D53">
        <w:rPr>
          <w:rFonts w:ascii="Calibri" w:hAnsi="Calibri" w:cs="Calibri"/>
          <w:color w:val="auto"/>
          <w:szCs w:val="20"/>
          <w:lang w:val="en-US"/>
        </w:rPr>
        <w:t>Trading without change in beneficial ownership.</w:t>
      </w:r>
    </w:p>
    <w:p w14:paraId="6E6F380B" w14:textId="77777777" w:rsidR="00AE6E4C" w:rsidRPr="00B52D53" w:rsidRDefault="00AE6E4C" w:rsidP="009F73BE">
      <w:pPr>
        <w:pStyle w:val="ListParagraph"/>
        <w:numPr>
          <w:ilvl w:val="0"/>
          <w:numId w:val="46"/>
        </w:numPr>
        <w:jc w:val="both"/>
        <w:rPr>
          <w:rFonts w:ascii="Calibri" w:hAnsi="Calibri" w:cs="Calibri"/>
          <w:color w:val="auto"/>
          <w:szCs w:val="20"/>
          <w:lang w:val="en-US"/>
        </w:rPr>
      </w:pPr>
      <w:r w:rsidRPr="00B52D53">
        <w:rPr>
          <w:rFonts w:ascii="Calibri" w:hAnsi="Calibri" w:cs="Calibri"/>
          <w:color w:val="auto"/>
          <w:szCs w:val="20"/>
          <w:lang w:val="en-US"/>
        </w:rPr>
        <w:t>Wash sales.</w:t>
      </w:r>
    </w:p>
    <w:p w14:paraId="3CE69406" w14:textId="39A79E43" w:rsidR="00AE6E4C" w:rsidRPr="00B52D53" w:rsidRDefault="00AE6E4C" w:rsidP="009F73BE">
      <w:pPr>
        <w:pStyle w:val="ListParagraph"/>
        <w:numPr>
          <w:ilvl w:val="0"/>
          <w:numId w:val="46"/>
        </w:numPr>
        <w:jc w:val="both"/>
        <w:rPr>
          <w:rFonts w:ascii="Calibri" w:hAnsi="Calibri" w:cs="Calibri"/>
          <w:color w:val="auto"/>
          <w:szCs w:val="20"/>
          <w:lang w:val="en-US"/>
        </w:rPr>
      </w:pPr>
      <w:r w:rsidRPr="00B52D53">
        <w:rPr>
          <w:rFonts w:ascii="Calibri" w:hAnsi="Calibri" w:cs="Calibri"/>
          <w:color w:val="auto"/>
          <w:szCs w:val="20"/>
          <w:lang w:val="en-US"/>
        </w:rPr>
        <w:t>Matching orders.</w:t>
      </w:r>
    </w:p>
    <w:p w14:paraId="17A759F3" w14:textId="77777777" w:rsidR="00AE6E4C" w:rsidRPr="00B52D53" w:rsidRDefault="00AE6E4C" w:rsidP="00DA459B">
      <w:pPr>
        <w:jc w:val="both"/>
        <w:rPr>
          <w:rFonts w:ascii="Calibri" w:hAnsi="Calibri" w:cs="Calibri"/>
          <w:color w:val="auto"/>
          <w:szCs w:val="20"/>
        </w:rPr>
      </w:pPr>
    </w:p>
    <w:p w14:paraId="06E8CF00" w14:textId="5231733D" w:rsidR="00917594" w:rsidRPr="00B52D53" w:rsidRDefault="00917594" w:rsidP="00DA459B">
      <w:pPr>
        <w:jc w:val="both"/>
        <w:rPr>
          <w:rFonts w:ascii="Calibri" w:hAnsi="Calibri" w:cs="Calibri"/>
          <w:color w:val="auto"/>
          <w:szCs w:val="20"/>
        </w:rPr>
      </w:pPr>
      <w:r w:rsidRPr="00B52D53">
        <w:rPr>
          <w:rFonts w:ascii="Calibri" w:hAnsi="Calibri" w:cs="Calibri"/>
          <w:color w:val="auto"/>
          <w:szCs w:val="20"/>
        </w:rPr>
        <w:t xml:space="preserve">Which of the following categories of individuals or situations may </w:t>
      </w:r>
      <w:r w:rsidRPr="00B52D53">
        <w:rPr>
          <w:rFonts w:ascii="Calibri" w:hAnsi="Calibri" w:cs="Calibri"/>
          <w:color w:val="auto"/>
          <w:szCs w:val="20"/>
          <w:u w:val="single"/>
        </w:rPr>
        <w:t>not</w:t>
      </w:r>
      <w:r w:rsidRPr="00B52D53">
        <w:rPr>
          <w:rFonts w:ascii="Calibri" w:hAnsi="Calibri" w:cs="Calibri"/>
          <w:color w:val="auto"/>
          <w:szCs w:val="20"/>
        </w:rPr>
        <w:t xml:space="preserve"> be considered as insider trading?</w:t>
      </w:r>
    </w:p>
    <w:p w14:paraId="03835E1F" w14:textId="77777777" w:rsidR="00917594" w:rsidRPr="00B52D53" w:rsidRDefault="00917594"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523367F3" w14:textId="6C87B998" w:rsidR="00917594" w:rsidRPr="00B52D53" w:rsidRDefault="00917594" w:rsidP="009F73BE">
      <w:pPr>
        <w:pStyle w:val="ListParagraph"/>
        <w:numPr>
          <w:ilvl w:val="0"/>
          <w:numId w:val="47"/>
        </w:numPr>
        <w:jc w:val="both"/>
        <w:rPr>
          <w:rFonts w:ascii="Calibri" w:hAnsi="Calibri" w:cs="Calibri"/>
          <w:color w:val="auto"/>
          <w:szCs w:val="20"/>
          <w:lang w:val="en-US"/>
        </w:rPr>
      </w:pPr>
      <w:r w:rsidRPr="00B52D53">
        <w:rPr>
          <w:rFonts w:ascii="Calibri" w:hAnsi="Calibri" w:cs="Calibri"/>
          <w:color w:val="auto"/>
          <w:szCs w:val="20"/>
          <w:lang w:val="en-US"/>
        </w:rPr>
        <w:t>A CEO who notices an abnormal increase in trading volume of the shares of his company and buys or sells its shares to take advantage.</w:t>
      </w:r>
    </w:p>
    <w:p w14:paraId="7A3A4C42" w14:textId="77777777" w:rsidR="00917594" w:rsidRPr="00B52D53" w:rsidRDefault="00917594" w:rsidP="009F73BE">
      <w:pPr>
        <w:pStyle w:val="ListParagraph"/>
        <w:numPr>
          <w:ilvl w:val="0"/>
          <w:numId w:val="47"/>
        </w:numPr>
        <w:jc w:val="both"/>
        <w:rPr>
          <w:rFonts w:ascii="Calibri" w:hAnsi="Calibri" w:cs="Calibri"/>
          <w:color w:val="auto"/>
          <w:szCs w:val="20"/>
          <w:lang w:val="en-US"/>
        </w:rPr>
      </w:pPr>
      <w:r w:rsidRPr="00B52D53">
        <w:rPr>
          <w:rFonts w:ascii="Calibri" w:hAnsi="Calibri" w:cs="Calibri"/>
          <w:color w:val="auto"/>
          <w:szCs w:val="20"/>
          <w:lang w:val="en-US"/>
        </w:rPr>
        <w:t>Redemption by trustees in respect of a registered collective investment scheme.</w:t>
      </w:r>
    </w:p>
    <w:p w14:paraId="32EEE50E" w14:textId="1DA5FD2C" w:rsidR="00917594" w:rsidRPr="00B52D53" w:rsidRDefault="00917594" w:rsidP="009F73BE">
      <w:pPr>
        <w:pStyle w:val="ListParagraph"/>
        <w:numPr>
          <w:ilvl w:val="0"/>
          <w:numId w:val="47"/>
        </w:numPr>
        <w:jc w:val="both"/>
        <w:rPr>
          <w:rFonts w:ascii="Calibri" w:hAnsi="Calibri" w:cs="Calibri"/>
          <w:color w:val="auto"/>
          <w:szCs w:val="20"/>
          <w:lang w:val="en-US"/>
        </w:rPr>
      </w:pPr>
      <w:r w:rsidRPr="00B52D53">
        <w:rPr>
          <w:rFonts w:ascii="Calibri" w:hAnsi="Calibri" w:cs="Calibri"/>
          <w:color w:val="auto"/>
          <w:szCs w:val="20"/>
          <w:lang w:val="en-US"/>
        </w:rPr>
        <w:t xml:space="preserve">Director who transacts in the shares of his company based on a public report on the prospects of the company by a brokerage house. </w:t>
      </w:r>
    </w:p>
    <w:p w14:paraId="022B4C87" w14:textId="28CE66B1" w:rsidR="00917594" w:rsidRPr="00B52D53" w:rsidRDefault="00917594" w:rsidP="009F73BE">
      <w:pPr>
        <w:pStyle w:val="ListParagraph"/>
        <w:numPr>
          <w:ilvl w:val="0"/>
          <w:numId w:val="47"/>
        </w:numPr>
        <w:jc w:val="both"/>
        <w:rPr>
          <w:rFonts w:ascii="Calibri" w:hAnsi="Calibri" w:cs="Calibri"/>
          <w:color w:val="auto"/>
          <w:szCs w:val="20"/>
          <w:lang w:val="en-US"/>
        </w:rPr>
      </w:pPr>
      <w:r w:rsidRPr="00B52D53">
        <w:rPr>
          <w:rFonts w:ascii="Calibri" w:hAnsi="Calibri" w:cs="Calibri"/>
          <w:color w:val="auto"/>
          <w:szCs w:val="20"/>
          <w:lang w:val="en-US"/>
        </w:rPr>
        <w:t>Underwriters performing their roles.</w:t>
      </w:r>
    </w:p>
    <w:p w14:paraId="0ED15328" w14:textId="77777777" w:rsidR="00917594" w:rsidRPr="00B52D53" w:rsidRDefault="00917594" w:rsidP="00DA459B">
      <w:pPr>
        <w:jc w:val="both"/>
        <w:rPr>
          <w:rFonts w:ascii="Calibri" w:hAnsi="Calibri" w:cs="Calibri"/>
          <w:color w:val="auto"/>
          <w:szCs w:val="20"/>
        </w:rPr>
      </w:pPr>
    </w:p>
    <w:p w14:paraId="2D33FE6B" w14:textId="527D4CB8" w:rsidR="004567B3" w:rsidRPr="00B52D53" w:rsidRDefault="00917594" w:rsidP="00DA459B">
      <w:pPr>
        <w:jc w:val="both"/>
        <w:rPr>
          <w:rFonts w:ascii="Calibri" w:hAnsi="Calibri" w:cs="Calibri"/>
          <w:color w:val="auto"/>
          <w:szCs w:val="20"/>
        </w:rPr>
      </w:pPr>
      <w:r w:rsidRPr="00B52D53">
        <w:rPr>
          <w:rFonts w:ascii="Calibri" w:hAnsi="Calibri" w:cs="Calibri"/>
          <w:color w:val="auto"/>
          <w:szCs w:val="20"/>
        </w:rPr>
        <w:t>If insider information is in the hands of a connected person, what presumptions can be automatically made?</w:t>
      </w:r>
    </w:p>
    <w:p w14:paraId="08A08CCB" w14:textId="77777777" w:rsidR="00917594" w:rsidRPr="00B52D53" w:rsidRDefault="00917594"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7EF1CD21" w14:textId="51D20C48" w:rsidR="00917594" w:rsidRPr="00B52D53" w:rsidRDefault="00917594" w:rsidP="009F73BE">
      <w:pPr>
        <w:pStyle w:val="ListParagraph"/>
        <w:numPr>
          <w:ilvl w:val="0"/>
          <w:numId w:val="48"/>
        </w:numPr>
        <w:jc w:val="both"/>
        <w:rPr>
          <w:rFonts w:ascii="Calibri" w:hAnsi="Calibri" w:cs="Calibri"/>
          <w:color w:val="auto"/>
          <w:szCs w:val="20"/>
          <w:lang w:val="en-US"/>
        </w:rPr>
      </w:pPr>
      <w:r w:rsidRPr="00B52D53">
        <w:rPr>
          <w:rFonts w:ascii="Calibri" w:hAnsi="Calibri" w:cs="Calibri"/>
          <w:color w:val="auto"/>
          <w:szCs w:val="20"/>
          <w:lang w:val="en-US"/>
        </w:rPr>
        <w:t>The insider should have been made aware of the impact of the information on the price of the securities.</w:t>
      </w:r>
    </w:p>
    <w:p w14:paraId="58A3307A" w14:textId="3A168C16" w:rsidR="00917594" w:rsidRPr="00B52D53" w:rsidRDefault="00917594" w:rsidP="009F73BE">
      <w:pPr>
        <w:pStyle w:val="ListParagraph"/>
        <w:numPr>
          <w:ilvl w:val="0"/>
          <w:numId w:val="48"/>
        </w:numPr>
        <w:jc w:val="both"/>
        <w:rPr>
          <w:rFonts w:ascii="Calibri" w:hAnsi="Calibri" w:cs="Calibri"/>
          <w:color w:val="auto"/>
          <w:szCs w:val="20"/>
          <w:lang w:val="en-US"/>
        </w:rPr>
      </w:pPr>
      <w:r w:rsidRPr="00B52D53">
        <w:rPr>
          <w:rFonts w:ascii="Calibri" w:hAnsi="Calibri" w:cs="Calibri"/>
          <w:color w:val="auto"/>
          <w:szCs w:val="20"/>
          <w:lang w:val="en-US"/>
        </w:rPr>
        <w:t>The insider intended to use the information to his benefit.</w:t>
      </w:r>
    </w:p>
    <w:p w14:paraId="14A58C52" w14:textId="14825195" w:rsidR="00917594" w:rsidRPr="00B52D53" w:rsidRDefault="00917594" w:rsidP="009F73BE">
      <w:pPr>
        <w:pStyle w:val="ListParagraph"/>
        <w:numPr>
          <w:ilvl w:val="0"/>
          <w:numId w:val="48"/>
        </w:numPr>
        <w:jc w:val="both"/>
        <w:rPr>
          <w:rFonts w:ascii="Calibri" w:hAnsi="Calibri" w:cs="Calibri"/>
          <w:color w:val="auto"/>
          <w:szCs w:val="20"/>
          <w:lang w:val="en-US"/>
        </w:rPr>
      </w:pPr>
      <w:r w:rsidRPr="00B52D53">
        <w:rPr>
          <w:rFonts w:ascii="Calibri" w:hAnsi="Calibri" w:cs="Calibri"/>
          <w:color w:val="auto"/>
          <w:szCs w:val="20"/>
          <w:lang w:val="en-US"/>
        </w:rPr>
        <w:t>The insider disseminated the information to his friends or relatives to help them take advantage.</w:t>
      </w:r>
    </w:p>
    <w:p w14:paraId="6C8FA73E" w14:textId="4505C6CD" w:rsidR="00917594" w:rsidRPr="00B52D53" w:rsidRDefault="00917594" w:rsidP="009F73BE">
      <w:pPr>
        <w:pStyle w:val="ListParagraph"/>
        <w:numPr>
          <w:ilvl w:val="0"/>
          <w:numId w:val="48"/>
        </w:numPr>
        <w:jc w:val="both"/>
        <w:rPr>
          <w:rFonts w:ascii="Calibri" w:hAnsi="Calibri" w:cs="Calibri"/>
          <w:color w:val="auto"/>
          <w:szCs w:val="20"/>
          <w:lang w:val="en-US"/>
        </w:rPr>
      </w:pPr>
      <w:r w:rsidRPr="00B52D53">
        <w:rPr>
          <w:rFonts w:ascii="Calibri" w:hAnsi="Calibri" w:cs="Calibri"/>
          <w:color w:val="auto"/>
          <w:szCs w:val="20"/>
          <w:lang w:val="en-US"/>
        </w:rPr>
        <w:t>The insider reasonably ought to have known that the information was not generally available.</w:t>
      </w:r>
    </w:p>
    <w:p w14:paraId="0B6FF299" w14:textId="77777777" w:rsidR="00DA483D" w:rsidRPr="00B52D53" w:rsidRDefault="00DA483D" w:rsidP="00DA459B">
      <w:pPr>
        <w:pStyle w:val="ListParagraph"/>
        <w:jc w:val="both"/>
        <w:rPr>
          <w:rFonts w:ascii="Calibri" w:hAnsi="Calibri" w:cs="Calibri"/>
          <w:color w:val="auto"/>
          <w:szCs w:val="20"/>
          <w:lang w:val="en-US"/>
        </w:rPr>
      </w:pPr>
    </w:p>
    <w:p w14:paraId="04C134A4" w14:textId="2D2C9D21" w:rsidR="00917594" w:rsidRPr="00B52D53" w:rsidRDefault="00DA483D" w:rsidP="00DA459B">
      <w:pPr>
        <w:jc w:val="both"/>
        <w:rPr>
          <w:rFonts w:ascii="Calibri" w:hAnsi="Calibri" w:cs="Calibri"/>
          <w:color w:val="auto"/>
          <w:szCs w:val="20"/>
        </w:rPr>
      </w:pPr>
      <w:r w:rsidRPr="00B52D53">
        <w:rPr>
          <w:rFonts w:ascii="Calibri" w:hAnsi="Calibri" w:cs="Calibri"/>
          <w:color w:val="auto"/>
          <w:szCs w:val="20"/>
        </w:rPr>
        <w:t>Which of the following statements about insider trading is/are FALSE?</w:t>
      </w:r>
    </w:p>
    <w:p w14:paraId="6BC34654" w14:textId="3DA15C15" w:rsidR="00DA483D" w:rsidRPr="00B52D53" w:rsidRDefault="00DA483D"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1FDDBC7B" w14:textId="77777777" w:rsidR="00DA483D" w:rsidRPr="00B52D53" w:rsidRDefault="00DA483D" w:rsidP="009F73BE">
      <w:pPr>
        <w:pStyle w:val="ListParagraph"/>
        <w:numPr>
          <w:ilvl w:val="0"/>
          <w:numId w:val="49"/>
        </w:numPr>
        <w:jc w:val="both"/>
        <w:rPr>
          <w:rFonts w:ascii="Calibri" w:hAnsi="Calibri" w:cs="Calibri"/>
          <w:color w:val="auto"/>
          <w:szCs w:val="20"/>
          <w:lang w:val="en-US"/>
        </w:rPr>
      </w:pPr>
      <w:r w:rsidRPr="00B52D53">
        <w:rPr>
          <w:rFonts w:ascii="Calibri" w:hAnsi="Calibri" w:cs="Calibri"/>
          <w:color w:val="auto"/>
          <w:szCs w:val="20"/>
          <w:lang w:val="en-US"/>
        </w:rPr>
        <w:t>A connected person is not deemed to possess material price sensitive insider information.</w:t>
      </w:r>
    </w:p>
    <w:p w14:paraId="0D23904B" w14:textId="77777777" w:rsidR="00DA483D" w:rsidRPr="00B52D53" w:rsidRDefault="00DA483D" w:rsidP="009F73BE">
      <w:pPr>
        <w:pStyle w:val="ListParagraph"/>
        <w:numPr>
          <w:ilvl w:val="0"/>
          <w:numId w:val="49"/>
        </w:numPr>
        <w:jc w:val="both"/>
        <w:rPr>
          <w:rFonts w:ascii="Calibri" w:hAnsi="Calibri" w:cs="Calibri"/>
          <w:color w:val="auto"/>
          <w:szCs w:val="20"/>
          <w:lang w:val="en-US"/>
        </w:rPr>
      </w:pPr>
      <w:r w:rsidRPr="00B52D53">
        <w:rPr>
          <w:rFonts w:ascii="Calibri" w:hAnsi="Calibri" w:cs="Calibri"/>
          <w:color w:val="auto"/>
          <w:szCs w:val="20"/>
          <w:lang w:val="en-US"/>
        </w:rPr>
        <w:t>For a non-connected person, the onus of proof that he was in possession of material price-sensitive information lies with the prosecution.</w:t>
      </w:r>
    </w:p>
    <w:p w14:paraId="5852ED01" w14:textId="77777777" w:rsidR="00DA483D" w:rsidRPr="00B52D53" w:rsidRDefault="00DA483D" w:rsidP="009F73BE">
      <w:pPr>
        <w:pStyle w:val="ListParagraph"/>
        <w:numPr>
          <w:ilvl w:val="0"/>
          <w:numId w:val="49"/>
        </w:numPr>
        <w:jc w:val="both"/>
        <w:rPr>
          <w:rFonts w:ascii="Calibri" w:hAnsi="Calibri" w:cs="Calibri"/>
          <w:color w:val="auto"/>
          <w:szCs w:val="20"/>
          <w:lang w:val="en-US"/>
        </w:rPr>
      </w:pPr>
      <w:r w:rsidRPr="00B52D53">
        <w:rPr>
          <w:rFonts w:ascii="Calibri" w:hAnsi="Calibri" w:cs="Calibri"/>
          <w:color w:val="auto"/>
          <w:szCs w:val="20"/>
          <w:lang w:val="en-US"/>
        </w:rPr>
        <w:t>Nature of information is less important compared to the source of information.</w:t>
      </w:r>
    </w:p>
    <w:p w14:paraId="121BEC4F" w14:textId="6CC4E35A" w:rsidR="00DA483D" w:rsidRPr="00B52D53" w:rsidRDefault="00DA483D" w:rsidP="009F73BE">
      <w:pPr>
        <w:pStyle w:val="ListParagraph"/>
        <w:numPr>
          <w:ilvl w:val="0"/>
          <w:numId w:val="49"/>
        </w:numPr>
        <w:jc w:val="both"/>
        <w:rPr>
          <w:rFonts w:ascii="Calibri" w:hAnsi="Calibri" w:cs="Calibri"/>
          <w:color w:val="auto"/>
          <w:szCs w:val="20"/>
          <w:lang w:val="en-US"/>
        </w:rPr>
      </w:pPr>
      <w:r w:rsidRPr="00B52D53">
        <w:rPr>
          <w:rFonts w:ascii="Calibri" w:hAnsi="Calibri" w:cs="Calibri"/>
          <w:color w:val="auto"/>
          <w:szCs w:val="20"/>
          <w:lang w:val="en-US"/>
        </w:rPr>
        <w:t>It must be proven that the person having insider information intended to use it.</w:t>
      </w:r>
    </w:p>
    <w:p w14:paraId="6F085508" w14:textId="77777777" w:rsidR="00DA483D" w:rsidRPr="00B52D53" w:rsidRDefault="00DA483D" w:rsidP="00DA459B">
      <w:pPr>
        <w:jc w:val="both"/>
        <w:rPr>
          <w:rFonts w:ascii="Calibri" w:hAnsi="Calibri" w:cs="Calibri"/>
          <w:color w:val="auto"/>
          <w:szCs w:val="20"/>
        </w:rPr>
      </w:pPr>
    </w:p>
    <w:p w14:paraId="75B0EB6E" w14:textId="3B8C4ED3" w:rsidR="00DA483D" w:rsidRPr="00B52D53" w:rsidRDefault="00DA483D" w:rsidP="00DA459B">
      <w:pPr>
        <w:jc w:val="both"/>
        <w:rPr>
          <w:rFonts w:ascii="Calibri" w:hAnsi="Calibri" w:cs="Calibri"/>
          <w:b/>
          <w:bCs/>
          <w:color w:val="auto"/>
          <w:szCs w:val="20"/>
        </w:rPr>
      </w:pPr>
      <w:r w:rsidRPr="00B52D53">
        <w:rPr>
          <w:rFonts w:ascii="Calibri" w:hAnsi="Calibri" w:cs="Calibri"/>
          <w:b/>
          <w:bCs/>
          <w:color w:val="auto"/>
          <w:szCs w:val="20"/>
        </w:rPr>
        <w:t>Chapter 6 – Collective Investment Schemes</w:t>
      </w:r>
    </w:p>
    <w:p w14:paraId="5B408093" w14:textId="623F2BBA" w:rsidR="00262B4E" w:rsidRPr="00B52D53" w:rsidRDefault="00262B4E" w:rsidP="00DA459B">
      <w:pPr>
        <w:jc w:val="both"/>
        <w:rPr>
          <w:rFonts w:ascii="Calibri" w:hAnsi="Calibri" w:cs="Calibri"/>
          <w:color w:val="auto"/>
          <w:szCs w:val="20"/>
        </w:rPr>
      </w:pPr>
      <w:r w:rsidRPr="00B52D53">
        <w:rPr>
          <w:rFonts w:ascii="Calibri" w:hAnsi="Calibri" w:cs="Calibri"/>
          <w:color w:val="auto"/>
          <w:szCs w:val="20"/>
        </w:rPr>
        <w:t>Under the Reporting Framework for Unit Trusts, in what instance is the semi-annual report or annual report need not be prepared or sent?</w:t>
      </w:r>
    </w:p>
    <w:p w14:paraId="62BAC307" w14:textId="4F33A54F" w:rsidR="00262B4E" w:rsidRPr="00B52D53" w:rsidRDefault="00262B4E" w:rsidP="009F73BE">
      <w:pPr>
        <w:pStyle w:val="ListParagraph"/>
        <w:numPr>
          <w:ilvl w:val="0"/>
          <w:numId w:val="50"/>
        </w:numPr>
        <w:jc w:val="both"/>
        <w:rPr>
          <w:rFonts w:ascii="Calibri" w:hAnsi="Calibri" w:cs="Calibri"/>
          <w:color w:val="auto"/>
          <w:szCs w:val="20"/>
        </w:rPr>
      </w:pPr>
      <w:r w:rsidRPr="00B52D53">
        <w:rPr>
          <w:rFonts w:ascii="Calibri" w:hAnsi="Calibri" w:cs="Calibri"/>
          <w:color w:val="auto"/>
          <w:szCs w:val="20"/>
        </w:rPr>
        <w:t>If they cover a period ending after the termination date</w:t>
      </w:r>
    </w:p>
    <w:p w14:paraId="078BA8D6" w14:textId="5D0A9CED" w:rsidR="00262B4E" w:rsidRPr="00B52D53" w:rsidRDefault="00262B4E" w:rsidP="009F73BE">
      <w:pPr>
        <w:pStyle w:val="ListParagraph"/>
        <w:numPr>
          <w:ilvl w:val="0"/>
          <w:numId w:val="50"/>
        </w:numPr>
        <w:jc w:val="both"/>
        <w:rPr>
          <w:rFonts w:ascii="Calibri" w:hAnsi="Calibri" w:cs="Calibri"/>
          <w:color w:val="auto"/>
          <w:szCs w:val="20"/>
        </w:rPr>
      </w:pPr>
      <w:r w:rsidRPr="00B52D53">
        <w:rPr>
          <w:rFonts w:ascii="Calibri" w:hAnsi="Calibri" w:cs="Calibri"/>
          <w:color w:val="auto"/>
          <w:szCs w:val="20"/>
        </w:rPr>
        <w:t>If they cover a period ending after the maturity date</w:t>
      </w:r>
    </w:p>
    <w:p w14:paraId="72ABEFDA" w14:textId="6AEF4C71" w:rsidR="00262B4E" w:rsidRPr="00B52D53" w:rsidRDefault="00262B4E" w:rsidP="009F73BE">
      <w:pPr>
        <w:pStyle w:val="ListParagraph"/>
        <w:numPr>
          <w:ilvl w:val="0"/>
          <w:numId w:val="50"/>
        </w:numPr>
        <w:jc w:val="both"/>
        <w:rPr>
          <w:rFonts w:ascii="Calibri" w:hAnsi="Calibri" w:cs="Calibri"/>
          <w:color w:val="auto"/>
          <w:szCs w:val="20"/>
        </w:rPr>
      </w:pPr>
      <w:r w:rsidRPr="00B52D53">
        <w:rPr>
          <w:rFonts w:ascii="Calibri" w:hAnsi="Calibri" w:cs="Calibri"/>
          <w:color w:val="auto"/>
          <w:szCs w:val="20"/>
        </w:rPr>
        <w:t>If they cover periods ending 3 months or less from the start of the initial launch period of a CIS</w:t>
      </w:r>
    </w:p>
    <w:p w14:paraId="3A91B865" w14:textId="6BDDF230" w:rsidR="00262B4E" w:rsidRPr="00B52D53" w:rsidRDefault="00262B4E" w:rsidP="009F73BE">
      <w:pPr>
        <w:pStyle w:val="ListParagraph"/>
        <w:numPr>
          <w:ilvl w:val="0"/>
          <w:numId w:val="50"/>
        </w:numPr>
        <w:jc w:val="both"/>
        <w:rPr>
          <w:rFonts w:ascii="Calibri" w:hAnsi="Calibri" w:cs="Calibri"/>
          <w:color w:val="auto"/>
          <w:szCs w:val="20"/>
        </w:rPr>
      </w:pPr>
      <w:r w:rsidRPr="00B52D53">
        <w:rPr>
          <w:rFonts w:ascii="Calibri" w:hAnsi="Calibri" w:cs="Calibri"/>
          <w:color w:val="auto"/>
          <w:szCs w:val="20"/>
        </w:rPr>
        <w:t>None of the above</w:t>
      </w:r>
    </w:p>
    <w:p w14:paraId="1E96F546" w14:textId="3CA11D37" w:rsidR="00DA483D" w:rsidRPr="00B52D53" w:rsidRDefault="00DA483D" w:rsidP="00DA459B">
      <w:pPr>
        <w:jc w:val="both"/>
        <w:rPr>
          <w:rFonts w:ascii="Calibri" w:hAnsi="Calibri" w:cs="Calibri"/>
          <w:color w:val="auto"/>
          <w:szCs w:val="20"/>
        </w:rPr>
      </w:pPr>
    </w:p>
    <w:p w14:paraId="40DE0458" w14:textId="3A4E0B27" w:rsidR="00262B4E" w:rsidRPr="00B52D53" w:rsidRDefault="00262B4E" w:rsidP="00DA459B">
      <w:pPr>
        <w:jc w:val="both"/>
        <w:rPr>
          <w:rFonts w:ascii="Calibri" w:hAnsi="Calibri" w:cs="Calibri"/>
          <w:color w:val="auto"/>
          <w:szCs w:val="20"/>
        </w:rPr>
      </w:pPr>
      <w:r w:rsidRPr="00B52D53">
        <w:rPr>
          <w:rFonts w:ascii="Calibri" w:hAnsi="Calibri" w:cs="Calibri"/>
          <w:color w:val="auto"/>
          <w:szCs w:val="20"/>
        </w:rPr>
        <w:t>Which of the following should be clearly stated on the first page of a money market fund prospectus?</w:t>
      </w:r>
    </w:p>
    <w:p w14:paraId="4E4B1232" w14:textId="55FE6086" w:rsidR="00262B4E" w:rsidRPr="00B52D53" w:rsidRDefault="00262B4E" w:rsidP="009F73BE">
      <w:pPr>
        <w:pStyle w:val="ListParagraph"/>
        <w:numPr>
          <w:ilvl w:val="0"/>
          <w:numId w:val="51"/>
        </w:numPr>
        <w:jc w:val="both"/>
        <w:rPr>
          <w:rFonts w:ascii="Calibri" w:hAnsi="Calibri" w:cs="Calibri"/>
          <w:color w:val="auto"/>
          <w:szCs w:val="20"/>
        </w:rPr>
      </w:pPr>
      <w:r w:rsidRPr="00B52D53">
        <w:rPr>
          <w:rFonts w:ascii="Calibri" w:hAnsi="Calibri" w:cs="Calibri"/>
          <w:color w:val="auto"/>
          <w:szCs w:val="20"/>
        </w:rPr>
        <w:t>The purchase of a unit in the MMF is not the same as placing funds on deposit with a bank or deposit-taking company.</w:t>
      </w:r>
    </w:p>
    <w:p w14:paraId="4A18E098" w14:textId="0596AB44" w:rsidR="00262B4E" w:rsidRPr="00B52D53" w:rsidRDefault="00262B4E" w:rsidP="009F73BE">
      <w:pPr>
        <w:pStyle w:val="ListParagraph"/>
        <w:numPr>
          <w:ilvl w:val="0"/>
          <w:numId w:val="51"/>
        </w:numPr>
        <w:jc w:val="both"/>
        <w:rPr>
          <w:rFonts w:ascii="Calibri" w:hAnsi="Calibri" w:cs="Calibri"/>
          <w:color w:val="auto"/>
          <w:szCs w:val="20"/>
        </w:rPr>
      </w:pPr>
      <w:r w:rsidRPr="00B52D53">
        <w:rPr>
          <w:rFonts w:ascii="Calibri" w:hAnsi="Calibri" w:cs="Calibri"/>
          <w:color w:val="auto"/>
          <w:szCs w:val="20"/>
        </w:rPr>
        <w:t>Although the manager may seek to maintain or preserve the principal value of the MMF, there can be no assurance that the fund will be able to meet this objective.</w:t>
      </w:r>
    </w:p>
    <w:p w14:paraId="0D8B4498" w14:textId="0EB527B3" w:rsidR="00262B4E" w:rsidRPr="00B52D53" w:rsidRDefault="00262B4E" w:rsidP="009F73BE">
      <w:pPr>
        <w:pStyle w:val="ListParagraph"/>
        <w:numPr>
          <w:ilvl w:val="0"/>
          <w:numId w:val="51"/>
        </w:numPr>
        <w:jc w:val="both"/>
        <w:rPr>
          <w:rFonts w:ascii="Calibri" w:hAnsi="Calibri" w:cs="Calibri"/>
          <w:color w:val="auto"/>
          <w:szCs w:val="20"/>
        </w:rPr>
      </w:pPr>
      <w:r w:rsidRPr="00B52D53">
        <w:rPr>
          <w:rFonts w:ascii="Calibri" w:hAnsi="Calibri" w:cs="Calibri"/>
          <w:color w:val="auto"/>
          <w:szCs w:val="20"/>
        </w:rPr>
        <w:t>The MMF is not a guaranteed fund, in that there is no guarantee as to the amount of capital invested or return received.</w:t>
      </w:r>
    </w:p>
    <w:p w14:paraId="3B2C9F1A" w14:textId="55B39FDD" w:rsidR="00262B4E" w:rsidRPr="00B52D53" w:rsidRDefault="00262B4E" w:rsidP="009F73BE">
      <w:pPr>
        <w:pStyle w:val="ListParagraph"/>
        <w:numPr>
          <w:ilvl w:val="0"/>
          <w:numId w:val="51"/>
        </w:numPr>
        <w:jc w:val="both"/>
        <w:rPr>
          <w:rFonts w:ascii="Calibri" w:hAnsi="Calibri" w:cs="Calibri"/>
          <w:color w:val="auto"/>
          <w:szCs w:val="20"/>
        </w:rPr>
      </w:pPr>
      <w:proofErr w:type="gramStart"/>
      <w:r w:rsidRPr="00B52D53">
        <w:rPr>
          <w:rFonts w:ascii="Calibri" w:hAnsi="Calibri" w:cs="Calibri"/>
          <w:color w:val="auto"/>
          <w:szCs w:val="20"/>
        </w:rPr>
        <w:t>All of</w:t>
      </w:r>
      <w:proofErr w:type="gramEnd"/>
      <w:r w:rsidRPr="00B52D53">
        <w:rPr>
          <w:rFonts w:ascii="Calibri" w:hAnsi="Calibri" w:cs="Calibri"/>
          <w:color w:val="auto"/>
          <w:szCs w:val="20"/>
        </w:rPr>
        <w:t xml:space="preserve"> the above. </w:t>
      </w:r>
    </w:p>
    <w:p w14:paraId="5C8CBE0F" w14:textId="77777777" w:rsidR="003240E4" w:rsidRPr="00B52D53" w:rsidRDefault="003240E4" w:rsidP="00DA459B">
      <w:pPr>
        <w:jc w:val="both"/>
        <w:rPr>
          <w:rFonts w:ascii="Calibri" w:hAnsi="Calibri" w:cs="Calibri"/>
          <w:color w:val="auto"/>
          <w:szCs w:val="20"/>
        </w:rPr>
      </w:pPr>
    </w:p>
    <w:p w14:paraId="121D1978" w14:textId="239FB8FC" w:rsidR="003240E4" w:rsidRPr="00B52D53" w:rsidRDefault="003240E4" w:rsidP="00DA459B">
      <w:pPr>
        <w:jc w:val="both"/>
        <w:rPr>
          <w:rFonts w:ascii="Calibri" w:hAnsi="Calibri" w:cs="Calibri"/>
          <w:color w:val="auto"/>
          <w:szCs w:val="20"/>
        </w:rPr>
      </w:pPr>
      <w:r w:rsidRPr="00B52D53">
        <w:rPr>
          <w:rFonts w:ascii="Calibri" w:hAnsi="Calibri" w:cs="Calibri"/>
          <w:color w:val="auto"/>
          <w:szCs w:val="20"/>
        </w:rPr>
        <w:lastRenderedPageBreak/>
        <w:t>Which of the following are permitted to be disseminated without being subject to the advertising requirements in the SFR-CIS?</w:t>
      </w:r>
    </w:p>
    <w:p w14:paraId="29825A5B" w14:textId="26D915CA" w:rsidR="003240E4" w:rsidRPr="00B52D53" w:rsidRDefault="003240E4" w:rsidP="009F73BE">
      <w:pPr>
        <w:pStyle w:val="ListParagraph"/>
        <w:numPr>
          <w:ilvl w:val="0"/>
          <w:numId w:val="52"/>
        </w:numPr>
        <w:jc w:val="both"/>
        <w:rPr>
          <w:rFonts w:ascii="Calibri" w:hAnsi="Calibri" w:cs="Calibri"/>
          <w:color w:val="auto"/>
          <w:szCs w:val="20"/>
        </w:rPr>
      </w:pPr>
      <w:r w:rsidRPr="00B52D53">
        <w:rPr>
          <w:rFonts w:ascii="Calibri" w:hAnsi="Calibri" w:cs="Calibri"/>
          <w:color w:val="auto"/>
          <w:szCs w:val="20"/>
        </w:rPr>
        <w:t>If the advertisement or publication consists solely of a disclosure, notice or report required under the SFA</w:t>
      </w:r>
    </w:p>
    <w:p w14:paraId="3C1827C0" w14:textId="77777777" w:rsidR="003240E4" w:rsidRPr="00B52D53" w:rsidRDefault="003240E4" w:rsidP="009F73BE">
      <w:pPr>
        <w:pStyle w:val="ListParagraph"/>
        <w:numPr>
          <w:ilvl w:val="0"/>
          <w:numId w:val="52"/>
        </w:numPr>
        <w:jc w:val="both"/>
        <w:rPr>
          <w:rFonts w:ascii="Calibri" w:hAnsi="Calibri" w:cs="Calibri"/>
          <w:color w:val="auto"/>
          <w:szCs w:val="20"/>
        </w:rPr>
      </w:pPr>
      <w:r w:rsidRPr="00B52D53">
        <w:rPr>
          <w:rFonts w:ascii="Calibri" w:hAnsi="Calibri" w:cs="Calibri"/>
          <w:color w:val="auto"/>
          <w:szCs w:val="20"/>
        </w:rPr>
        <w:t>If the advertisement or publication consists solely of a notice or report of a meeting of the participants of the CIS</w:t>
      </w:r>
    </w:p>
    <w:p w14:paraId="48D9BB7E" w14:textId="77777777" w:rsidR="003240E4" w:rsidRPr="00B52D53" w:rsidRDefault="003240E4" w:rsidP="009F73BE">
      <w:pPr>
        <w:pStyle w:val="ListParagraph"/>
        <w:numPr>
          <w:ilvl w:val="0"/>
          <w:numId w:val="52"/>
        </w:numPr>
        <w:jc w:val="both"/>
        <w:rPr>
          <w:rFonts w:ascii="Calibri" w:hAnsi="Calibri" w:cs="Calibri"/>
          <w:color w:val="auto"/>
          <w:szCs w:val="20"/>
        </w:rPr>
      </w:pPr>
      <w:r w:rsidRPr="00B52D53">
        <w:rPr>
          <w:rFonts w:ascii="Calibri" w:hAnsi="Calibri" w:cs="Calibri"/>
          <w:color w:val="auto"/>
          <w:szCs w:val="20"/>
        </w:rPr>
        <w:t xml:space="preserve">If the advertisement or publication consists solely of a report about the CIS or proposed CIS that is prepared in accordance </w:t>
      </w:r>
      <w:proofErr w:type="gramStart"/>
      <w:r w:rsidRPr="00B52D53">
        <w:rPr>
          <w:rFonts w:ascii="Calibri" w:hAnsi="Calibri" w:cs="Calibri"/>
          <w:color w:val="auto"/>
          <w:szCs w:val="20"/>
        </w:rPr>
        <w:t>to</w:t>
      </w:r>
      <w:proofErr w:type="gramEnd"/>
      <w:r w:rsidRPr="00B52D53">
        <w:rPr>
          <w:rFonts w:ascii="Calibri" w:hAnsi="Calibri" w:cs="Calibri"/>
          <w:color w:val="auto"/>
          <w:szCs w:val="20"/>
        </w:rPr>
        <w:t xml:space="preserve"> the Code</w:t>
      </w:r>
    </w:p>
    <w:p w14:paraId="7EDACE15" w14:textId="77777777" w:rsidR="003240E4" w:rsidRPr="00B52D53" w:rsidRDefault="003240E4" w:rsidP="009F73BE">
      <w:pPr>
        <w:pStyle w:val="ListParagraph"/>
        <w:numPr>
          <w:ilvl w:val="0"/>
          <w:numId w:val="52"/>
        </w:numPr>
        <w:jc w:val="both"/>
        <w:rPr>
          <w:rFonts w:ascii="Calibri" w:hAnsi="Calibri" w:cs="Calibri"/>
          <w:color w:val="auto"/>
          <w:szCs w:val="20"/>
        </w:rPr>
      </w:pPr>
      <w:proofErr w:type="gramStart"/>
      <w:r w:rsidRPr="00B52D53">
        <w:rPr>
          <w:rFonts w:ascii="Calibri" w:hAnsi="Calibri" w:cs="Calibri"/>
          <w:color w:val="auto"/>
          <w:szCs w:val="20"/>
        </w:rPr>
        <w:t>All of</w:t>
      </w:r>
      <w:proofErr w:type="gramEnd"/>
      <w:r w:rsidRPr="00B52D53">
        <w:rPr>
          <w:rFonts w:ascii="Calibri" w:hAnsi="Calibri" w:cs="Calibri"/>
          <w:color w:val="auto"/>
          <w:szCs w:val="20"/>
        </w:rPr>
        <w:t xml:space="preserve"> the above</w:t>
      </w:r>
    </w:p>
    <w:p w14:paraId="6592216D" w14:textId="77777777" w:rsidR="003240E4" w:rsidRPr="00B52D53" w:rsidRDefault="003240E4" w:rsidP="00DA459B">
      <w:pPr>
        <w:jc w:val="both"/>
        <w:rPr>
          <w:rFonts w:ascii="Calibri" w:hAnsi="Calibri" w:cs="Calibri"/>
          <w:color w:val="auto"/>
          <w:szCs w:val="20"/>
        </w:rPr>
      </w:pPr>
    </w:p>
    <w:p w14:paraId="1B409A1C" w14:textId="77777777" w:rsidR="003240E4" w:rsidRPr="00B52D53" w:rsidRDefault="003240E4" w:rsidP="00DA459B">
      <w:pPr>
        <w:jc w:val="both"/>
        <w:rPr>
          <w:rFonts w:ascii="Calibri" w:hAnsi="Calibri" w:cs="Calibri"/>
          <w:color w:val="auto"/>
          <w:szCs w:val="20"/>
        </w:rPr>
      </w:pPr>
      <w:r w:rsidRPr="00B52D53">
        <w:rPr>
          <w:rFonts w:ascii="Calibri" w:hAnsi="Calibri" w:cs="Calibri"/>
          <w:color w:val="auto"/>
          <w:szCs w:val="20"/>
        </w:rPr>
        <w:t>What is referred to as Collective Investment Schemes that invest in real estate and related assets?</w:t>
      </w:r>
    </w:p>
    <w:p w14:paraId="138B06AF" w14:textId="77777777" w:rsidR="003240E4" w:rsidRPr="00B52D53" w:rsidRDefault="003240E4" w:rsidP="009F73BE">
      <w:pPr>
        <w:pStyle w:val="ListParagraph"/>
        <w:numPr>
          <w:ilvl w:val="0"/>
          <w:numId w:val="53"/>
        </w:numPr>
        <w:jc w:val="both"/>
        <w:rPr>
          <w:rFonts w:ascii="Calibri" w:hAnsi="Calibri" w:cs="Calibri"/>
          <w:color w:val="auto"/>
          <w:szCs w:val="20"/>
        </w:rPr>
      </w:pPr>
      <w:r w:rsidRPr="00B52D53">
        <w:rPr>
          <w:rFonts w:ascii="Calibri" w:hAnsi="Calibri" w:cs="Calibri"/>
          <w:color w:val="auto"/>
          <w:szCs w:val="20"/>
        </w:rPr>
        <w:t>Property corporations</w:t>
      </w:r>
    </w:p>
    <w:p w14:paraId="523CCB44" w14:textId="51E31AF6" w:rsidR="003240E4" w:rsidRPr="00B52D53" w:rsidRDefault="003240E4" w:rsidP="009F73BE">
      <w:pPr>
        <w:pStyle w:val="ListParagraph"/>
        <w:numPr>
          <w:ilvl w:val="0"/>
          <w:numId w:val="53"/>
        </w:numPr>
        <w:jc w:val="both"/>
        <w:rPr>
          <w:rFonts w:ascii="Calibri" w:hAnsi="Calibri" w:cs="Calibri"/>
          <w:color w:val="auto"/>
          <w:szCs w:val="20"/>
        </w:rPr>
      </w:pPr>
      <w:r w:rsidRPr="00B52D53">
        <w:rPr>
          <w:rFonts w:ascii="Calibri" w:hAnsi="Calibri" w:cs="Calibri"/>
          <w:color w:val="auto"/>
          <w:szCs w:val="20"/>
        </w:rPr>
        <w:t>Mortgage-backed securities</w:t>
      </w:r>
    </w:p>
    <w:p w14:paraId="3CBEC386" w14:textId="77777777" w:rsidR="003240E4" w:rsidRPr="00B52D53" w:rsidRDefault="003240E4" w:rsidP="009F73BE">
      <w:pPr>
        <w:pStyle w:val="ListParagraph"/>
        <w:numPr>
          <w:ilvl w:val="0"/>
          <w:numId w:val="53"/>
        </w:numPr>
        <w:jc w:val="both"/>
        <w:rPr>
          <w:rFonts w:ascii="Calibri" w:hAnsi="Calibri" w:cs="Calibri"/>
          <w:color w:val="auto"/>
          <w:szCs w:val="20"/>
        </w:rPr>
      </w:pPr>
      <w:r w:rsidRPr="00B52D53">
        <w:rPr>
          <w:rFonts w:ascii="Calibri" w:hAnsi="Calibri" w:cs="Calibri"/>
          <w:color w:val="auto"/>
          <w:szCs w:val="20"/>
        </w:rPr>
        <w:t>Property funds</w:t>
      </w:r>
    </w:p>
    <w:p w14:paraId="39B87D73" w14:textId="77777777" w:rsidR="003240E4" w:rsidRPr="00B52D53" w:rsidRDefault="003240E4" w:rsidP="009F73BE">
      <w:pPr>
        <w:pStyle w:val="ListParagraph"/>
        <w:numPr>
          <w:ilvl w:val="0"/>
          <w:numId w:val="53"/>
        </w:numPr>
        <w:jc w:val="both"/>
        <w:rPr>
          <w:rFonts w:ascii="Calibri" w:hAnsi="Calibri" w:cs="Calibri"/>
          <w:color w:val="auto"/>
          <w:szCs w:val="20"/>
        </w:rPr>
      </w:pPr>
      <w:r w:rsidRPr="00B52D53">
        <w:rPr>
          <w:rFonts w:ascii="Calibri" w:hAnsi="Calibri" w:cs="Calibri"/>
          <w:color w:val="auto"/>
          <w:szCs w:val="20"/>
        </w:rPr>
        <w:t>None of the above</w:t>
      </w:r>
    </w:p>
    <w:p w14:paraId="4CA9D046" w14:textId="77777777" w:rsidR="003240E4" w:rsidRPr="00B52D53" w:rsidRDefault="003240E4" w:rsidP="00DA459B">
      <w:pPr>
        <w:jc w:val="both"/>
        <w:rPr>
          <w:rFonts w:ascii="Calibri" w:hAnsi="Calibri" w:cs="Calibri"/>
          <w:color w:val="auto"/>
          <w:szCs w:val="20"/>
        </w:rPr>
      </w:pPr>
    </w:p>
    <w:p w14:paraId="30389163" w14:textId="77777777" w:rsidR="00E65783" w:rsidRPr="00B52D53" w:rsidRDefault="00E65783" w:rsidP="00DA459B">
      <w:pPr>
        <w:jc w:val="both"/>
        <w:rPr>
          <w:rFonts w:ascii="Calibri" w:hAnsi="Calibri" w:cs="Calibri"/>
          <w:color w:val="auto"/>
          <w:szCs w:val="20"/>
        </w:rPr>
      </w:pPr>
      <w:r w:rsidRPr="00B52D53">
        <w:rPr>
          <w:rFonts w:ascii="Calibri" w:hAnsi="Calibri" w:cs="Calibri"/>
          <w:color w:val="auto"/>
          <w:szCs w:val="20"/>
        </w:rPr>
        <w:t>An accredited investor includes a corporation with net assets exceeding _ in value.</w:t>
      </w:r>
    </w:p>
    <w:p w14:paraId="1D19A1E4" w14:textId="77777777" w:rsidR="00E65783" w:rsidRPr="00B52D53" w:rsidRDefault="00E65783" w:rsidP="009F73BE">
      <w:pPr>
        <w:pStyle w:val="ListParagraph"/>
        <w:numPr>
          <w:ilvl w:val="0"/>
          <w:numId w:val="54"/>
        </w:numPr>
        <w:jc w:val="both"/>
        <w:rPr>
          <w:rFonts w:ascii="Calibri" w:hAnsi="Calibri" w:cs="Calibri"/>
          <w:color w:val="auto"/>
          <w:szCs w:val="20"/>
        </w:rPr>
      </w:pPr>
      <w:r w:rsidRPr="00B52D53">
        <w:rPr>
          <w:rFonts w:ascii="Calibri" w:hAnsi="Calibri" w:cs="Calibri"/>
          <w:color w:val="auto"/>
          <w:szCs w:val="20"/>
        </w:rPr>
        <w:t>$10M</w:t>
      </w:r>
    </w:p>
    <w:p w14:paraId="06D47812" w14:textId="77777777" w:rsidR="00E65783" w:rsidRPr="00B52D53" w:rsidRDefault="00E65783" w:rsidP="009F73BE">
      <w:pPr>
        <w:pStyle w:val="ListParagraph"/>
        <w:numPr>
          <w:ilvl w:val="0"/>
          <w:numId w:val="54"/>
        </w:numPr>
        <w:jc w:val="both"/>
        <w:rPr>
          <w:rFonts w:ascii="Calibri" w:hAnsi="Calibri" w:cs="Calibri"/>
          <w:color w:val="auto"/>
          <w:szCs w:val="20"/>
        </w:rPr>
      </w:pPr>
      <w:r w:rsidRPr="00B52D53">
        <w:rPr>
          <w:rFonts w:ascii="Calibri" w:hAnsi="Calibri" w:cs="Calibri"/>
          <w:color w:val="auto"/>
          <w:szCs w:val="20"/>
        </w:rPr>
        <w:t>$25M</w:t>
      </w:r>
    </w:p>
    <w:p w14:paraId="457093E3" w14:textId="77777777" w:rsidR="00E65783" w:rsidRPr="00B52D53" w:rsidRDefault="00E65783" w:rsidP="009F73BE">
      <w:pPr>
        <w:pStyle w:val="ListParagraph"/>
        <w:numPr>
          <w:ilvl w:val="0"/>
          <w:numId w:val="54"/>
        </w:numPr>
        <w:jc w:val="both"/>
        <w:rPr>
          <w:rFonts w:ascii="Calibri" w:hAnsi="Calibri" w:cs="Calibri"/>
          <w:color w:val="auto"/>
          <w:szCs w:val="20"/>
        </w:rPr>
      </w:pPr>
      <w:r w:rsidRPr="00B52D53">
        <w:rPr>
          <w:rFonts w:ascii="Calibri" w:hAnsi="Calibri" w:cs="Calibri"/>
          <w:color w:val="auto"/>
          <w:szCs w:val="20"/>
        </w:rPr>
        <w:t>$50M</w:t>
      </w:r>
    </w:p>
    <w:p w14:paraId="1A50DB5E" w14:textId="1AE0254C" w:rsidR="003240E4" w:rsidRPr="00B52D53" w:rsidRDefault="00E65783" w:rsidP="009F73BE">
      <w:pPr>
        <w:pStyle w:val="ListParagraph"/>
        <w:numPr>
          <w:ilvl w:val="0"/>
          <w:numId w:val="54"/>
        </w:numPr>
        <w:jc w:val="both"/>
        <w:rPr>
          <w:rFonts w:ascii="Calibri" w:hAnsi="Calibri" w:cs="Calibri"/>
          <w:color w:val="auto"/>
          <w:szCs w:val="20"/>
        </w:rPr>
      </w:pPr>
      <w:r w:rsidRPr="00B52D53">
        <w:rPr>
          <w:rFonts w:ascii="Calibri" w:hAnsi="Calibri" w:cs="Calibri"/>
          <w:color w:val="auto"/>
          <w:szCs w:val="20"/>
        </w:rPr>
        <w:t>$3M</w:t>
      </w:r>
      <w:r w:rsidR="003240E4" w:rsidRPr="00B52D53">
        <w:rPr>
          <w:rFonts w:ascii="Calibri" w:hAnsi="Calibri" w:cs="Calibri"/>
          <w:color w:val="auto"/>
          <w:szCs w:val="20"/>
        </w:rPr>
        <w:t xml:space="preserve">  </w:t>
      </w:r>
    </w:p>
    <w:p w14:paraId="36A26480" w14:textId="77777777" w:rsidR="00E65783" w:rsidRPr="00B52D53" w:rsidRDefault="00E65783" w:rsidP="00DA459B">
      <w:pPr>
        <w:jc w:val="both"/>
        <w:rPr>
          <w:rFonts w:ascii="Calibri" w:hAnsi="Calibri" w:cs="Calibri"/>
          <w:color w:val="auto"/>
          <w:szCs w:val="20"/>
        </w:rPr>
      </w:pPr>
    </w:p>
    <w:p w14:paraId="35E7FE33" w14:textId="635A4E41" w:rsidR="00E65783" w:rsidRPr="00B52D53" w:rsidRDefault="00E65783" w:rsidP="00DA459B">
      <w:pPr>
        <w:jc w:val="both"/>
        <w:rPr>
          <w:rFonts w:ascii="Calibri" w:hAnsi="Calibri" w:cs="Calibri"/>
          <w:b/>
          <w:bCs/>
          <w:color w:val="auto"/>
          <w:szCs w:val="20"/>
        </w:rPr>
      </w:pPr>
      <w:r w:rsidRPr="00B52D53">
        <w:rPr>
          <w:rFonts w:ascii="Calibri" w:hAnsi="Calibri" w:cs="Calibri"/>
          <w:b/>
          <w:bCs/>
          <w:color w:val="auto"/>
          <w:szCs w:val="20"/>
        </w:rPr>
        <w:t>Chapter 7 – Guidelines on Product Highlights Sheet (PHS_</w:t>
      </w:r>
    </w:p>
    <w:p w14:paraId="62B807F6" w14:textId="46714C14" w:rsidR="00E65783" w:rsidRPr="00B52D53" w:rsidRDefault="00E65783" w:rsidP="00DA459B">
      <w:pPr>
        <w:jc w:val="both"/>
        <w:rPr>
          <w:rFonts w:ascii="Calibri" w:hAnsi="Calibri" w:cs="Calibri"/>
          <w:color w:val="auto"/>
          <w:szCs w:val="20"/>
        </w:rPr>
      </w:pPr>
      <w:r w:rsidRPr="00B52D53">
        <w:rPr>
          <w:rFonts w:ascii="Calibri" w:hAnsi="Calibri" w:cs="Calibri"/>
          <w:color w:val="auto"/>
          <w:szCs w:val="20"/>
        </w:rPr>
        <w:t>Under PHS guidelines, which of the following statements about the features of structured notes is/are True?</w:t>
      </w:r>
    </w:p>
    <w:p w14:paraId="7407C83C" w14:textId="39C11AF4" w:rsidR="00E65783" w:rsidRPr="00B52D53" w:rsidRDefault="00E65783" w:rsidP="009F73BE">
      <w:pPr>
        <w:pStyle w:val="ListParagraph"/>
        <w:numPr>
          <w:ilvl w:val="0"/>
          <w:numId w:val="55"/>
        </w:numPr>
        <w:jc w:val="both"/>
        <w:rPr>
          <w:rFonts w:ascii="Calibri" w:hAnsi="Calibri" w:cs="Calibri"/>
          <w:color w:val="auto"/>
          <w:szCs w:val="20"/>
        </w:rPr>
      </w:pPr>
      <w:r w:rsidRPr="00B52D53">
        <w:rPr>
          <w:rFonts w:ascii="Calibri" w:hAnsi="Calibri" w:cs="Calibri"/>
          <w:color w:val="auto"/>
          <w:szCs w:val="20"/>
        </w:rPr>
        <w:t>They are debentures or units of debentures.</w:t>
      </w:r>
    </w:p>
    <w:p w14:paraId="1D84D00D" w14:textId="4F5B2F38" w:rsidR="00E65783" w:rsidRPr="00B52D53" w:rsidRDefault="00E65783" w:rsidP="009F73BE">
      <w:pPr>
        <w:pStyle w:val="ListParagraph"/>
        <w:numPr>
          <w:ilvl w:val="0"/>
          <w:numId w:val="55"/>
        </w:numPr>
        <w:jc w:val="both"/>
        <w:rPr>
          <w:rFonts w:ascii="Calibri" w:hAnsi="Calibri" w:cs="Calibri"/>
          <w:color w:val="auto"/>
          <w:szCs w:val="20"/>
        </w:rPr>
      </w:pPr>
      <w:r w:rsidRPr="00B52D53">
        <w:rPr>
          <w:rFonts w:ascii="Calibri" w:hAnsi="Calibri" w:cs="Calibri"/>
          <w:color w:val="auto"/>
          <w:szCs w:val="20"/>
        </w:rPr>
        <w:t xml:space="preserve">They are issued pursuant to a synthetic securitization transaction or by a specified financial institution </w:t>
      </w:r>
    </w:p>
    <w:p w14:paraId="4C7510C9" w14:textId="586CDF6A" w:rsidR="00E65783" w:rsidRPr="00B52D53" w:rsidRDefault="00E65783" w:rsidP="009F73BE">
      <w:pPr>
        <w:pStyle w:val="ListParagraph"/>
        <w:numPr>
          <w:ilvl w:val="0"/>
          <w:numId w:val="55"/>
        </w:numPr>
        <w:jc w:val="both"/>
        <w:rPr>
          <w:rFonts w:ascii="Calibri" w:hAnsi="Calibri" w:cs="Calibri"/>
          <w:color w:val="auto"/>
          <w:szCs w:val="20"/>
        </w:rPr>
      </w:pPr>
      <w:r w:rsidRPr="00B52D53">
        <w:rPr>
          <w:rFonts w:ascii="Calibri" w:hAnsi="Calibri" w:cs="Calibri"/>
          <w:color w:val="auto"/>
          <w:szCs w:val="20"/>
        </w:rPr>
        <w:t>Either or both the principal sum and any interest are payable</w:t>
      </w:r>
    </w:p>
    <w:p w14:paraId="6AFD438F" w14:textId="1E322E94" w:rsidR="00E65783" w:rsidRPr="00B52D53" w:rsidRDefault="00E65783" w:rsidP="009F73BE">
      <w:pPr>
        <w:pStyle w:val="ListParagraph"/>
        <w:numPr>
          <w:ilvl w:val="0"/>
          <w:numId w:val="55"/>
        </w:numPr>
        <w:jc w:val="both"/>
        <w:rPr>
          <w:rFonts w:ascii="Calibri" w:hAnsi="Calibri" w:cs="Calibri"/>
          <w:color w:val="auto"/>
          <w:szCs w:val="20"/>
        </w:rPr>
      </w:pPr>
      <w:proofErr w:type="gramStart"/>
      <w:r w:rsidRPr="00B52D53">
        <w:rPr>
          <w:rFonts w:ascii="Calibri" w:hAnsi="Calibri" w:cs="Calibri"/>
          <w:color w:val="auto"/>
          <w:szCs w:val="20"/>
        </w:rPr>
        <w:t>All of</w:t>
      </w:r>
      <w:proofErr w:type="gramEnd"/>
      <w:r w:rsidRPr="00B52D53">
        <w:rPr>
          <w:rFonts w:ascii="Calibri" w:hAnsi="Calibri" w:cs="Calibri"/>
          <w:color w:val="auto"/>
          <w:szCs w:val="20"/>
        </w:rPr>
        <w:t xml:space="preserve"> the above</w:t>
      </w:r>
    </w:p>
    <w:p w14:paraId="38334F4F" w14:textId="05463191" w:rsidR="00E65783" w:rsidRPr="00B52D53" w:rsidRDefault="00E65783" w:rsidP="00DA459B">
      <w:pPr>
        <w:jc w:val="both"/>
        <w:rPr>
          <w:rFonts w:ascii="Calibri" w:hAnsi="Calibri" w:cs="Calibri"/>
          <w:color w:val="auto"/>
          <w:szCs w:val="20"/>
        </w:rPr>
      </w:pPr>
    </w:p>
    <w:p w14:paraId="16C22965" w14:textId="2DA75C64" w:rsidR="00E65783" w:rsidRPr="00B52D53" w:rsidRDefault="00E65783" w:rsidP="00DA459B">
      <w:pPr>
        <w:jc w:val="both"/>
        <w:rPr>
          <w:rFonts w:ascii="Calibri" w:hAnsi="Calibri" w:cs="Calibri"/>
          <w:color w:val="auto"/>
          <w:szCs w:val="20"/>
        </w:rPr>
      </w:pPr>
      <w:r w:rsidRPr="00B52D53">
        <w:rPr>
          <w:rFonts w:ascii="Calibri" w:hAnsi="Calibri" w:cs="Calibri"/>
          <w:color w:val="auto"/>
          <w:szCs w:val="20"/>
        </w:rPr>
        <w:t>Issuers should furnish investors with a PHS for offers of:</w:t>
      </w:r>
    </w:p>
    <w:p w14:paraId="79AD9AF1" w14:textId="77777777" w:rsidR="00E65783" w:rsidRPr="00B52D53" w:rsidRDefault="00E65783"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2BB43458" w14:textId="77777777" w:rsidR="00E65783" w:rsidRPr="00B52D53" w:rsidRDefault="00E65783" w:rsidP="009F73BE">
      <w:pPr>
        <w:pStyle w:val="ListParagraph"/>
        <w:numPr>
          <w:ilvl w:val="0"/>
          <w:numId w:val="56"/>
        </w:numPr>
        <w:jc w:val="both"/>
        <w:rPr>
          <w:rFonts w:ascii="Calibri" w:hAnsi="Calibri" w:cs="Calibri"/>
          <w:color w:val="auto"/>
          <w:szCs w:val="20"/>
        </w:rPr>
      </w:pPr>
      <w:r w:rsidRPr="00B52D53">
        <w:rPr>
          <w:rFonts w:ascii="Calibri" w:hAnsi="Calibri" w:cs="Calibri"/>
          <w:color w:val="auto"/>
          <w:szCs w:val="20"/>
        </w:rPr>
        <w:t>Asset-backed securities where the offer is made without a prospectus</w:t>
      </w:r>
    </w:p>
    <w:p w14:paraId="680B8F07" w14:textId="77777777" w:rsidR="00E65783" w:rsidRPr="00B52D53" w:rsidRDefault="00E65783" w:rsidP="009F73BE">
      <w:pPr>
        <w:pStyle w:val="ListParagraph"/>
        <w:numPr>
          <w:ilvl w:val="0"/>
          <w:numId w:val="56"/>
        </w:numPr>
        <w:jc w:val="both"/>
        <w:rPr>
          <w:rFonts w:ascii="Calibri" w:hAnsi="Calibri" w:cs="Calibri"/>
          <w:color w:val="auto"/>
          <w:szCs w:val="20"/>
        </w:rPr>
      </w:pPr>
      <w:r w:rsidRPr="00B52D53">
        <w:rPr>
          <w:rFonts w:ascii="Calibri" w:hAnsi="Calibri" w:cs="Calibri"/>
          <w:color w:val="auto"/>
          <w:szCs w:val="20"/>
        </w:rPr>
        <w:t>Exchanged-traded structured notes where the offer is accompanied by a prospectus</w:t>
      </w:r>
    </w:p>
    <w:p w14:paraId="124DA1E0" w14:textId="7C401B30" w:rsidR="00273450" w:rsidRPr="00B52D53" w:rsidRDefault="00273450" w:rsidP="009F73BE">
      <w:pPr>
        <w:pStyle w:val="ListParagraph"/>
        <w:numPr>
          <w:ilvl w:val="0"/>
          <w:numId w:val="56"/>
        </w:numPr>
        <w:jc w:val="both"/>
        <w:rPr>
          <w:rFonts w:ascii="Calibri" w:hAnsi="Calibri" w:cs="Calibri"/>
          <w:color w:val="auto"/>
          <w:szCs w:val="20"/>
        </w:rPr>
      </w:pPr>
      <w:r w:rsidRPr="00B52D53">
        <w:rPr>
          <w:rFonts w:ascii="Calibri" w:hAnsi="Calibri" w:cs="Calibri"/>
          <w:color w:val="auto"/>
          <w:szCs w:val="20"/>
        </w:rPr>
        <w:t>Exchanged-traded funds where the offer is accompanied by a prospectus</w:t>
      </w:r>
    </w:p>
    <w:p w14:paraId="1D84489F" w14:textId="1968251D" w:rsidR="00E65783" w:rsidRPr="00B52D53" w:rsidRDefault="00273450" w:rsidP="009F73BE">
      <w:pPr>
        <w:pStyle w:val="ListParagraph"/>
        <w:numPr>
          <w:ilvl w:val="0"/>
          <w:numId w:val="56"/>
        </w:numPr>
        <w:jc w:val="both"/>
        <w:rPr>
          <w:rFonts w:ascii="Calibri" w:hAnsi="Calibri" w:cs="Calibri"/>
          <w:color w:val="auto"/>
          <w:szCs w:val="20"/>
        </w:rPr>
      </w:pPr>
      <w:r w:rsidRPr="00B52D53">
        <w:rPr>
          <w:rFonts w:ascii="Calibri" w:hAnsi="Calibri" w:cs="Calibri"/>
          <w:color w:val="auto"/>
          <w:szCs w:val="20"/>
        </w:rPr>
        <w:lastRenderedPageBreak/>
        <w:t>Unlisted CIS where the offer is made without a prospectus</w:t>
      </w:r>
    </w:p>
    <w:p w14:paraId="6D585D01" w14:textId="77777777" w:rsidR="00273450" w:rsidRPr="00B52D53" w:rsidRDefault="00273450" w:rsidP="00DA459B">
      <w:pPr>
        <w:jc w:val="both"/>
        <w:rPr>
          <w:rFonts w:ascii="Calibri" w:hAnsi="Calibri" w:cs="Calibri"/>
          <w:color w:val="auto"/>
          <w:szCs w:val="20"/>
        </w:rPr>
      </w:pPr>
    </w:p>
    <w:p w14:paraId="6085870D" w14:textId="5E426B33" w:rsidR="00273450" w:rsidRPr="00B52D53" w:rsidRDefault="00273450" w:rsidP="00DA459B">
      <w:pPr>
        <w:jc w:val="both"/>
        <w:rPr>
          <w:rFonts w:ascii="Calibri" w:hAnsi="Calibri" w:cs="Calibri"/>
          <w:color w:val="auto"/>
          <w:szCs w:val="20"/>
        </w:rPr>
      </w:pPr>
      <w:r w:rsidRPr="00B52D53">
        <w:rPr>
          <w:rFonts w:ascii="Calibri" w:hAnsi="Calibri" w:cs="Calibri"/>
          <w:color w:val="auto"/>
          <w:szCs w:val="20"/>
        </w:rPr>
        <w:t>Which of the following statements about the requirements of the PHS guidelines is FALSE?</w:t>
      </w:r>
    </w:p>
    <w:p w14:paraId="5F8A8C9C" w14:textId="24E7E0AB" w:rsidR="00273450" w:rsidRPr="00B52D53" w:rsidRDefault="00273450" w:rsidP="009F73BE">
      <w:pPr>
        <w:pStyle w:val="ListParagraph"/>
        <w:numPr>
          <w:ilvl w:val="0"/>
          <w:numId w:val="57"/>
        </w:numPr>
        <w:jc w:val="both"/>
        <w:rPr>
          <w:rFonts w:ascii="Calibri" w:hAnsi="Calibri" w:cs="Calibri"/>
          <w:color w:val="auto"/>
          <w:szCs w:val="20"/>
        </w:rPr>
      </w:pPr>
      <w:r w:rsidRPr="00B52D53">
        <w:rPr>
          <w:rFonts w:ascii="Calibri" w:hAnsi="Calibri" w:cs="Calibri"/>
          <w:color w:val="auto"/>
          <w:szCs w:val="20"/>
        </w:rPr>
        <w:t>Issuers must adhere to the relevant templates in the appendices of the guidelines.</w:t>
      </w:r>
    </w:p>
    <w:p w14:paraId="74633425" w14:textId="2CB64E6E" w:rsidR="00273450" w:rsidRPr="00B52D53" w:rsidRDefault="00273450" w:rsidP="009F73BE">
      <w:pPr>
        <w:pStyle w:val="ListParagraph"/>
        <w:numPr>
          <w:ilvl w:val="0"/>
          <w:numId w:val="57"/>
        </w:numPr>
        <w:jc w:val="both"/>
        <w:rPr>
          <w:rFonts w:ascii="Calibri" w:hAnsi="Calibri" w:cs="Calibri"/>
          <w:color w:val="auto"/>
          <w:szCs w:val="20"/>
        </w:rPr>
      </w:pPr>
      <w:r w:rsidRPr="00B52D53">
        <w:rPr>
          <w:rFonts w:ascii="Calibri" w:hAnsi="Calibri" w:cs="Calibri"/>
          <w:color w:val="auto"/>
          <w:szCs w:val="20"/>
        </w:rPr>
        <w:t>Issuers must stick to the headings mentioned in the templates and avoid using subheadings.</w:t>
      </w:r>
    </w:p>
    <w:p w14:paraId="7047FAD4" w14:textId="04E7A1EA" w:rsidR="00273450" w:rsidRPr="00B52D53" w:rsidRDefault="00273450" w:rsidP="009F73BE">
      <w:pPr>
        <w:pStyle w:val="ListParagraph"/>
        <w:numPr>
          <w:ilvl w:val="0"/>
          <w:numId w:val="57"/>
        </w:numPr>
        <w:jc w:val="both"/>
        <w:rPr>
          <w:rFonts w:ascii="Calibri" w:hAnsi="Calibri" w:cs="Calibri"/>
          <w:color w:val="auto"/>
          <w:szCs w:val="20"/>
        </w:rPr>
      </w:pPr>
      <w:r w:rsidRPr="00B52D53">
        <w:rPr>
          <w:rFonts w:ascii="Calibri" w:hAnsi="Calibri" w:cs="Calibri"/>
          <w:color w:val="auto"/>
          <w:szCs w:val="20"/>
        </w:rPr>
        <w:t>Issuers may include links to online copies of disclosure documents, educational resources or explanatory materials.</w:t>
      </w:r>
    </w:p>
    <w:p w14:paraId="7CA2997F" w14:textId="01C2F8B1" w:rsidR="00273450" w:rsidRPr="00B52D53" w:rsidRDefault="00273450" w:rsidP="009F73BE">
      <w:pPr>
        <w:pStyle w:val="ListParagraph"/>
        <w:numPr>
          <w:ilvl w:val="0"/>
          <w:numId w:val="57"/>
        </w:numPr>
        <w:jc w:val="both"/>
        <w:rPr>
          <w:rFonts w:ascii="Calibri" w:hAnsi="Calibri" w:cs="Calibri"/>
          <w:color w:val="auto"/>
          <w:szCs w:val="20"/>
        </w:rPr>
      </w:pPr>
      <w:r w:rsidRPr="00B52D53">
        <w:rPr>
          <w:rFonts w:ascii="Calibri" w:hAnsi="Calibri" w:cs="Calibri"/>
          <w:color w:val="auto"/>
          <w:szCs w:val="20"/>
        </w:rPr>
        <w:t>The PHS should inform the investors about the return objectives of the product and whether the principal is at risk</w:t>
      </w:r>
    </w:p>
    <w:p w14:paraId="27158512" w14:textId="77777777" w:rsidR="00273450" w:rsidRPr="00B52D53" w:rsidRDefault="00273450" w:rsidP="00DA459B">
      <w:pPr>
        <w:jc w:val="both"/>
        <w:rPr>
          <w:rFonts w:ascii="Calibri" w:hAnsi="Calibri" w:cs="Calibri"/>
          <w:color w:val="auto"/>
          <w:szCs w:val="20"/>
        </w:rPr>
      </w:pPr>
    </w:p>
    <w:p w14:paraId="320CEBA0" w14:textId="77777777" w:rsidR="00273450" w:rsidRPr="00B52D53" w:rsidRDefault="00273450" w:rsidP="00DA459B">
      <w:pPr>
        <w:jc w:val="both"/>
        <w:rPr>
          <w:rFonts w:ascii="Calibri" w:hAnsi="Calibri" w:cs="Calibri"/>
          <w:color w:val="auto"/>
          <w:szCs w:val="20"/>
        </w:rPr>
      </w:pPr>
      <w:r w:rsidRPr="00B52D53">
        <w:rPr>
          <w:rFonts w:ascii="Calibri" w:hAnsi="Calibri" w:cs="Calibri"/>
          <w:color w:val="auto"/>
          <w:szCs w:val="20"/>
        </w:rPr>
        <w:t>Under PHS guidelines, which of the following statements about the features of structured notes is/are True?</w:t>
      </w:r>
    </w:p>
    <w:p w14:paraId="5F989F78" w14:textId="77777777" w:rsidR="00273450" w:rsidRPr="00B52D53" w:rsidRDefault="00273450"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797B3C27" w14:textId="11664ACE" w:rsidR="00273450" w:rsidRPr="00B52D53" w:rsidRDefault="00273450" w:rsidP="009F73BE">
      <w:pPr>
        <w:pStyle w:val="ListParagraph"/>
        <w:numPr>
          <w:ilvl w:val="0"/>
          <w:numId w:val="58"/>
        </w:numPr>
        <w:jc w:val="both"/>
        <w:rPr>
          <w:rFonts w:ascii="Calibri" w:hAnsi="Calibri" w:cs="Calibri"/>
          <w:color w:val="auto"/>
          <w:szCs w:val="20"/>
        </w:rPr>
      </w:pPr>
      <w:r w:rsidRPr="00B52D53">
        <w:rPr>
          <w:rFonts w:ascii="Calibri" w:hAnsi="Calibri" w:cs="Calibri"/>
          <w:color w:val="auto"/>
          <w:szCs w:val="20"/>
        </w:rPr>
        <w:t>Physical delivery of one or more of the underlying equity interests</w:t>
      </w:r>
    </w:p>
    <w:p w14:paraId="55A4D192" w14:textId="7BA1D1F6" w:rsidR="00273450" w:rsidRPr="00B52D53" w:rsidRDefault="00273450" w:rsidP="009F73BE">
      <w:pPr>
        <w:pStyle w:val="ListParagraph"/>
        <w:numPr>
          <w:ilvl w:val="0"/>
          <w:numId w:val="58"/>
        </w:numPr>
        <w:jc w:val="both"/>
        <w:rPr>
          <w:rFonts w:ascii="Calibri" w:hAnsi="Calibri" w:cs="Calibri"/>
          <w:color w:val="auto"/>
          <w:szCs w:val="20"/>
        </w:rPr>
      </w:pPr>
      <w:r w:rsidRPr="00B52D53">
        <w:rPr>
          <w:rFonts w:ascii="Calibri" w:hAnsi="Calibri" w:cs="Calibri"/>
          <w:color w:val="auto"/>
          <w:szCs w:val="20"/>
        </w:rPr>
        <w:t>Physical delivery of one or more of the underlying commodities</w:t>
      </w:r>
    </w:p>
    <w:p w14:paraId="3F46783A" w14:textId="424B07E6" w:rsidR="00273450" w:rsidRPr="00B52D53" w:rsidRDefault="00273450" w:rsidP="009F73BE">
      <w:pPr>
        <w:pStyle w:val="ListParagraph"/>
        <w:numPr>
          <w:ilvl w:val="0"/>
          <w:numId w:val="58"/>
        </w:numPr>
        <w:jc w:val="both"/>
        <w:rPr>
          <w:rFonts w:ascii="Calibri" w:hAnsi="Calibri" w:cs="Calibri"/>
          <w:color w:val="auto"/>
          <w:szCs w:val="20"/>
        </w:rPr>
      </w:pPr>
      <w:r w:rsidRPr="00B52D53">
        <w:rPr>
          <w:rFonts w:ascii="Calibri" w:hAnsi="Calibri" w:cs="Calibri"/>
          <w:color w:val="auto"/>
          <w:szCs w:val="20"/>
        </w:rPr>
        <w:t>Cash settlement of one or more of the underlying currencies</w:t>
      </w:r>
    </w:p>
    <w:p w14:paraId="59DE4694" w14:textId="1CF54FAC" w:rsidR="00273450" w:rsidRPr="00B52D53" w:rsidRDefault="00273450" w:rsidP="009F73BE">
      <w:pPr>
        <w:pStyle w:val="ListParagraph"/>
        <w:numPr>
          <w:ilvl w:val="0"/>
          <w:numId w:val="58"/>
        </w:numPr>
        <w:jc w:val="both"/>
        <w:rPr>
          <w:rFonts w:ascii="Calibri" w:hAnsi="Calibri" w:cs="Calibri"/>
          <w:color w:val="auto"/>
          <w:szCs w:val="20"/>
        </w:rPr>
      </w:pPr>
      <w:r w:rsidRPr="00B52D53">
        <w:rPr>
          <w:rFonts w:ascii="Calibri" w:hAnsi="Calibri" w:cs="Calibri"/>
          <w:color w:val="auto"/>
          <w:szCs w:val="20"/>
        </w:rPr>
        <w:t>Cash settlement of one or more of the underlying securities</w:t>
      </w:r>
    </w:p>
    <w:p w14:paraId="6D123BE4" w14:textId="77777777" w:rsidR="00D526D7" w:rsidRPr="00B52D53" w:rsidRDefault="00D526D7" w:rsidP="00DA459B">
      <w:pPr>
        <w:jc w:val="both"/>
        <w:rPr>
          <w:rFonts w:ascii="Calibri" w:hAnsi="Calibri" w:cs="Calibri"/>
          <w:color w:val="auto"/>
          <w:szCs w:val="20"/>
        </w:rPr>
      </w:pPr>
    </w:p>
    <w:p w14:paraId="3E282162" w14:textId="7A075EC8" w:rsidR="00D526D7" w:rsidRPr="00B52D53" w:rsidRDefault="00D526D7" w:rsidP="00DA459B">
      <w:pPr>
        <w:jc w:val="both"/>
        <w:rPr>
          <w:rFonts w:ascii="Calibri" w:hAnsi="Calibri" w:cs="Calibri"/>
          <w:color w:val="auto"/>
          <w:szCs w:val="20"/>
        </w:rPr>
      </w:pPr>
      <w:r w:rsidRPr="00B52D53">
        <w:rPr>
          <w:rFonts w:ascii="Calibri" w:hAnsi="Calibri" w:cs="Calibri"/>
          <w:color w:val="auto"/>
          <w:szCs w:val="20"/>
        </w:rPr>
        <w:t>Under PHS guidelines, the features of structured notes include settlement based on a formula, which is based on:</w:t>
      </w:r>
    </w:p>
    <w:p w14:paraId="1522E7F2" w14:textId="22DFDAD7" w:rsidR="00D526D7" w:rsidRPr="00B52D53" w:rsidRDefault="00D526D7" w:rsidP="009F73BE">
      <w:pPr>
        <w:pStyle w:val="ListParagraph"/>
        <w:numPr>
          <w:ilvl w:val="0"/>
          <w:numId w:val="59"/>
        </w:numPr>
        <w:jc w:val="both"/>
        <w:rPr>
          <w:rFonts w:ascii="Calibri" w:hAnsi="Calibri" w:cs="Calibri"/>
          <w:color w:val="auto"/>
          <w:szCs w:val="20"/>
        </w:rPr>
      </w:pPr>
      <w:r w:rsidRPr="00B52D53">
        <w:rPr>
          <w:rFonts w:ascii="Calibri" w:hAnsi="Calibri" w:cs="Calibri"/>
          <w:color w:val="auto"/>
          <w:szCs w:val="20"/>
        </w:rPr>
        <w:t>The performance of the underlying securities, equity interest, commodity or index, or a basket of these.</w:t>
      </w:r>
    </w:p>
    <w:p w14:paraId="7494260F" w14:textId="7A04CD00" w:rsidR="00D526D7" w:rsidRPr="00B52D53" w:rsidRDefault="00D526D7" w:rsidP="009F73BE">
      <w:pPr>
        <w:pStyle w:val="ListParagraph"/>
        <w:numPr>
          <w:ilvl w:val="0"/>
          <w:numId w:val="59"/>
        </w:numPr>
        <w:jc w:val="both"/>
        <w:rPr>
          <w:rFonts w:ascii="Calibri" w:hAnsi="Calibri" w:cs="Calibri"/>
          <w:color w:val="auto"/>
          <w:szCs w:val="20"/>
        </w:rPr>
      </w:pPr>
      <w:r w:rsidRPr="00B52D53">
        <w:rPr>
          <w:rFonts w:ascii="Calibri" w:hAnsi="Calibri" w:cs="Calibri"/>
          <w:color w:val="auto"/>
          <w:szCs w:val="20"/>
        </w:rPr>
        <w:t>The credit risk or performance of any entity or a basket of entities.</w:t>
      </w:r>
    </w:p>
    <w:p w14:paraId="7F3F2669" w14:textId="68BD1515" w:rsidR="00D526D7" w:rsidRPr="00B52D53" w:rsidRDefault="00D526D7" w:rsidP="009F73BE">
      <w:pPr>
        <w:pStyle w:val="ListParagraph"/>
        <w:numPr>
          <w:ilvl w:val="0"/>
          <w:numId w:val="59"/>
        </w:numPr>
        <w:jc w:val="both"/>
        <w:rPr>
          <w:rFonts w:ascii="Calibri" w:hAnsi="Calibri" w:cs="Calibri"/>
          <w:color w:val="auto"/>
          <w:szCs w:val="20"/>
        </w:rPr>
      </w:pPr>
      <w:r w:rsidRPr="00B52D53">
        <w:rPr>
          <w:rFonts w:ascii="Calibri" w:hAnsi="Calibri" w:cs="Calibri"/>
          <w:color w:val="auto"/>
          <w:szCs w:val="20"/>
        </w:rPr>
        <w:t>The movement of interest rates or currency exchange rates</w:t>
      </w:r>
    </w:p>
    <w:p w14:paraId="545F37FB" w14:textId="382866FA" w:rsidR="00D526D7" w:rsidRPr="00B52D53" w:rsidRDefault="00D526D7" w:rsidP="009F73BE">
      <w:pPr>
        <w:pStyle w:val="ListParagraph"/>
        <w:numPr>
          <w:ilvl w:val="0"/>
          <w:numId w:val="59"/>
        </w:numPr>
        <w:jc w:val="both"/>
        <w:rPr>
          <w:rFonts w:ascii="Calibri" w:hAnsi="Calibri" w:cs="Calibri"/>
          <w:color w:val="auto"/>
          <w:szCs w:val="20"/>
        </w:rPr>
      </w:pPr>
      <w:proofErr w:type="gramStart"/>
      <w:r w:rsidRPr="00B52D53">
        <w:rPr>
          <w:rFonts w:ascii="Calibri" w:hAnsi="Calibri" w:cs="Calibri"/>
          <w:color w:val="auto"/>
          <w:szCs w:val="20"/>
        </w:rPr>
        <w:t>All of</w:t>
      </w:r>
      <w:proofErr w:type="gramEnd"/>
      <w:r w:rsidRPr="00B52D53">
        <w:rPr>
          <w:rFonts w:ascii="Calibri" w:hAnsi="Calibri" w:cs="Calibri"/>
          <w:color w:val="auto"/>
          <w:szCs w:val="20"/>
        </w:rPr>
        <w:t xml:space="preserve"> the above</w:t>
      </w:r>
    </w:p>
    <w:p w14:paraId="76E0A742" w14:textId="77777777" w:rsidR="00D526D7" w:rsidRPr="00B52D53" w:rsidRDefault="00D526D7" w:rsidP="00DA459B">
      <w:pPr>
        <w:jc w:val="both"/>
        <w:rPr>
          <w:rFonts w:ascii="Calibri" w:hAnsi="Calibri" w:cs="Calibri"/>
          <w:color w:val="auto"/>
          <w:szCs w:val="20"/>
        </w:rPr>
      </w:pPr>
    </w:p>
    <w:p w14:paraId="5A5F1D7F" w14:textId="7A1FE491" w:rsidR="00D526D7" w:rsidRPr="00B52D53" w:rsidRDefault="00D526D7" w:rsidP="00DA459B">
      <w:pPr>
        <w:jc w:val="both"/>
        <w:rPr>
          <w:rFonts w:ascii="Calibri" w:hAnsi="Calibri" w:cs="Calibri"/>
          <w:b/>
          <w:bCs/>
          <w:color w:val="auto"/>
          <w:szCs w:val="20"/>
        </w:rPr>
      </w:pPr>
      <w:r w:rsidRPr="00B52D53">
        <w:rPr>
          <w:rFonts w:ascii="Calibri" w:hAnsi="Calibri" w:cs="Calibri"/>
          <w:b/>
          <w:bCs/>
          <w:color w:val="auto"/>
          <w:szCs w:val="20"/>
        </w:rPr>
        <w:t>Chapter 8 – CPF Investment Scheme (CPFIS) Requirements</w:t>
      </w:r>
    </w:p>
    <w:p w14:paraId="17C9C183" w14:textId="3D105E78" w:rsidR="00273450" w:rsidRPr="00B52D53" w:rsidRDefault="00D526D7" w:rsidP="00DA459B">
      <w:pPr>
        <w:jc w:val="both"/>
        <w:rPr>
          <w:rFonts w:ascii="Calibri" w:hAnsi="Calibri" w:cs="Calibri"/>
          <w:color w:val="auto"/>
          <w:szCs w:val="20"/>
        </w:rPr>
      </w:pPr>
      <w:r w:rsidRPr="00B52D53">
        <w:rPr>
          <w:rFonts w:ascii="Calibri" w:hAnsi="Calibri" w:cs="Calibri"/>
          <w:color w:val="auto"/>
          <w:szCs w:val="20"/>
        </w:rPr>
        <w:t xml:space="preserve">To be admitted into the CPFIS, funds </w:t>
      </w:r>
      <w:proofErr w:type="gramStart"/>
      <w:r w:rsidRPr="00B52D53">
        <w:rPr>
          <w:rFonts w:ascii="Calibri" w:hAnsi="Calibri" w:cs="Calibri"/>
          <w:color w:val="auto"/>
          <w:szCs w:val="20"/>
        </w:rPr>
        <w:t>have to</w:t>
      </w:r>
      <w:proofErr w:type="gramEnd"/>
      <w:r w:rsidRPr="00B52D53">
        <w:rPr>
          <w:rFonts w:ascii="Calibri" w:hAnsi="Calibri" w:cs="Calibri"/>
          <w:color w:val="auto"/>
          <w:szCs w:val="20"/>
        </w:rPr>
        <w:t xml:space="preserve"> meet the benchmark at the top _ percentile of funds in their global peer group.</w:t>
      </w:r>
    </w:p>
    <w:p w14:paraId="2F040778" w14:textId="33317002" w:rsidR="00D526D7" w:rsidRPr="00B52D53" w:rsidRDefault="00D526D7" w:rsidP="009F73BE">
      <w:pPr>
        <w:pStyle w:val="ListParagraph"/>
        <w:numPr>
          <w:ilvl w:val="0"/>
          <w:numId w:val="60"/>
        </w:numPr>
        <w:jc w:val="both"/>
        <w:rPr>
          <w:rFonts w:ascii="Calibri" w:hAnsi="Calibri" w:cs="Calibri"/>
          <w:color w:val="auto"/>
          <w:szCs w:val="20"/>
        </w:rPr>
      </w:pPr>
      <w:r w:rsidRPr="00B52D53">
        <w:rPr>
          <w:rFonts w:ascii="Calibri" w:hAnsi="Calibri" w:cs="Calibri"/>
          <w:color w:val="auto"/>
          <w:szCs w:val="20"/>
        </w:rPr>
        <w:t>10</w:t>
      </w:r>
    </w:p>
    <w:p w14:paraId="63416C74" w14:textId="4695A9F8" w:rsidR="00D526D7" w:rsidRPr="00B52D53" w:rsidRDefault="00D526D7" w:rsidP="009F73BE">
      <w:pPr>
        <w:pStyle w:val="ListParagraph"/>
        <w:numPr>
          <w:ilvl w:val="0"/>
          <w:numId w:val="60"/>
        </w:numPr>
        <w:jc w:val="both"/>
        <w:rPr>
          <w:rFonts w:ascii="Calibri" w:hAnsi="Calibri" w:cs="Calibri"/>
          <w:color w:val="auto"/>
          <w:szCs w:val="20"/>
        </w:rPr>
      </w:pPr>
      <w:r w:rsidRPr="00B52D53">
        <w:rPr>
          <w:rFonts w:ascii="Calibri" w:hAnsi="Calibri" w:cs="Calibri"/>
          <w:color w:val="auto"/>
          <w:szCs w:val="20"/>
        </w:rPr>
        <w:t>15</w:t>
      </w:r>
    </w:p>
    <w:p w14:paraId="25337D29" w14:textId="13A95C2A" w:rsidR="00D526D7" w:rsidRPr="00B52D53" w:rsidRDefault="00D526D7" w:rsidP="009F73BE">
      <w:pPr>
        <w:pStyle w:val="ListParagraph"/>
        <w:numPr>
          <w:ilvl w:val="0"/>
          <w:numId w:val="60"/>
        </w:numPr>
        <w:jc w:val="both"/>
        <w:rPr>
          <w:rFonts w:ascii="Calibri" w:hAnsi="Calibri" w:cs="Calibri"/>
          <w:color w:val="auto"/>
          <w:szCs w:val="20"/>
        </w:rPr>
      </w:pPr>
      <w:r w:rsidRPr="00B52D53">
        <w:rPr>
          <w:rFonts w:ascii="Calibri" w:hAnsi="Calibri" w:cs="Calibri"/>
          <w:color w:val="auto"/>
          <w:szCs w:val="20"/>
        </w:rPr>
        <w:t>20</w:t>
      </w:r>
    </w:p>
    <w:p w14:paraId="68A16FAB" w14:textId="567E37E6" w:rsidR="00D526D7" w:rsidRPr="00B52D53" w:rsidRDefault="00D526D7" w:rsidP="009F73BE">
      <w:pPr>
        <w:pStyle w:val="ListParagraph"/>
        <w:numPr>
          <w:ilvl w:val="0"/>
          <w:numId w:val="60"/>
        </w:numPr>
        <w:jc w:val="both"/>
        <w:rPr>
          <w:rFonts w:ascii="Calibri" w:hAnsi="Calibri" w:cs="Calibri"/>
          <w:color w:val="auto"/>
          <w:szCs w:val="20"/>
        </w:rPr>
      </w:pPr>
      <w:r w:rsidRPr="00B52D53">
        <w:rPr>
          <w:rFonts w:ascii="Calibri" w:hAnsi="Calibri" w:cs="Calibri"/>
          <w:color w:val="auto"/>
          <w:szCs w:val="20"/>
        </w:rPr>
        <w:t>25</w:t>
      </w:r>
    </w:p>
    <w:p w14:paraId="36DC4AB8" w14:textId="77777777" w:rsidR="00D526D7" w:rsidRPr="00B52D53" w:rsidRDefault="00D526D7" w:rsidP="00DA459B">
      <w:pPr>
        <w:jc w:val="both"/>
        <w:rPr>
          <w:rFonts w:ascii="Calibri" w:hAnsi="Calibri" w:cs="Calibri"/>
          <w:color w:val="auto"/>
          <w:szCs w:val="20"/>
        </w:rPr>
      </w:pPr>
    </w:p>
    <w:p w14:paraId="5D75D6CD" w14:textId="77777777" w:rsidR="00D526D7" w:rsidRPr="00B52D53" w:rsidRDefault="00D526D7" w:rsidP="00DA459B">
      <w:pPr>
        <w:jc w:val="both"/>
        <w:rPr>
          <w:rFonts w:ascii="Calibri" w:hAnsi="Calibri" w:cs="Calibri"/>
          <w:color w:val="auto"/>
          <w:szCs w:val="20"/>
        </w:rPr>
      </w:pPr>
      <w:r w:rsidRPr="00B52D53">
        <w:rPr>
          <w:rFonts w:ascii="Calibri" w:hAnsi="Calibri" w:cs="Calibri"/>
          <w:color w:val="auto"/>
          <w:szCs w:val="20"/>
        </w:rPr>
        <w:t>The CPFIS comprises of:</w:t>
      </w:r>
    </w:p>
    <w:p w14:paraId="38D62315" w14:textId="77777777" w:rsidR="00D526D7" w:rsidRPr="00B52D53" w:rsidRDefault="00D526D7" w:rsidP="009F73BE">
      <w:pPr>
        <w:pStyle w:val="ListParagraph"/>
        <w:numPr>
          <w:ilvl w:val="0"/>
          <w:numId w:val="61"/>
        </w:numPr>
        <w:jc w:val="both"/>
        <w:rPr>
          <w:rFonts w:ascii="Calibri" w:hAnsi="Calibri" w:cs="Calibri"/>
          <w:color w:val="auto"/>
          <w:szCs w:val="20"/>
        </w:rPr>
      </w:pPr>
      <w:r w:rsidRPr="00B52D53">
        <w:rPr>
          <w:rFonts w:ascii="Calibri" w:hAnsi="Calibri" w:cs="Calibri"/>
          <w:color w:val="auto"/>
          <w:szCs w:val="20"/>
        </w:rPr>
        <w:lastRenderedPageBreak/>
        <w:t>CPFIS – Ordinary Account</w:t>
      </w:r>
    </w:p>
    <w:p w14:paraId="303A3AC4" w14:textId="77777777" w:rsidR="00D526D7" w:rsidRPr="00B52D53" w:rsidRDefault="00D526D7" w:rsidP="009F73BE">
      <w:pPr>
        <w:pStyle w:val="ListParagraph"/>
        <w:numPr>
          <w:ilvl w:val="0"/>
          <w:numId w:val="61"/>
        </w:numPr>
        <w:jc w:val="both"/>
        <w:rPr>
          <w:rFonts w:ascii="Calibri" w:hAnsi="Calibri" w:cs="Calibri"/>
          <w:color w:val="auto"/>
          <w:szCs w:val="20"/>
        </w:rPr>
      </w:pPr>
      <w:r w:rsidRPr="00B52D53">
        <w:rPr>
          <w:rFonts w:ascii="Calibri" w:hAnsi="Calibri" w:cs="Calibri"/>
          <w:color w:val="auto"/>
          <w:szCs w:val="20"/>
        </w:rPr>
        <w:t>CPFIS – Special Account</w:t>
      </w:r>
    </w:p>
    <w:p w14:paraId="46C033B9" w14:textId="77777777" w:rsidR="00D526D7" w:rsidRPr="00B52D53" w:rsidRDefault="00D526D7" w:rsidP="009F73BE">
      <w:pPr>
        <w:pStyle w:val="ListParagraph"/>
        <w:numPr>
          <w:ilvl w:val="0"/>
          <w:numId w:val="61"/>
        </w:numPr>
        <w:jc w:val="both"/>
        <w:rPr>
          <w:rFonts w:ascii="Calibri" w:hAnsi="Calibri" w:cs="Calibri"/>
          <w:color w:val="auto"/>
          <w:szCs w:val="20"/>
        </w:rPr>
      </w:pPr>
      <w:r w:rsidRPr="00B52D53">
        <w:rPr>
          <w:rFonts w:ascii="Calibri" w:hAnsi="Calibri" w:cs="Calibri"/>
          <w:color w:val="auto"/>
          <w:szCs w:val="20"/>
        </w:rPr>
        <w:t>CPFIS Debt Scheme</w:t>
      </w:r>
    </w:p>
    <w:p w14:paraId="44D149A3" w14:textId="77777777" w:rsidR="00D526D7" w:rsidRPr="00B52D53" w:rsidRDefault="00D526D7" w:rsidP="009F73BE">
      <w:pPr>
        <w:pStyle w:val="ListParagraph"/>
        <w:numPr>
          <w:ilvl w:val="0"/>
          <w:numId w:val="61"/>
        </w:numPr>
        <w:jc w:val="both"/>
        <w:rPr>
          <w:rFonts w:ascii="Calibri" w:hAnsi="Calibri" w:cs="Calibri"/>
          <w:color w:val="auto"/>
          <w:szCs w:val="20"/>
        </w:rPr>
      </w:pPr>
      <w:r w:rsidRPr="00B52D53">
        <w:rPr>
          <w:rFonts w:ascii="Calibri" w:hAnsi="Calibri" w:cs="Calibri"/>
          <w:color w:val="auto"/>
          <w:szCs w:val="20"/>
        </w:rPr>
        <w:t>CPFIS Equity Scheme</w:t>
      </w:r>
    </w:p>
    <w:p w14:paraId="01157BEB" w14:textId="77777777" w:rsidR="00D526D7" w:rsidRPr="00B52D53" w:rsidRDefault="00D526D7" w:rsidP="00DA459B">
      <w:pPr>
        <w:jc w:val="both"/>
        <w:rPr>
          <w:rFonts w:ascii="Calibri" w:hAnsi="Calibri" w:cs="Calibri"/>
          <w:color w:val="auto"/>
          <w:szCs w:val="20"/>
        </w:rPr>
      </w:pPr>
    </w:p>
    <w:p w14:paraId="46ADD3CC" w14:textId="7F7492DB" w:rsidR="00D526D7" w:rsidRPr="00B52D53" w:rsidRDefault="00D526D7" w:rsidP="00DA459B">
      <w:pPr>
        <w:jc w:val="both"/>
        <w:rPr>
          <w:rFonts w:ascii="Calibri" w:hAnsi="Calibri" w:cs="Calibri"/>
          <w:color w:val="auto"/>
          <w:szCs w:val="20"/>
        </w:rPr>
      </w:pPr>
      <w:r w:rsidRPr="00B52D53">
        <w:rPr>
          <w:rFonts w:ascii="Calibri" w:hAnsi="Calibri" w:cs="Calibri"/>
          <w:color w:val="auto"/>
          <w:szCs w:val="20"/>
        </w:rPr>
        <w:t xml:space="preserve">For being included in CPFIS, if a </w:t>
      </w:r>
      <w:r w:rsidR="00B72D51">
        <w:rPr>
          <w:rFonts w:ascii="Calibri" w:hAnsi="Calibri" w:cs="Calibri"/>
          <w:color w:val="auto"/>
          <w:szCs w:val="20"/>
        </w:rPr>
        <w:t>LFMC</w:t>
      </w:r>
      <w:r w:rsidRPr="00B52D53">
        <w:rPr>
          <w:rFonts w:ascii="Calibri" w:hAnsi="Calibri" w:cs="Calibri"/>
          <w:color w:val="auto"/>
          <w:szCs w:val="20"/>
        </w:rPr>
        <w:t xml:space="preserve"> or its related companies intend to offer an authorised fund that is wholly managed in Singapore, it should manage at least _ worth of funds.</w:t>
      </w:r>
    </w:p>
    <w:p w14:paraId="0006DAD5" w14:textId="77777777" w:rsidR="00D526D7" w:rsidRPr="00B52D53" w:rsidRDefault="00D526D7" w:rsidP="009F73BE">
      <w:pPr>
        <w:pStyle w:val="ListParagraph"/>
        <w:numPr>
          <w:ilvl w:val="0"/>
          <w:numId w:val="62"/>
        </w:numPr>
        <w:jc w:val="both"/>
        <w:rPr>
          <w:rFonts w:ascii="Calibri" w:hAnsi="Calibri" w:cs="Calibri"/>
          <w:color w:val="auto"/>
          <w:szCs w:val="20"/>
        </w:rPr>
      </w:pPr>
      <w:r w:rsidRPr="00B52D53">
        <w:rPr>
          <w:rFonts w:ascii="Calibri" w:hAnsi="Calibri" w:cs="Calibri"/>
          <w:color w:val="auto"/>
          <w:szCs w:val="20"/>
        </w:rPr>
        <w:t>$200M</w:t>
      </w:r>
    </w:p>
    <w:p w14:paraId="0E6F9765" w14:textId="77777777" w:rsidR="00D526D7" w:rsidRPr="00B52D53" w:rsidRDefault="00D526D7" w:rsidP="009F73BE">
      <w:pPr>
        <w:pStyle w:val="ListParagraph"/>
        <w:numPr>
          <w:ilvl w:val="0"/>
          <w:numId w:val="62"/>
        </w:numPr>
        <w:jc w:val="both"/>
        <w:rPr>
          <w:rFonts w:ascii="Calibri" w:hAnsi="Calibri" w:cs="Calibri"/>
          <w:color w:val="auto"/>
          <w:szCs w:val="20"/>
        </w:rPr>
      </w:pPr>
      <w:r w:rsidRPr="00B52D53">
        <w:rPr>
          <w:rFonts w:ascii="Calibri" w:hAnsi="Calibri" w:cs="Calibri"/>
          <w:color w:val="auto"/>
          <w:szCs w:val="20"/>
        </w:rPr>
        <w:t>$300M</w:t>
      </w:r>
    </w:p>
    <w:p w14:paraId="0720B665" w14:textId="77777777" w:rsidR="00D526D7" w:rsidRPr="00B52D53" w:rsidRDefault="00D526D7" w:rsidP="009F73BE">
      <w:pPr>
        <w:pStyle w:val="ListParagraph"/>
        <w:numPr>
          <w:ilvl w:val="0"/>
          <w:numId w:val="62"/>
        </w:numPr>
        <w:jc w:val="both"/>
        <w:rPr>
          <w:rFonts w:ascii="Calibri" w:hAnsi="Calibri" w:cs="Calibri"/>
          <w:color w:val="auto"/>
          <w:szCs w:val="20"/>
        </w:rPr>
      </w:pPr>
      <w:r w:rsidRPr="00B52D53">
        <w:rPr>
          <w:rFonts w:ascii="Calibri" w:hAnsi="Calibri" w:cs="Calibri"/>
          <w:color w:val="auto"/>
          <w:szCs w:val="20"/>
        </w:rPr>
        <w:t>$400M</w:t>
      </w:r>
    </w:p>
    <w:p w14:paraId="130B5514" w14:textId="77777777" w:rsidR="00D526D7" w:rsidRPr="00B52D53" w:rsidRDefault="00D526D7" w:rsidP="009F73BE">
      <w:pPr>
        <w:pStyle w:val="ListParagraph"/>
        <w:numPr>
          <w:ilvl w:val="0"/>
          <w:numId w:val="62"/>
        </w:numPr>
        <w:jc w:val="both"/>
        <w:rPr>
          <w:rFonts w:ascii="Calibri" w:hAnsi="Calibri" w:cs="Calibri"/>
          <w:color w:val="auto"/>
          <w:szCs w:val="20"/>
        </w:rPr>
      </w:pPr>
      <w:r w:rsidRPr="00B52D53">
        <w:rPr>
          <w:rFonts w:ascii="Calibri" w:hAnsi="Calibri" w:cs="Calibri"/>
          <w:color w:val="auto"/>
          <w:szCs w:val="20"/>
        </w:rPr>
        <w:t>$500M</w:t>
      </w:r>
    </w:p>
    <w:p w14:paraId="24ABAB95" w14:textId="77777777" w:rsidR="00D526D7" w:rsidRPr="00B52D53" w:rsidRDefault="00D526D7" w:rsidP="00DA459B">
      <w:pPr>
        <w:jc w:val="both"/>
        <w:rPr>
          <w:rFonts w:ascii="Calibri" w:hAnsi="Calibri" w:cs="Calibri"/>
          <w:color w:val="auto"/>
          <w:szCs w:val="20"/>
        </w:rPr>
      </w:pPr>
    </w:p>
    <w:p w14:paraId="6AD1E062" w14:textId="597E8A11" w:rsidR="00D526D7" w:rsidRPr="00B52D53" w:rsidRDefault="00D526D7" w:rsidP="00DA459B">
      <w:pPr>
        <w:jc w:val="both"/>
        <w:rPr>
          <w:rFonts w:ascii="Calibri" w:hAnsi="Calibri" w:cs="Calibri"/>
          <w:color w:val="auto"/>
          <w:szCs w:val="20"/>
        </w:rPr>
      </w:pPr>
      <w:r w:rsidRPr="00B52D53">
        <w:rPr>
          <w:rFonts w:ascii="Calibri" w:hAnsi="Calibri" w:cs="Calibri"/>
          <w:color w:val="auto"/>
          <w:szCs w:val="20"/>
        </w:rPr>
        <w:t xml:space="preserve">If a </w:t>
      </w:r>
      <w:r w:rsidR="00B72D51">
        <w:rPr>
          <w:rFonts w:ascii="Calibri" w:hAnsi="Calibri" w:cs="Calibri"/>
          <w:color w:val="auto"/>
          <w:szCs w:val="20"/>
        </w:rPr>
        <w:t>LFMC</w:t>
      </w:r>
      <w:r w:rsidRPr="00B52D53">
        <w:rPr>
          <w:rFonts w:ascii="Calibri" w:hAnsi="Calibri" w:cs="Calibri"/>
          <w:color w:val="auto"/>
          <w:szCs w:val="20"/>
        </w:rPr>
        <w:t xml:space="preserve"> intends to offer recognised funds constituted outside Singapore directly, it should manage at least _ globally to be included in the CPFIS.</w:t>
      </w:r>
    </w:p>
    <w:p w14:paraId="5B2FFCD8" w14:textId="77777777" w:rsidR="00D526D7" w:rsidRPr="00B52D53" w:rsidRDefault="00D526D7" w:rsidP="009F73BE">
      <w:pPr>
        <w:pStyle w:val="ListParagraph"/>
        <w:numPr>
          <w:ilvl w:val="0"/>
          <w:numId w:val="63"/>
        </w:numPr>
        <w:jc w:val="both"/>
        <w:rPr>
          <w:rFonts w:ascii="Calibri" w:hAnsi="Calibri" w:cs="Calibri"/>
          <w:color w:val="auto"/>
          <w:szCs w:val="20"/>
        </w:rPr>
      </w:pPr>
      <w:r w:rsidRPr="00B52D53">
        <w:rPr>
          <w:rFonts w:ascii="Calibri" w:hAnsi="Calibri" w:cs="Calibri"/>
          <w:color w:val="auto"/>
          <w:szCs w:val="20"/>
        </w:rPr>
        <w:t>$500M of discretionary funds</w:t>
      </w:r>
    </w:p>
    <w:p w14:paraId="58112151" w14:textId="77777777" w:rsidR="00D526D7" w:rsidRPr="00B52D53" w:rsidRDefault="00D526D7" w:rsidP="009F73BE">
      <w:pPr>
        <w:pStyle w:val="ListParagraph"/>
        <w:numPr>
          <w:ilvl w:val="0"/>
          <w:numId w:val="63"/>
        </w:numPr>
        <w:jc w:val="both"/>
        <w:rPr>
          <w:rFonts w:ascii="Calibri" w:hAnsi="Calibri" w:cs="Calibri"/>
          <w:color w:val="auto"/>
          <w:szCs w:val="20"/>
        </w:rPr>
      </w:pPr>
      <w:r w:rsidRPr="00B52D53">
        <w:rPr>
          <w:rFonts w:ascii="Calibri" w:hAnsi="Calibri" w:cs="Calibri"/>
          <w:color w:val="auto"/>
          <w:szCs w:val="20"/>
        </w:rPr>
        <w:t>$1B of discretionary funds</w:t>
      </w:r>
    </w:p>
    <w:p w14:paraId="312AC4A6" w14:textId="77777777" w:rsidR="00D526D7" w:rsidRPr="00B52D53" w:rsidRDefault="00D526D7" w:rsidP="009F73BE">
      <w:pPr>
        <w:pStyle w:val="ListParagraph"/>
        <w:numPr>
          <w:ilvl w:val="0"/>
          <w:numId w:val="63"/>
        </w:numPr>
        <w:jc w:val="both"/>
        <w:rPr>
          <w:rFonts w:ascii="Calibri" w:hAnsi="Calibri" w:cs="Calibri"/>
          <w:color w:val="auto"/>
          <w:szCs w:val="20"/>
        </w:rPr>
      </w:pPr>
      <w:r w:rsidRPr="00B52D53">
        <w:rPr>
          <w:rFonts w:ascii="Calibri" w:hAnsi="Calibri" w:cs="Calibri"/>
          <w:color w:val="auto"/>
          <w:szCs w:val="20"/>
        </w:rPr>
        <w:t>$2B of discretionary funds</w:t>
      </w:r>
    </w:p>
    <w:p w14:paraId="1895658D" w14:textId="77777777" w:rsidR="00D526D7" w:rsidRPr="00B52D53" w:rsidRDefault="00D526D7" w:rsidP="009F73BE">
      <w:pPr>
        <w:pStyle w:val="ListParagraph"/>
        <w:numPr>
          <w:ilvl w:val="0"/>
          <w:numId w:val="63"/>
        </w:numPr>
        <w:jc w:val="both"/>
        <w:rPr>
          <w:rFonts w:ascii="Calibri" w:hAnsi="Calibri" w:cs="Calibri"/>
          <w:color w:val="auto"/>
          <w:szCs w:val="20"/>
        </w:rPr>
      </w:pPr>
      <w:r w:rsidRPr="00B52D53">
        <w:rPr>
          <w:rFonts w:ascii="Calibri" w:hAnsi="Calibri" w:cs="Calibri"/>
          <w:color w:val="auto"/>
          <w:szCs w:val="20"/>
        </w:rPr>
        <w:t>1K clients</w:t>
      </w:r>
    </w:p>
    <w:p w14:paraId="057C2DA8" w14:textId="77777777" w:rsidR="00D526D7" w:rsidRPr="00B52D53" w:rsidRDefault="00D526D7" w:rsidP="00DA459B">
      <w:pPr>
        <w:jc w:val="both"/>
        <w:rPr>
          <w:rFonts w:ascii="Calibri" w:hAnsi="Calibri" w:cs="Calibri"/>
          <w:color w:val="auto"/>
          <w:szCs w:val="20"/>
        </w:rPr>
      </w:pPr>
    </w:p>
    <w:p w14:paraId="67F07A43" w14:textId="60A0E0A1" w:rsidR="00D526D7" w:rsidRPr="00B52D53" w:rsidRDefault="00D526D7" w:rsidP="00DA459B">
      <w:pPr>
        <w:jc w:val="both"/>
        <w:rPr>
          <w:rFonts w:ascii="Calibri" w:hAnsi="Calibri" w:cs="Calibri"/>
          <w:color w:val="auto"/>
          <w:szCs w:val="20"/>
        </w:rPr>
      </w:pPr>
      <w:r w:rsidRPr="00B52D53">
        <w:rPr>
          <w:rFonts w:ascii="Calibri" w:hAnsi="Calibri" w:cs="Calibri"/>
          <w:color w:val="auto"/>
          <w:szCs w:val="20"/>
        </w:rPr>
        <w:t xml:space="preserve">For evaluating the suitability of </w:t>
      </w:r>
      <w:r w:rsidR="00B72D51">
        <w:rPr>
          <w:rFonts w:ascii="Calibri" w:hAnsi="Calibri" w:cs="Calibri"/>
          <w:color w:val="auto"/>
          <w:szCs w:val="20"/>
        </w:rPr>
        <w:t>LFMC</w:t>
      </w:r>
      <w:r w:rsidRPr="00B52D53">
        <w:rPr>
          <w:rFonts w:ascii="Calibri" w:hAnsi="Calibri" w:cs="Calibri"/>
          <w:color w:val="auto"/>
          <w:szCs w:val="20"/>
        </w:rPr>
        <w:t xml:space="preserve"> for CPFIS inclusion, the CPF Board Investment Consultant will:</w:t>
      </w:r>
    </w:p>
    <w:p w14:paraId="67FA44C1" w14:textId="41387495" w:rsidR="00D526D7" w:rsidRPr="00B52D53" w:rsidRDefault="00D526D7" w:rsidP="00DA459B">
      <w:pPr>
        <w:jc w:val="both"/>
        <w:rPr>
          <w:rFonts w:ascii="Calibri" w:hAnsi="Calibri" w:cs="Calibri"/>
          <w:color w:val="auto"/>
          <w:szCs w:val="20"/>
        </w:rPr>
      </w:pPr>
      <w:r w:rsidRPr="00B52D53">
        <w:rPr>
          <w:rFonts w:ascii="Calibri" w:hAnsi="Calibri" w:cs="Calibri"/>
          <w:color w:val="auto"/>
          <w:szCs w:val="20"/>
        </w:rPr>
        <w:t xml:space="preserve">SELECT ALL OPTIONS THAT APPLY </w:t>
      </w:r>
    </w:p>
    <w:p w14:paraId="753A0BF4" w14:textId="3BEED0AD" w:rsidR="00D526D7" w:rsidRPr="00B52D53" w:rsidRDefault="00D526D7" w:rsidP="009F73BE">
      <w:pPr>
        <w:pStyle w:val="ListParagraph"/>
        <w:numPr>
          <w:ilvl w:val="0"/>
          <w:numId w:val="64"/>
        </w:numPr>
        <w:jc w:val="both"/>
        <w:rPr>
          <w:rFonts w:ascii="Calibri" w:hAnsi="Calibri" w:cs="Calibri"/>
          <w:color w:val="auto"/>
          <w:szCs w:val="20"/>
        </w:rPr>
      </w:pPr>
      <w:r w:rsidRPr="00B52D53">
        <w:rPr>
          <w:rFonts w:ascii="Calibri" w:hAnsi="Calibri" w:cs="Calibri"/>
          <w:color w:val="auto"/>
          <w:szCs w:val="20"/>
        </w:rPr>
        <w:t xml:space="preserve"> Screen the </w:t>
      </w:r>
      <w:r w:rsidR="00B72D51">
        <w:rPr>
          <w:rFonts w:ascii="Calibri" w:hAnsi="Calibri" w:cs="Calibri"/>
          <w:color w:val="auto"/>
          <w:szCs w:val="20"/>
        </w:rPr>
        <w:t>LFMC</w:t>
      </w:r>
      <w:r w:rsidRPr="00B52D53">
        <w:rPr>
          <w:rFonts w:ascii="Calibri" w:hAnsi="Calibri" w:cs="Calibri"/>
          <w:color w:val="auto"/>
          <w:szCs w:val="20"/>
        </w:rPr>
        <w:t xml:space="preserve"> to see whether it meets the eligibility criteria</w:t>
      </w:r>
    </w:p>
    <w:p w14:paraId="20A0EC3C" w14:textId="44DB3054" w:rsidR="00D526D7" w:rsidRPr="00B52D53" w:rsidRDefault="00D526D7" w:rsidP="009F73BE">
      <w:pPr>
        <w:pStyle w:val="ListParagraph"/>
        <w:numPr>
          <w:ilvl w:val="0"/>
          <w:numId w:val="64"/>
        </w:numPr>
        <w:jc w:val="both"/>
        <w:rPr>
          <w:rFonts w:ascii="Calibri" w:hAnsi="Calibri" w:cs="Calibri"/>
          <w:color w:val="auto"/>
          <w:szCs w:val="20"/>
        </w:rPr>
      </w:pPr>
      <w:r w:rsidRPr="00B52D53">
        <w:rPr>
          <w:rFonts w:ascii="Calibri" w:hAnsi="Calibri" w:cs="Calibri"/>
          <w:color w:val="auto"/>
          <w:szCs w:val="20"/>
        </w:rPr>
        <w:t xml:space="preserve">Consider the stability in the fund management team of the </w:t>
      </w:r>
      <w:r w:rsidR="00B72D51">
        <w:rPr>
          <w:rFonts w:ascii="Calibri" w:hAnsi="Calibri" w:cs="Calibri"/>
          <w:color w:val="auto"/>
          <w:szCs w:val="20"/>
        </w:rPr>
        <w:t>LFMC</w:t>
      </w:r>
    </w:p>
    <w:p w14:paraId="43B33F8F" w14:textId="6D7529BC" w:rsidR="00F83296" w:rsidRPr="00B52D53" w:rsidRDefault="00F83296" w:rsidP="009F73BE">
      <w:pPr>
        <w:pStyle w:val="ListParagraph"/>
        <w:numPr>
          <w:ilvl w:val="0"/>
          <w:numId w:val="64"/>
        </w:numPr>
        <w:jc w:val="both"/>
        <w:rPr>
          <w:rFonts w:ascii="Calibri" w:hAnsi="Calibri" w:cs="Calibri"/>
          <w:color w:val="auto"/>
          <w:szCs w:val="20"/>
        </w:rPr>
      </w:pPr>
      <w:r w:rsidRPr="00B52D53">
        <w:rPr>
          <w:rFonts w:ascii="Calibri" w:hAnsi="Calibri" w:cs="Calibri"/>
          <w:color w:val="auto"/>
          <w:szCs w:val="20"/>
        </w:rPr>
        <w:t xml:space="preserve">Consider the </w:t>
      </w:r>
      <w:r w:rsidR="00B72D51">
        <w:rPr>
          <w:rFonts w:ascii="Calibri" w:hAnsi="Calibri" w:cs="Calibri"/>
          <w:color w:val="auto"/>
          <w:szCs w:val="20"/>
        </w:rPr>
        <w:t>LFMC</w:t>
      </w:r>
      <w:r w:rsidRPr="00B52D53">
        <w:rPr>
          <w:rFonts w:ascii="Calibri" w:hAnsi="Calibri" w:cs="Calibri"/>
          <w:color w:val="auto"/>
          <w:szCs w:val="20"/>
        </w:rPr>
        <w:t>’s corporate culture</w:t>
      </w:r>
    </w:p>
    <w:p w14:paraId="7C372DE7" w14:textId="1C0D56C4" w:rsidR="00F83296" w:rsidRPr="00B52D53" w:rsidRDefault="00F83296" w:rsidP="009F73BE">
      <w:pPr>
        <w:pStyle w:val="ListParagraph"/>
        <w:numPr>
          <w:ilvl w:val="0"/>
          <w:numId w:val="64"/>
        </w:numPr>
        <w:jc w:val="both"/>
        <w:rPr>
          <w:rFonts w:ascii="Calibri" w:hAnsi="Calibri" w:cs="Calibri"/>
          <w:color w:val="auto"/>
          <w:szCs w:val="20"/>
        </w:rPr>
      </w:pPr>
      <w:r w:rsidRPr="00B52D53">
        <w:rPr>
          <w:rFonts w:ascii="Calibri" w:hAnsi="Calibri" w:cs="Calibri"/>
          <w:color w:val="auto"/>
          <w:szCs w:val="20"/>
        </w:rPr>
        <w:t xml:space="preserve">Consider the </w:t>
      </w:r>
      <w:r w:rsidR="00B72D51">
        <w:rPr>
          <w:rFonts w:ascii="Calibri" w:hAnsi="Calibri" w:cs="Calibri"/>
          <w:color w:val="auto"/>
          <w:szCs w:val="20"/>
        </w:rPr>
        <w:t>LFMC</w:t>
      </w:r>
      <w:r w:rsidRPr="00B52D53">
        <w:rPr>
          <w:rFonts w:ascii="Calibri" w:hAnsi="Calibri" w:cs="Calibri"/>
          <w:color w:val="auto"/>
          <w:szCs w:val="20"/>
        </w:rPr>
        <w:t xml:space="preserve">S’s ability to retain good fund managers </w:t>
      </w:r>
    </w:p>
    <w:p w14:paraId="2EA4505C" w14:textId="77777777" w:rsidR="00F83296" w:rsidRPr="00B52D53" w:rsidRDefault="00F83296" w:rsidP="00DA459B">
      <w:pPr>
        <w:jc w:val="both"/>
        <w:rPr>
          <w:rFonts w:ascii="Calibri" w:hAnsi="Calibri" w:cs="Calibri"/>
          <w:color w:val="auto"/>
          <w:szCs w:val="20"/>
        </w:rPr>
      </w:pPr>
    </w:p>
    <w:p w14:paraId="64B5EEBB" w14:textId="114399EF" w:rsidR="00F83296" w:rsidRPr="00B52D53" w:rsidRDefault="00F83296" w:rsidP="00DA459B">
      <w:pPr>
        <w:jc w:val="both"/>
        <w:rPr>
          <w:rFonts w:ascii="Calibri" w:hAnsi="Calibri" w:cs="Calibri"/>
          <w:b/>
          <w:bCs/>
          <w:color w:val="auto"/>
          <w:szCs w:val="20"/>
        </w:rPr>
      </w:pPr>
      <w:r w:rsidRPr="00B52D53">
        <w:rPr>
          <w:rFonts w:ascii="Calibri" w:hAnsi="Calibri" w:cs="Calibri"/>
          <w:b/>
          <w:bCs/>
          <w:color w:val="auto"/>
          <w:szCs w:val="20"/>
        </w:rPr>
        <w:t>Chapter 9 – Ethics, Codes and Standards of Professional Conduct for Fund Management</w:t>
      </w:r>
    </w:p>
    <w:p w14:paraId="38CF7A58" w14:textId="77777777" w:rsidR="00CA455F" w:rsidRPr="00B52D53" w:rsidRDefault="00F83296" w:rsidP="00DA459B">
      <w:pPr>
        <w:jc w:val="both"/>
        <w:rPr>
          <w:rFonts w:ascii="Calibri" w:hAnsi="Calibri" w:cs="Calibri"/>
          <w:color w:val="auto"/>
          <w:szCs w:val="20"/>
        </w:rPr>
      </w:pPr>
      <w:r w:rsidRPr="00B52D53">
        <w:rPr>
          <w:rFonts w:ascii="Calibri" w:hAnsi="Calibri" w:cs="Calibri"/>
          <w:color w:val="auto"/>
          <w:szCs w:val="20"/>
        </w:rPr>
        <w:t>Henry, who is working for Global Investments, is part of a team advising on a large merger. During the process, he overhears plans about significant layoffs that have not been disclosed to the employees or the public. Henry is concerned about the ethical implications of withholding this information. What should Henry do to navigate this ethical dilemma while respecting his professional obligations?</w:t>
      </w:r>
    </w:p>
    <w:p w14:paraId="48C85E58" w14:textId="74D55FF7" w:rsidR="00F83296" w:rsidRPr="00B52D53" w:rsidRDefault="00F83296" w:rsidP="00DA459B">
      <w:pPr>
        <w:jc w:val="both"/>
        <w:rPr>
          <w:rFonts w:ascii="Calibri" w:hAnsi="Calibri" w:cs="Calibri"/>
          <w:color w:val="auto"/>
          <w:szCs w:val="20"/>
        </w:rPr>
      </w:pPr>
      <w:r w:rsidRPr="00B52D53">
        <w:rPr>
          <w:rFonts w:ascii="Calibri" w:hAnsi="Calibri" w:cs="Calibri"/>
          <w:color w:val="auto"/>
          <w:szCs w:val="20"/>
        </w:rPr>
        <w:t xml:space="preserve">SELECT ALL OPTIONS THAT APPLY </w:t>
      </w:r>
    </w:p>
    <w:p w14:paraId="31F3E7E9" w14:textId="77777777" w:rsidR="00F83296" w:rsidRPr="00B52D53" w:rsidRDefault="00F83296" w:rsidP="009F73BE">
      <w:pPr>
        <w:pStyle w:val="ListParagraph"/>
        <w:numPr>
          <w:ilvl w:val="0"/>
          <w:numId w:val="65"/>
        </w:numPr>
        <w:jc w:val="both"/>
        <w:rPr>
          <w:rFonts w:ascii="Calibri" w:hAnsi="Calibri" w:cs="Calibri"/>
          <w:color w:val="auto"/>
          <w:szCs w:val="20"/>
        </w:rPr>
      </w:pPr>
      <w:r w:rsidRPr="00B52D53">
        <w:rPr>
          <w:rFonts w:ascii="Calibri" w:hAnsi="Calibri" w:cs="Calibri"/>
          <w:color w:val="auto"/>
          <w:szCs w:val="20"/>
        </w:rPr>
        <w:t>Immediately disclose the layoff plans to the affected employees</w:t>
      </w:r>
    </w:p>
    <w:p w14:paraId="5AB46A36" w14:textId="77777777" w:rsidR="00F83296" w:rsidRPr="00B52D53" w:rsidRDefault="00F83296" w:rsidP="009F73BE">
      <w:pPr>
        <w:pStyle w:val="ListParagraph"/>
        <w:numPr>
          <w:ilvl w:val="0"/>
          <w:numId w:val="65"/>
        </w:numPr>
        <w:jc w:val="both"/>
        <w:rPr>
          <w:rFonts w:ascii="Calibri" w:hAnsi="Calibri" w:cs="Calibri"/>
          <w:color w:val="auto"/>
          <w:szCs w:val="20"/>
        </w:rPr>
      </w:pPr>
      <w:r w:rsidRPr="00B52D53">
        <w:rPr>
          <w:rFonts w:ascii="Calibri" w:hAnsi="Calibri" w:cs="Calibri"/>
          <w:color w:val="auto"/>
          <w:szCs w:val="20"/>
        </w:rPr>
        <w:t>Consult with his superiors about the ethical implications of withholding the information</w:t>
      </w:r>
    </w:p>
    <w:p w14:paraId="228ACA6B" w14:textId="585A32CE" w:rsidR="00D526D7" w:rsidRPr="00B52D53" w:rsidRDefault="00F83296" w:rsidP="009F73BE">
      <w:pPr>
        <w:pStyle w:val="ListParagraph"/>
        <w:numPr>
          <w:ilvl w:val="0"/>
          <w:numId w:val="65"/>
        </w:numPr>
        <w:jc w:val="both"/>
        <w:rPr>
          <w:rFonts w:ascii="Calibri" w:hAnsi="Calibri" w:cs="Calibri"/>
          <w:color w:val="auto"/>
          <w:szCs w:val="20"/>
        </w:rPr>
      </w:pPr>
      <w:r w:rsidRPr="00B52D53">
        <w:rPr>
          <w:rFonts w:ascii="Calibri" w:hAnsi="Calibri" w:cs="Calibri"/>
          <w:color w:val="auto"/>
          <w:szCs w:val="20"/>
        </w:rPr>
        <w:t>Recommend</w:t>
      </w:r>
      <w:r w:rsidR="00D526D7" w:rsidRPr="00B52D53">
        <w:rPr>
          <w:rFonts w:ascii="Calibri" w:hAnsi="Calibri" w:cs="Calibri"/>
          <w:color w:val="auto"/>
          <w:szCs w:val="20"/>
        </w:rPr>
        <w:t xml:space="preserve"> </w:t>
      </w:r>
      <w:r w:rsidR="00CA455F" w:rsidRPr="00B52D53">
        <w:rPr>
          <w:rFonts w:ascii="Calibri" w:hAnsi="Calibri" w:cs="Calibri"/>
          <w:color w:val="auto"/>
          <w:szCs w:val="20"/>
        </w:rPr>
        <w:t>that the client disclose the layoff plans as soon as possible</w:t>
      </w:r>
    </w:p>
    <w:p w14:paraId="24A9C813" w14:textId="2207709C" w:rsidR="00CA455F" w:rsidRPr="00B52D53" w:rsidRDefault="00CA455F" w:rsidP="009F73BE">
      <w:pPr>
        <w:pStyle w:val="ListParagraph"/>
        <w:numPr>
          <w:ilvl w:val="0"/>
          <w:numId w:val="65"/>
        </w:numPr>
        <w:jc w:val="both"/>
        <w:rPr>
          <w:rFonts w:ascii="Calibri" w:hAnsi="Calibri" w:cs="Calibri"/>
          <w:color w:val="auto"/>
          <w:szCs w:val="20"/>
        </w:rPr>
      </w:pPr>
      <w:r w:rsidRPr="00B52D53">
        <w:rPr>
          <w:rFonts w:ascii="Calibri" w:hAnsi="Calibri" w:cs="Calibri"/>
          <w:color w:val="auto"/>
          <w:szCs w:val="20"/>
        </w:rPr>
        <w:t>Ignore the information as it is not his place to intervene</w:t>
      </w:r>
    </w:p>
    <w:p w14:paraId="1B80EB61" w14:textId="77777777" w:rsidR="00CA455F" w:rsidRPr="00B52D53" w:rsidRDefault="00CA455F" w:rsidP="00DA459B">
      <w:pPr>
        <w:jc w:val="both"/>
        <w:rPr>
          <w:rFonts w:ascii="Calibri" w:hAnsi="Calibri" w:cs="Calibri"/>
          <w:color w:val="auto"/>
          <w:szCs w:val="20"/>
        </w:rPr>
      </w:pPr>
    </w:p>
    <w:p w14:paraId="12FBE94B" w14:textId="0A68C1F5" w:rsidR="00CA455F" w:rsidRPr="00B52D53" w:rsidRDefault="00CA455F" w:rsidP="00DA459B">
      <w:pPr>
        <w:jc w:val="both"/>
        <w:rPr>
          <w:rFonts w:ascii="Calibri" w:hAnsi="Calibri" w:cs="Calibri"/>
          <w:color w:val="auto"/>
          <w:szCs w:val="20"/>
        </w:rPr>
      </w:pPr>
      <w:r w:rsidRPr="00B52D53">
        <w:rPr>
          <w:rFonts w:ascii="Calibri" w:hAnsi="Calibri" w:cs="Calibri"/>
          <w:color w:val="auto"/>
          <w:szCs w:val="20"/>
        </w:rPr>
        <w:t>Frank, a senior analyst at Quantum Financial, is evaluating the ethical framework of a new client, TechForward, as part of Quantum Financial’s due diligence process. He discovers that TechForward has a history of aggressive tax avoidance strategies and has been criticised for its labour practices in overseas factories. Frank is aware that Quantum Financial prides itself on ethical investing. What actions should Frank recommend based on his findings?</w:t>
      </w:r>
    </w:p>
    <w:p w14:paraId="362FB8A2" w14:textId="77777777" w:rsidR="00CA455F" w:rsidRPr="00B52D53" w:rsidRDefault="00CA455F" w:rsidP="00DA459B">
      <w:pPr>
        <w:jc w:val="both"/>
        <w:rPr>
          <w:rFonts w:ascii="Calibri" w:hAnsi="Calibri" w:cs="Calibri"/>
          <w:color w:val="auto"/>
          <w:szCs w:val="20"/>
        </w:rPr>
      </w:pPr>
      <w:r w:rsidRPr="00B52D53">
        <w:rPr>
          <w:rFonts w:ascii="Calibri" w:hAnsi="Calibri" w:cs="Calibri"/>
          <w:color w:val="auto"/>
          <w:szCs w:val="20"/>
        </w:rPr>
        <w:t xml:space="preserve">SELECT ALL OPTIONS THAT APPLY </w:t>
      </w:r>
    </w:p>
    <w:p w14:paraId="51C51FCA" w14:textId="0DD60FB7" w:rsidR="00CA455F" w:rsidRPr="00B52D53" w:rsidRDefault="00CA455F" w:rsidP="009F73BE">
      <w:pPr>
        <w:pStyle w:val="ListParagraph"/>
        <w:numPr>
          <w:ilvl w:val="0"/>
          <w:numId w:val="66"/>
        </w:numPr>
        <w:jc w:val="both"/>
        <w:rPr>
          <w:rFonts w:ascii="Calibri" w:hAnsi="Calibri" w:cs="Calibri"/>
          <w:color w:val="auto"/>
          <w:szCs w:val="20"/>
        </w:rPr>
      </w:pPr>
      <w:r w:rsidRPr="00B52D53">
        <w:rPr>
          <w:rFonts w:ascii="Calibri" w:hAnsi="Calibri" w:cs="Calibri"/>
          <w:color w:val="auto"/>
          <w:szCs w:val="20"/>
        </w:rPr>
        <w:t>Continue the partnership with TechForward without any conditions</w:t>
      </w:r>
    </w:p>
    <w:p w14:paraId="0341A12A" w14:textId="4090F5A1" w:rsidR="00CA455F" w:rsidRPr="00B52D53" w:rsidRDefault="00CA455F" w:rsidP="009F73BE">
      <w:pPr>
        <w:pStyle w:val="ListParagraph"/>
        <w:numPr>
          <w:ilvl w:val="0"/>
          <w:numId w:val="66"/>
        </w:numPr>
        <w:jc w:val="both"/>
        <w:rPr>
          <w:rFonts w:ascii="Calibri" w:hAnsi="Calibri" w:cs="Calibri"/>
          <w:color w:val="auto"/>
          <w:szCs w:val="20"/>
        </w:rPr>
      </w:pPr>
      <w:r w:rsidRPr="00B52D53">
        <w:rPr>
          <w:rFonts w:ascii="Calibri" w:hAnsi="Calibri" w:cs="Calibri"/>
          <w:color w:val="auto"/>
          <w:szCs w:val="20"/>
        </w:rPr>
        <w:t>Recommend a thorough review of TechForward’s tax and labour practices</w:t>
      </w:r>
    </w:p>
    <w:p w14:paraId="75C01DE9" w14:textId="0203354E" w:rsidR="00CA455F" w:rsidRPr="00B52D53" w:rsidRDefault="00CA455F" w:rsidP="009F73BE">
      <w:pPr>
        <w:pStyle w:val="ListParagraph"/>
        <w:numPr>
          <w:ilvl w:val="0"/>
          <w:numId w:val="66"/>
        </w:numPr>
        <w:jc w:val="both"/>
        <w:rPr>
          <w:rFonts w:ascii="Calibri" w:hAnsi="Calibri" w:cs="Calibri"/>
          <w:color w:val="auto"/>
          <w:szCs w:val="20"/>
        </w:rPr>
      </w:pPr>
      <w:r w:rsidRPr="00B52D53">
        <w:rPr>
          <w:rFonts w:ascii="Calibri" w:hAnsi="Calibri" w:cs="Calibri"/>
          <w:color w:val="auto"/>
          <w:szCs w:val="20"/>
        </w:rPr>
        <w:t>Suggest Quantum Financial to conditionally proceed with the partnership, requiring TechForward to address these ethical concerns</w:t>
      </w:r>
    </w:p>
    <w:p w14:paraId="0D65A800" w14:textId="475E939F" w:rsidR="00CA455F" w:rsidRPr="00B52D53" w:rsidRDefault="00CA455F" w:rsidP="009F73BE">
      <w:pPr>
        <w:pStyle w:val="ListParagraph"/>
        <w:numPr>
          <w:ilvl w:val="0"/>
          <w:numId w:val="66"/>
        </w:numPr>
        <w:jc w:val="both"/>
        <w:rPr>
          <w:rFonts w:ascii="Calibri" w:hAnsi="Calibri" w:cs="Calibri"/>
          <w:color w:val="auto"/>
          <w:szCs w:val="20"/>
        </w:rPr>
      </w:pPr>
      <w:r w:rsidRPr="00B52D53">
        <w:rPr>
          <w:rFonts w:ascii="Calibri" w:hAnsi="Calibri" w:cs="Calibri"/>
          <w:color w:val="auto"/>
          <w:szCs w:val="20"/>
        </w:rPr>
        <w:t xml:space="preserve">Advise Quantum Financial against partnering with TechForward due to ethical misalignments </w:t>
      </w:r>
    </w:p>
    <w:p w14:paraId="724085DD" w14:textId="77777777" w:rsidR="00CA455F" w:rsidRPr="00B52D53" w:rsidRDefault="00CA455F" w:rsidP="00DA459B">
      <w:pPr>
        <w:jc w:val="both"/>
        <w:rPr>
          <w:rFonts w:ascii="Calibri" w:hAnsi="Calibri" w:cs="Calibri"/>
          <w:color w:val="auto"/>
          <w:szCs w:val="20"/>
        </w:rPr>
      </w:pPr>
    </w:p>
    <w:p w14:paraId="6F637E00" w14:textId="2E813990" w:rsidR="00CA455F" w:rsidRPr="00B52D53" w:rsidRDefault="00CA455F" w:rsidP="00DA459B">
      <w:pPr>
        <w:jc w:val="both"/>
        <w:rPr>
          <w:rFonts w:ascii="Calibri" w:hAnsi="Calibri" w:cs="Calibri"/>
          <w:color w:val="auto"/>
          <w:szCs w:val="20"/>
        </w:rPr>
      </w:pPr>
      <w:r w:rsidRPr="00B52D53">
        <w:rPr>
          <w:rFonts w:ascii="Calibri" w:hAnsi="Calibri" w:cs="Calibri"/>
          <w:color w:val="auto"/>
          <w:szCs w:val="20"/>
        </w:rPr>
        <w:t>Grace, a compliance officer at Elite Advisory, is tasked with developing a training program for new hires on the importance of ethics in corporate finance. She plans to include real-world scenarios that highlight potential ethical dilemmas they might face. Which topics should Grace include in her training program to cover a broad range of ethical considerations?</w:t>
      </w:r>
    </w:p>
    <w:p w14:paraId="495B3708" w14:textId="77777777" w:rsidR="00CA455F" w:rsidRPr="00B52D53" w:rsidRDefault="00CA455F" w:rsidP="00DA459B">
      <w:pPr>
        <w:jc w:val="both"/>
        <w:rPr>
          <w:rFonts w:ascii="Calibri" w:hAnsi="Calibri" w:cs="Calibri"/>
          <w:color w:val="auto"/>
          <w:szCs w:val="20"/>
        </w:rPr>
      </w:pPr>
      <w:r w:rsidRPr="00B52D53">
        <w:rPr>
          <w:rFonts w:ascii="Calibri" w:hAnsi="Calibri" w:cs="Calibri"/>
          <w:color w:val="auto"/>
          <w:szCs w:val="20"/>
        </w:rPr>
        <w:t xml:space="preserve">SELECT ALL OPTIONS THAT APPLY </w:t>
      </w:r>
    </w:p>
    <w:p w14:paraId="03D827D4" w14:textId="5E553BA2" w:rsidR="00CA455F" w:rsidRPr="00B52D53" w:rsidRDefault="00CA455F" w:rsidP="009F73BE">
      <w:pPr>
        <w:pStyle w:val="ListParagraph"/>
        <w:numPr>
          <w:ilvl w:val="0"/>
          <w:numId w:val="67"/>
        </w:numPr>
        <w:jc w:val="both"/>
        <w:rPr>
          <w:rFonts w:ascii="Calibri" w:hAnsi="Calibri" w:cs="Calibri"/>
          <w:color w:val="auto"/>
          <w:szCs w:val="20"/>
        </w:rPr>
      </w:pPr>
      <w:r w:rsidRPr="00B52D53">
        <w:rPr>
          <w:rFonts w:ascii="Calibri" w:hAnsi="Calibri" w:cs="Calibri"/>
          <w:color w:val="auto"/>
          <w:szCs w:val="20"/>
        </w:rPr>
        <w:t>The importance of transparency in client communications</w:t>
      </w:r>
    </w:p>
    <w:p w14:paraId="7DDB3F97" w14:textId="210690FF" w:rsidR="00CA455F" w:rsidRPr="00B52D53" w:rsidRDefault="00CA455F" w:rsidP="009F73BE">
      <w:pPr>
        <w:pStyle w:val="ListParagraph"/>
        <w:numPr>
          <w:ilvl w:val="0"/>
          <w:numId w:val="67"/>
        </w:numPr>
        <w:jc w:val="both"/>
        <w:rPr>
          <w:rFonts w:ascii="Calibri" w:hAnsi="Calibri" w:cs="Calibri"/>
          <w:color w:val="auto"/>
          <w:szCs w:val="20"/>
        </w:rPr>
      </w:pPr>
      <w:r w:rsidRPr="00B52D53">
        <w:rPr>
          <w:rFonts w:ascii="Calibri" w:hAnsi="Calibri" w:cs="Calibri"/>
          <w:color w:val="auto"/>
          <w:szCs w:val="20"/>
        </w:rPr>
        <w:t>How to handle confidential information</w:t>
      </w:r>
    </w:p>
    <w:p w14:paraId="4189BECB" w14:textId="05D523D2" w:rsidR="00CA455F" w:rsidRPr="00B52D53" w:rsidRDefault="00CA455F" w:rsidP="009F73BE">
      <w:pPr>
        <w:pStyle w:val="ListParagraph"/>
        <w:numPr>
          <w:ilvl w:val="0"/>
          <w:numId w:val="67"/>
        </w:numPr>
        <w:jc w:val="both"/>
        <w:rPr>
          <w:rFonts w:ascii="Calibri" w:hAnsi="Calibri" w:cs="Calibri"/>
          <w:color w:val="auto"/>
          <w:szCs w:val="20"/>
        </w:rPr>
      </w:pPr>
      <w:r w:rsidRPr="00B52D53">
        <w:rPr>
          <w:rFonts w:ascii="Calibri" w:hAnsi="Calibri" w:cs="Calibri"/>
          <w:color w:val="auto"/>
          <w:szCs w:val="20"/>
        </w:rPr>
        <w:t>The impact of personal conflicts of interest on professional judgment</w:t>
      </w:r>
    </w:p>
    <w:p w14:paraId="15C43F7F" w14:textId="1A9FA7A0" w:rsidR="00CA455F" w:rsidRPr="00B52D53" w:rsidRDefault="00CA455F" w:rsidP="009F73BE">
      <w:pPr>
        <w:pStyle w:val="ListParagraph"/>
        <w:numPr>
          <w:ilvl w:val="0"/>
          <w:numId w:val="67"/>
        </w:numPr>
        <w:jc w:val="both"/>
        <w:rPr>
          <w:rFonts w:ascii="Calibri" w:hAnsi="Calibri" w:cs="Calibri"/>
          <w:color w:val="auto"/>
          <w:szCs w:val="20"/>
        </w:rPr>
      </w:pPr>
      <w:r w:rsidRPr="00B52D53">
        <w:rPr>
          <w:rFonts w:ascii="Calibri" w:hAnsi="Calibri" w:cs="Calibri"/>
          <w:color w:val="auto"/>
          <w:szCs w:val="20"/>
        </w:rPr>
        <w:t>Strategies for maximising short-term profits regardless of ethical implications</w:t>
      </w:r>
    </w:p>
    <w:p w14:paraId="32DF6516" w14:textId="77777777" w:rsidR="00CA455F" w:rsidRPr="00B52D53" w:rsidRDefault="00CA455F" w:rsidP="00DA459B">
      <w:pPr>
        <w:jc w:val="both"/>
        <w:rPr>
          <w:rFonts w:ascii="Calibri" w:hAnsi="Calibri" w:cs="Calibri"/>
          <w:color w:val="auto"/>
          <w:szCs w:val="20"/>
        </w:rPr>
      </w:pPr>
    </w:p>
    <w:p w14:paraId="1C5F4530" w14:textId="7DA1E20B" w:rsidR="00CA455F" w:rsidRPr="00B52D53" w:rsidRDefault="00CA455F" w:rsidP="00DA459B">
      <w:pPr>
        <w:jc w:val="both"/>
        <w:rPr>
          <w:rFonts w:ascii="Calibri" w:hAnsi="Calibri" w:cs="Calibri"/>
          <w:color w:val="auto"/>
          <w:szCs w:val="20"/>
        </w:rPr>
      </w:pPr>
      <w:r w:rsidRPr="00B52D53">
        <w:rPr>
          <w:rFonts w:ascii="Calibri" w:hAnsi="Calibri" w:cs="Calibri"/>
          <w:color w:val="auto"/>
          <w:szCs w:val="20"/>
        </w:rPr>
        <w:t>Nathan, working at Premier Capital, is responsible for advising clients on corporate finance transactions. One of his clients, EcoBuild, is considering a merger with another company that has a history of environmental violations. EcoBuild’s management is unaware of these violations. Nathan believes that disclosing this information might jeopardize the merger but also recognizes the potential reputational risk to EcoBuild. How should Nathan navigate this ethical dilemma?</w:t>
      </w:r>
    </w:p>
    <w:p w14:paraId="7D79F58C" w14:textId="77777777" w:rsidR="00CA455F" w:rsidRPr="00B52D53" w:rsidRDefault="00CA455F" w:rsidP="00DA459B">
      <w:pPr>
        <w:jc w:val="both"/>
        <w:rPr>
          <w:rFonts w:ascii="Calibri" w:hAnsi="Calibri" w:cs="Calibri"/>
          <w:color w:val="auto"/>
          <w:szCs w:val="20"/>
        </w:rPr>
      </w:pPr>
      <w:r w:rsidRPr="00B52D53">
        <w:rPr>
          <w:rFonts w:ascii="Calibri" w:hAnsi="Calibri" w:cs="Calibri"/>
          <w:color w:val="auto"/>
          <w:szCs w:val="20"/>
        </w:rPr>
        <w:t xml:space="preserve">SELECT ALL OPTIONS THAT APPLY </w:t>
      </w:r>
    </w:p>
    <w:p w14:paraId="606428B1" w14:textId="55ADA9F6" w:rsidR="00CA455F" w:rsidRPr="00B52D53" w:rsidRDefault="005433F2" w:rsidP="009F73BE">
      <w:pPr>
        <w:pStyle w:val="ListParagraph"/>
        <w:numPr>
          <w:ilvl w:val="0"/>
          <w:numId w:val="68"/>
        </w:numPr>
        <w:jc w:val="both"/>
        <w:rPr>
          <w:rFonts w:ascii="Calibri" w:hAnsi="Calibri" w:cs="Calibri"/>
          <w:color w:val="auto"/>
          <w:szCs w:val="20"/>
        </w:rPr>
      </w:pPr>
      <w:r w:rsidRPr="00B52D53">
        <w:rPr>
          <w:rFonts w:ascii="Calibri" w:hAnsi="Calibri" w:cs="Calibri"/>
          <w:color w:val="auto"/>
          <w:szCs w:val="20"/>
        </w:rPr>
        <w:t>Withhold the information to facilitate the merger process</w:t>
      </w:r>
    </w:p>
    <w:p w14:paraId="737D801B" w14:textId="0785A82A" w:rsidR="005433F2" w:rsidRPr="00B52D53" w:rsidRDefault="005433F2" w:rsidP="009F73BE">
      <w:pPr>
        <w:pStyle w:val="ListParagraph"/>
        <w:numPr>
          <w:ilvl w:val="0"/>
          <w:numId w:val="68"/>
        </w:numPr>
        <w:jc w:val="both"/>
        <w:rPr>
          <w:rFonts w:ascii="Calibri" w:hAnsi="Calibri" w:cs="Calibri"/>
          <w:color w:val="auto"/>
          <w:szCs w:val="20"/>
        </w:rPr>
      </w:pPr>
      <w:r w:rsidRPr="00B52D53">
        <w:rPr>
          <w:rFonts w:ascii="Calibri" w:hAnsi="Calibri" w:cs="Calibri"/>
          <w:color w:val="auto"/>
          <w:szCs w:val="20"/>
        </w:rPr>
        <w:t>Disclose the environmental violations to EcoBuild’s management</w:t>
      </w:r>
    </w:p>
    <w:p w14:paraId="30D8BF2B" w14:textId="23B2A1F3" w:rsidR="005433F2" w:rsidRPr="00B52D53" w:rsidRDefault="005433F2" w:rsidP="009F73BE">
      <w:pPr>
        <w:pStyle w:val="ListParagraph"/>
        <w:numPr>
          <w:ilvl w:val="0"/>
          <w:numId w:val="68"/>
        </w:numPr>
        <w:jc w:val="both"/>
        <w:rPr>
          <w:rFonts w:ascii="Calibri" w:hAnsi="Calibri" w:cs="Calibri"/>
          <w:color w:val="auto"/>
          <w:szCs w:val="20"/>
        </w:rPr>
      </w:pPr>
      <w:r w:rsidRPr="00B52D53">
        <w:rPr>
          <w:rFonts w:ascii="Calibri" w:hAnsi="Calibri" w:cs="Calibri"/>
          <w:color w:val="auto"/>
          <w:szCs w:val="20"/>
        </w:rPr>
        <w:t>Recommend EcoBuild conduct its own due diligence on the potential partner</w:t>
      </w:r>
    </w:p>
    <w:p w14:paraId="45B4CBC3" w14:textId="0291E149" w:rsidR="005433F2" w:rsidRPr="00B52D53" w:rsidRDefault="005433F2" w:rsidP="009F73BE">
      <w:pPr>
        <w:pStyle w:val="ListParagraph"/>
        <w:numPr>
          <w:ilvl w:val="0"/>
          <w:numId w:val="68"/>
        </w:numPr>
        <w:jc w:val="both"/>
        <w:rPr>
          <w:rFonts w:ascii="Calibri" w:hAnsi="Calibri" w:cs="Calibri"/>
          <w:color w:val="auto"/>
          <w:szCs w:val="20"/>
        </w:rPr>
      </w:pPr>
      <w:r w:rsidRPr="00B52D53">
        <w:rPr>
          <w:rFonts w:ascii="Calibri" w:hAnsi="Calibri" w:cs="Calibri"/>
          <w:color w:val="auto"/>
          <w:szCs w:val="20"/>
        </w:rPr>
        <w:t xml:space="preserve">Consult with Premier Capital’s ethics committee on how to proceed </w:t>
      </w:r>
    </w:p>
    <w:p w14:paraId="0896EB5D" w14:textId="77777777" w:rsidR="005433F2" w:rsidRPr="00B52D53" w:rsidRDefault="005433F2" w:rsidP="00DA459B">
      <w:pPr>
        <w:jc w:val="both"/>
        <w:rPr>
          <w:rFonts w:ascii="Calibri" w:hAnsi="Calibri" w:cs="Calibri"/>
          <w:color w:val="auto"/>
          <w:szCs w:val="20"/>
        </w:rPr>
      </w:pPr>
    </w:p>
    <w:p w14:paraId="022C3263" w14:textId="2C2E8C47" w:rsidR="005433F2" w:rsidRPr="00B52D53" w:rsidRDefault="005433F2" w:rsidP="00DA459B">
      <w:pPr>
        <w:jc w:val="both"/>
        <w:rPr>
          <w:rFonts w:ascii="Calibri" w:hAnsi="Calibri" w:cs="Calibri"/>
          <w:color w:val="auto"/>
          <w:szCs w:val="20"/>
        </w:rPr>
      </w:pPr>
      <w:r w:rsidRPr="00B52D53">
        <w:rPr>
          <w:rFonts w:ascii="Calibri" w:hAnsi="Calibri" w:cs="Calibri"/>
          <w:color w:val="auto"/>
          <w:szCs w:val="20"/>
        </w:rPr>
        <w:t xml:space="preserve">Caroline, an investment banker at Global Capital Solutions, is working on a deal that involves a company known to have environmental compliance issues. The client insists that these issues are not material and should not be disclosed in the deal documentation. Caroline is concerned that omitting this information </w:t>
      </w:r>
      <w:r w:rsidRPr="00B52D53">
        <w:rPr>
          <w:rFonts w:ascii="Calibri" w:hAnsi="Calibri" w:cs="Calibri"/>
          <w:color w:val="auto"/>
          <w:szCs w:val="20"/>
        </w:rPr>
        <w:lastRenderedPageBreak/>
        <w:t>could mislead investors and potentially harm Global Capital Solutions’ reputation. How should Caroline proceed to ensure her actions are ethical?</w:t>
      </w:r>
    </w:p>
    <w:p w14:paraId="6D8B96E8" w14:textId="3F6BC78D" w:rsidR="005433F2" w:rsidRPr="00B52D53" w:rsidRDefault="005433F2" w:rsidP="009F73BE">
      <w:pPr>
        <w:pStyle w:val="ListParagraph"/>
        <w:numPr>
          <w:ilvl w:val="0"/>
          <w:numId w:val="69"/>
        </w:numPr>
        <w:jc w:val="both"/>
        <w:rPr>
          <w:rFonts w:ascii="Calibri" w:hAnsi="Calibri" w:cs="Calibri"/>
          <w:color w:val="auto"/>
          <w:szCs w:val="20"/>
        </w:rPr>
      </w:pPr>
      <w:r w:rsidRPr="00B52D53">
        <w:rPr>
          <w:rFonts w:ascii="Calibri" w:hAnsi="Calibri" w:cs="Calibri"/>
          <w:color w:val="auto"/>
          <w:szCs w:val="20"/>
        </w:rPr>
        <w:t>Omit the information as per the client’s request to maintain a good relationship</w:t>
      </w:r>
    </w:p>
    <w:p w14:paraId="57DD695D" w14:textId="213851AF" w:rsidR="005433F2" w:rsidRPr="00B52D53" w:rsidRDefault="005433F2" w:rsidP="009F73BE">
      <w:pPr>
        <w:pStyle w:val="ListParagraph"/>
        <w:numPr>
          <w:ilvl w:val="0"/>
          <w:numId w:val="69"/>
        </w:numPr>
        <w:jc w:val="both"/>
        <w:rPr>
          <w:rFonts w:ascii="Calibri" w:hAnsi="Calibri" w:cs="Calibri"/>
          <w:color w:val="auto"/>
          <w:szCs w:val="20"/>
        </w:rPr>
      </w:pPr>
      <w:r w:rsidRPr="00B52D53">
        <w:rPr>
          <w:rFonts w:ascii="Calibri" w:hAnsi="Calibri" w:cs="Calibri"/>
          <w:color w:val="auto"/>
          <w:szCs w:val="20"/>
        </w:rPr>
        <w:t>Disclose the environmental issues in the deal documentation despite the client’s objections</w:t>
      </w:r>
    </w:p>
    <w:p w14:paraId="5BAF84FE" w14:textId="790D87A0" w:rsidR="005433F2" w:rsidRPr="00B52D53" w:rsidRDefault="005433F2" w:rsidP="009F73BE">
      <w:pPr>
        <w:pStyle w:val="ListParagraph"/>
        <w:numPr>
          <w:ilvl w:val="0"/>
          <w:numId w:val="69"/>
        </w:numPr>
        <w:jc w:val="both"/>
        <w:rPr>
          <w:rFonts w:ascii="Calibri" w:hAnsi="Calibri" w:cs="Calibri"/>
          <w:color w:val="auto"/>
          <w:szCs w:val="20"/>
        </w:rPr>
      </w:pPr>
      <w:r w:rsidRPr="00B52D53">
        <w:rPr>
          <w:rFonts w:ascii="Calibri" w:hAnsi="Calibri" w:cs="Calibri"/>
          <w:color w:val="auto"/>
          <w:szCs w:val="20"/>
        </w:rPr>
        <w:t>Consult with Global Capital Solutions’ legal and compliance departments for guidance on how to proceed</w:t>
      </w:r>
    </w:p>
    <w:p w14:paraId="358C7DA9" w14:textId="1C3E59CC" w:rsidR="005433F2" w:rsidRPr="00B52D53" w:rsidRDefault="005433F2" w:rsidP="009F73BE">
      <w:pPr>
        <w:pStyle w:val="ListParagraph"/>
        <w:numPr>
          <w:ilvl w:val="0"/>
          <w:numId w:val="69"/>
        </w:numPr>
        <w:jc w:val="both"/>
        <w:rPr>
          <w:rFonts w:ascii="Calibri" w:hAnsi="Calibri" w:cs="Calibri"/>
          <w:color w:val="auto"/>
          <w:szCs w:val="20"/>
        </w:rPr>
      </w:pPr>
      <w:r w:rsidRPr="00B52D53">
        <w:rPr>
          <w:rFonts w:ascii="Calibri" w:hAnsi="Calibri" w:cs="Calibri"/>
          <w:color w:val="auto"/>
          <w:szCs w:val="20"/>
        </w:rPr>
        <w:t>Suggest to the client to delay the deal until the environmental issues are resolved</w:t>
      </w:r>
    </w:p>
    <w:p w14:paraId="01A29F97" w14:textId="77777777" w:rsidR="005433F2" w:rsidRPr="00B52D53" w:rsidRDefault="005433F2" w:rsidP="00DA459B">
      <w:pPr>
        <w:jc w:val="both"/>
        <w:rPr>
          <w:rFonts w:ascii="Calibri" w:hAnsi="Calibri" w:cs="Calibri"/>
          <w:color w:val="auto"/>
          <w:szCs w:val="20"/>
        </w:rPr>
      </w:pPr>
    </w:p>
    <w:p w14:paraId="44760376" w14:textId="32DCCCFE" w:rsidR="005433F2" w:rsidRPr="00B52D53" w:rsidRDefault="005433F2" w:rsidP="00DA459B">
      <w:pPr>
        <w:jc w:val="both"/>
        <w:rPr>
          <w:rFonts w:ascii="Calibri" w:hAnsi="Calibri" w:cs="Calibri"/>
          <w:b/>
          <w:bCs/>
          <w:color w:val="auto"/>
          <w:szCs w:val="20"/>
        </w:rPr>
      </w:pPr>
      <w:r w:rsidRPr="00B52D53">
        <w:rPr>
          <w:rFonts w:ascii="Calibri" w:hAnsi="Calibri" w:cs="Calibri"/>
          <w:b/>
          <w:bCs/>
          <w:color w:val="auto"/>
          <w:szCs w:val="20"/>
        </w:rPr>
        <w:t>Chapter 10 – Fund Management Practices and Skills</w:t>
      </w:r>
    </w:p>
    <w:p w14:paraId="2F72AD29" w14:textId="48CC3A26" w:rsidR="005433F2" w:rsidRPr="00B52D53" w:rsidRDefault="005433F2" w:rsidP="00DA459B">
      <w:pPr>
        <w:jc w:val="both"/>
        <w:rPr>
          <w:rFonts w:ascii="Calibri" w:hAnsi="Calibri" w:cs="Calibri"/>
          <w:color w:val="auto"/>
          <w:szCs w:val="20"/>
        </w:rPr>
      </w:pPr>
      <w:r w:rsidRPr="00B52D53">
        <w:rPr>
          <w:rFonts w:ascii="Calibri" w:hAnsi="Calibri" w:cs="Calibri"/>
          <w:color w:val="auto"/>
          <w:szCs w:val="20"/>
        </w:rPr>
        <w:t xml:space="preserve">During a portfolio review meeting, Marcus, a financial advisor at Elite Wealth Management, discusses with his client, Sophia, her investment objectives, </w:t>
      </w:r>
      <w:proofErr w:type="gramStart"/>
      <w:r w:rsidRPr="00B52D53">
        <w:rPr>
          <w:rFonts w:ascii="Calibri" w:hAnsi="Calibri" w:cs="Calibri"/>
          <w:color w:val="auto"/>
          <w:szCs w:val="20"/>
        </w:rPr>
        <w:t>particular focusing</w:t>
      </w:r>
      <w:proofErr w:type="gramEnd"/>
      <w:r w:rsidRPr="00B52D53">
        <w:rPr>
          <w:rFonts w:ascii="Calibri" w:hAnsi="Calibri" w:cs="Calibri"/>
          <w:color w:val="auto"/>
          <w:szCs w:val="20"/>
        </w:rPr>
        <w:t xml:space="preserve"> on her desire for stable income in retirement while also expressing concerns about inflation eroding her savings. Marcus considers various investment options to align with Sophia’s objectives and constraints. Which investment options should Marcus consider for Sophia’s portfolio to ensure it meets her return objectives and risk tolerance?</w:t>
      </w:r>
    </w:p>
    <w:p w14:paraId="6969EA8D" w14:textId="77777777" w:rsidR="005433F2" w:rsidRPr="00B52D53" w:rsidRDefault="005433F2" w:rsidP="00DA459B">
      <w:pPr>
        <w:jc w:val="both"/>
        <w:rPr>
          <w:rFonts w:ascii="Calibri" w:hAnsi="Calibri" w:cs="Calibri"/>
          <w:color w:val="auto"/>
          <w:szCs w:val="20"/>
        </w:rPr>
      </w:pPr>
      <w:r w:rsidRPr="00B52D53">
        <w:rPr>
          <w:rFonts w:ascii="Calibri" w:hAnsi="Calibri" w:cs="Calibri"/>
          <w:color w:val="auto"/>
          <w:szCs w:val="20"/>
        </w:rPr>
        <w:t xml:space="preserve">SELECT ALL OPTIONS THAT APPLY </w:t>
      </w:r>
    </w:p>
    <w:p w14:paraId="6650B8E1" w14:textId="0EB65B1E" w:rsidR="005433F2" w:rsidRPr="00B52D53" w:rsidRDefault="005433F2" w:rsidP="009F73BE">
      <w:pPr>
        <w:pStyle w:val="ListParagraph"/>
        <w:numPr>
          <w:ilvl w:val="0"/>
          <w:numId w:val="70"/>
        </w:numPr>
        <w:jc w:val="both"/>
        <w:rPr>
          <w:rFonts w:ascii="Calibri" w:hAnsi="Calibri" w:cs="Calibri"/>
          <w:color w:val="auto"/>
          <w:szCs w:val="20"/>
        </w:rPr>
      </w:pPr>
      <w:r w:rsidRPr="00B52D53">
        <w:rPr>
          <w:rFonts w:ascii="Calibri" w:hAnsi="Calibri" w:cs="Calibri"/>
          <w:color w:val="auto"/>
          <w:szCs w:val="20"/>
        </w:rPr>
        <w:t>Dividend-paying equities for potential income generation</w:t>
      </w:r>
    </w:p>
    <w:p w14:paraId="13FCF0B3" w14:textId="5F8A6E7A" w:rsidR="005433F2" w:rsidRPr="00B52D53" w:rsidRDefault="005433F2" w:rsidP="009F73BE">
      <w:pPr>
        <w:pStyle w:val="ListParagraph"/>
        <w:numPr>
          <w:ilvl w:val="0"/>
          <w:numId w:val="70"/>
        </w:numPr>
        <w:jc w:val="both"/>
        <w:rPr>
          <w:rFonts w:ascii="Calibri" w:hAnsi="Calibri" w:cs="Calibri"/>
          <w:color w:val="auto"/>
          <w:szCs w:val="20"/>
        </w:rPr>
      </w:pPr>
      <w:r w:rsidRPr="00B52D53">
        <w:rPr>
          <w:rFonts w:ascii="Calibri" w:hAnsi="Calibri" w:cs="Calibri"/>
          <w:color w:val="auto"/>
          <w:szCs w:val="20"/>
        </w:rPr>
        <w:t>Inflation-protected securities (TIPS) to guard against inflation</w:t>
      </w:r>
    </w:p>
    <w:p w14:paraId="6045CCAE" w14:textId="2902E58A" w:rsidR="005433F2" w:rsidRPr="00B52D53" w:rsidRDefault="005433F2" w:rsidP="009F73BE">
      <w:pPr>
        <w:pStyle w:val="ListParagraph"/>
        <w:numPr>
          <w:ilvl w:val="0"/>
          <w:numId w:val="70"/>
        </w:numPr>
        <w:jc w:val="both"/>
        <w:rPr>
          <w:rFonts w:ascii="Calibri" w:hAnsi="Calibri" w:cs="Calibri"/>
          <w:color w:val="auto"/>
          <w:szCs w:val="20"/>
        </w:rPr>
      </w:pPr>
      <w:r w:rsidRPr="00B52D53">
        <w:rPr>
          <w:rFonts w:ascii="Calibri" w:hAnsi="Calibri" w:cs="Calibri"/>
          <w:color w:val="auto"/>
          <w:szCs w:val="20"/>
        </w:rPr>
        <w:t>Commodities as a hedge against inflation</w:t>
      </w:r>
    </w:p>
    <w:p w14:paraId="1EC73C67" w14:textId="477EBD84" w:rsidR="005433F2" w:rsidRPr="00B52D53" w:rsidRDefault="005433F2" w:rsidP="009F73BE">
      <w:pPr>
        <w:pStyle w:val="ListParagraph"/>
        <w:numPr>
          <w:ilvl w:val="0"/>
          <w:numId w:val="70"/>
        </w:numPr>
        <w:jc w:val="both"/>
        <w:rPr>
          <w:rFonts w:ascii="Calibri" w:hAnsi="Calibri" w:cs="Calibri"/>
          <w:color w:val="auto"/>
          <w:szCs w:val="20"/>
        </w:rPr>
      </w:pPr>
      <w:r w:rsidRPr="00B52D53">
        <w:rPr>
          <w:rFonts w:ascii="Calibri" w:hAnsi="Calibri" w:cs="Calibri"/>
          <w:color w:val="auto"/>
          <w:szCs w:val="20"/>
        </w:rPr>
        <w:t>High-yield bonds for higher income potential</w:t>
      </w:r>
    </w:p>
    <w:p w14:paraId="06A64C06" w14:textId="77777777" w:rsidR="005433F2" w:rsidRPr="00B52D53" w:rsidRDefault="005433F2" w:rsidP="00DA459B">
      <w:pPr>
        <w:jc w:val="both"/>
        <w:rPr>
          <w:rFonts w:ascii="Calibri" w:hAnsi="Calibri" w:cs="Calibri"/>
          <w:color w:val="auto"/>
          <w:szCs w:val="20"/>
        </w:rPr>
      </w:pPr>
    </w:p>
    <w:p w14:paraId="362C4D7A" w14:textId="35A2D756" w:rsidR="00891845" w:rsidRPr="00B52D53" w:rsidRDefault="00891845" w:rsidP="00DA459B">
      <w:pPr>
        <w:jc w:val="both"/>
        <w:rPr>
          <w:rFonts w:ascii="Calibri" w:hAnsi="Calibri" w:cs="Calibri"/>
          <w:color w:val="auto"/>
          <w:szCs w:val="20"/>
        </w:rPr>
      </w:pPr>
      <w:r w:rsidRPr="00B52D53">
        <w:rPr>
          <w:rFonts w:ascii="Calibri" w:hAnsi="Calibri" w:cs="Calibri"/>
          <w:color w:val="auto"/>
          <w:szCs w:val="20"/>
        </w:rPr>
        <w:t>Grace, the head of an institutional investor firm, is in the process of selecting a new external manager for the firm’s emerging market debt portfolio. She has received multiple proposals and is using a detailed questionnaire to evaluate each manager’s investment process, risk management strategies, and performance history. Grace wants to ensure that the selected manager aligns with her firm’s investment philosophy and has a proven track record of managing EMDs. Which criteria should Grace include in her questionnaire to effectively evaluate the external managers?</w:t>
      </w:r>
    </w:p>
    <w:p w14:paraId="6F68A761" w14:textId="77777777" w:rsidR="00891845" w:rsidRPr="00B52D53" w:rsidRDefault="00891845" w:rsidP="00DA459B">
      <w:pPr>
        <w:jc w:val="both"/>
        <w:rPr>
          <w:rFonts w:ascii="Calibri" w:hAnsi="Calibri" w:cs="Calibri"/>
          <w:color w:val="auto"/>
          <w:szCs w:val="20"/>
        </w:rPr>
      </w:pPr>
      <w:r w:rsidRPr="00B52D53">
        <w:rPr>
          <w:rFonts w:ascii="Calibri" w:hAnsi="Calibri" w:cs="Calibri"/>
          <w:color w:val="auto"/>
          <w:szCs w:val="20"/>
        </w:rPr>
        <w:t xml:space="preserve">SELECT ALL OPTIONS THAT APPLY </w:t>
      </w:r>
    </w:p>
    <w:p w14:paraId="45A53ED7" w14:textId="15148619" w:rsidR="00891845" w:rsidRPr="00B52D53" w:rsidRDefault="00891845" w:rsidP="009F73BE">
      <w:pPr>
        <w:pStyle w:val="ListParagraph"/>
        <w:numPr>
          <w:ilvl w:val="0"/>
          <w:numId w:val="71"/>
        </w:numPr>
        <w:jc w:val="both"/>
        <w:rPr>
          <w:rFonts w:ascii="Calibri" w:hAnsi="Calibri" w:cs="Calibri"/>
          <w:color w:val="auto"/>
          <w:szCs w:val="20"/>
        </w:rPr>
      </w:pPr>
      <w:r w:rsidRPr="00B52D53">
        <w:rPr>
          <w:rFonts w:ascii="Calibri" w:hAnsi="Calibri" w:cs="Calibri"/>
          <w:color w:val="auto"/>
          <w:szCs w:val="20"/>
        </w:rPr>
        <w:t>The colour scheme used in the managers’ marketing materials</w:t>
      </w:r>
    </w:p>
    <w:p w14:paraId="12B075FB" w14:textId="4F59ABC4" w:rsidR="00891845" w:rsidRPr="00B52D53" w:rsidRDefault="00891845" w:rsidP="009F73BE">
      <w:pPr>
        <w:pStyle w:val="ListParagraph"/>
        <w:numPr>
          <w:ilvl w:val="0"/>
          <w:numId w:val="71"/>
        </w:numPr>
        <w:jc w:val="both"/>
        <w:rPr>
          <w:rFonts w:ascii="Calibri" w:hAnsi="Calibri" w:cs="Calibri"/>
          <w:color w:val="auto"/>
          <w:szCs w:val="20"/>
        </w:rPr>
      </w:pPr>
      <w:r w:rsidRPr="00B52D53">
        <w:rPr>
          <w:rFonts w:ascii="Calibri" w:hAnsi="Calibri" w:cs="Calibri"/>
          <w:color w:val="auto"/>
          <w:szCs w:val="20"/>
        </w:rPr>
        <w:t>The managers’ investment philosophy and process</w:t>
      </w:r>
    </w:p>
    <w:p w14:paraId="54C6410E" w14:textId="27F67079" w:rsidR="00891845" w:rsidRPr="00B52D53" w:rsidRDefault="00891845" w:rsidP="009F73BE">
      <w:pPr>
        <w:pStyle w:val="ListParagraph"/>
        <w:numPr>
          <w:ilvl w:val="0"/>
          <w:numId w:val="71"/>
        </w:numPr>
        <w:jc w:val="both"/>
        <w:rPr>
          <w:rFonts w:ascii="Calibri" w:hAnsi="Calibri" w:cs="Calibri"/>
          <w:color w:val="auto"/>
          <w:szCs w:val="20"/>
        </w:rPr>
      </w:pPr>
      <w:r w:rsidRPr="00B52D53">
        <w:rPr>
          <w:rFonts w:ascii="Calibri" w:hAnsi="Calibri" w:cs="Calibri"/>
          <w:color w:val="auto"/>
          <w:szCs w:val="20"/>
        </w:rPr>
        <w:t>The managers’ performance relative to their benchmarks</w:t>
      </w:r>
    </w:p>
    <w:p w14:paraId="6FF381BE" w14:textId="54439BC1" w:rsidR="00891845" w:rsidRPr="00B52D53" w:rsidRDefault="00891845" w:rsidP="009F73BE">
      <w:pPr>
        <w:pStyle w:val="ListParagraph"/>
        <w:numPr>
          <w:ilvl w:val="0"/>
          <w:numId w:val="71"/>
        </w:numPr>
        <w:jc w:val="both"/>
        <w:rPr>
          <w:rFonts w:ascii="Calibri" w:hAnsi="Calibri" w:cs="Calibri"/>
          <w:color w:val="auto"/>
          <w:szCs w:val="20"/>
        </w:rPr>
      </w:pPr>
      <w:r w:rsidRPr="00B52D53">
        <w:rPr>
          <w:rFonts w:ascii="Calibri" w:hAnsi="Calibri" w:cs="Calibri"/>
          <w:color w:val="auto"/>
          <w:szCs w:val="20"/>
        </w:rPr>
        <w:t>The average annual portfolio turnover for the past three years</w:t>
      </w:r>
    </w:p>
    <w:p w14:paraId="5D43BC54" w14:textId="77777777" w:rsidR="00763FF6" w:rsidRPr="00B52D53" w:rsidRDefault="00763FF6" w:rsidP="00DA459B">
      <w:pPr>
        <w:jc w:val="both"/>
        <w:rPr>
          <w:rFonts w:ascii="Calibri" w:hAnsi="Calibri" w:cs="Calibri"/>
          <w:color w:val="auto"/>
          <w:szCs w:val="20"/>
        </w:rPr>
      </w:pPr>
    </w:p>
    <w:p w14:paraId="6FDED406" w14:textId="2A438FC6" w:rsidR="00763FF6" w:rsidRPr="00B52D53" w:rsidRDefault="00763FF6" w:rsidP="00DA459B">
      <w:pPr>
        <w:jc w:val="both"/>
        <w:rPr>
          <w:rFonts w:ascii="Calibri" w:hAnsi="Calibri" w:cs="Calibri"/>
          <w:color w:val="auto"/>
          <w:szCs w:val="20"/>
        </w:rPr>
      </w:pPr>
      <w:r w:rsidRPr="00B52D53">
        <w:rPr>
          <w:rFonts w:ascii="Calibri" w:hAnsi="Calibri" w:cs="Calibri"/>
          <w:color w:val="auto"/>
          <w:szCs w:val="20"/>
        </w:rPr>
        <w:t>During the annual review of investment managers, Elena (CIO) is assessing the performance and investment strategies of their current equity fund managers. She is particularly concerned about one of the funds that has consistently underperformed its benchmark. Elena decides to send out a detailed questionnaire to all equity fund managers, focusing on understanding their investment processes, risk management strategies, and how they adapt to changing market conditions. What specific areas should Elena’s questionnaire cover to effectively evaluate the equity fund managers?</w:t>
      </w:r>
    </w:p>
    <w:p w14:paraId="67B409B8" w14:textId="77777777" w:rsidR="00763FF6" w:rsidRPr="00B52D53" w:rsidRDefault="00763FF6" w:rsidP="00DA459B">
      <w:pPr>
        <w:jc w:val="both"/>
        <w:rPr>
          <w:rFonts w:ascii="Calibri" w:hAnsi="Calibri" w:cs="Calibri"/>
          <w:color w:val="auto"/>
          <w:szCs w:val="20"/>
        </w:rPr>
      </w:pPr>
      <w:r w:rsidRPr="00B52D53">
        <w:rPr>
          <w:rFonts w:ascii="Calibri" w:hAnsi="Calibri" w:cs="Calibri"/>
          <w:color w:val="auto"/>
          <w:szCs w:val="20"/>
        </w:rPr>
        <w:lastRenderedPageBreak/>
        <w:t xml:space="preserve">SELECT ALL OPTIONS THAT APPLY </w:t>
      </w:r>
    </w:p>
    <w:p w14:paraId="065E38C1" w14:textId="24FB57BC" w:rsidR="00763FF6" w:rsidRPr="00B52D53" w:rsidRDefault="00763FF6" w:rsidP="009F73BE">
      <w:pPr>
        <w:pStyle w:val="ListParagraph"/>
        <w:numPr>
          <w:ilvl w:val="0"/>
          <w:numId w:val="72"/>
        </w:numPr>
        <w:jc w:val="both"/>
        <w:rPr>
          <w:rFonts w:ascii="Calibri" w:hAnsi="Calibri" w:cs="Calibri"/>
          <w:color w:val="auto"/>
          <w:szCs w:val="20"/>
        </w:rPr>
      </w:pPr>
      <w:r w:rsidRPr="00B52D53">
        <w:rPr>
          <w:rFonts w:ascii="Calibri" w:hAnsi="Calibri" w:cs="Calibri"/>
          <w:color w:val="auto"/>
          <w:szCs w:val="20"/>
        </w:rPr>
        <w:t>The managers’ investment philosophy and process</w:t>
      </w:r>
    </w:p>
    <w:p w14:paraId="0BC3EEB3" w14:textId="4A76096B" w:rsidR="00763FF6" w:rsidRPr="00B52D53" w:rsidRDefault="00763FF6" w:rsidP="009F73BE">
      <w:pPr>
        <w:pStyle w:val="ListParagraph"/>
        <w:numPr>
          <w:ilvl w:val="0"/>
          <w:numId w:val="72"/>
        </w:numPr>
        <w:jc w:val="both"/>
        <w:rPr>
          <w:rFonts w:ascii="Calibri" w:hAnsi="Calibri" w:cs="Calibri"/>
          <w:color w:val="auto"/>
          <w:szCs w:val="20"/>
        </w:rPr>
      </w:pPr>
      <w:r w:rsidRPr="00B52D53">
        <w:rPr>
          <w:rFonts w:ascii="Calibri" w:hAnsi="Calibri" w:cs="Calibri"/>
          <w:color w:val="auto"/>
          <w:szCs w:val="20"/>
        </w:rPr>
        <w:t>The future vacation spots of the fund managers</w:t>
      </w:r>
    </w:p>
    <w:p w14:paraId="103F45E5" w14:textId="32F89420" w:rsidR="00763FF6" w:rsidRPr="00B52D53" w:rsidRDefault="00763FF6" w:rsidP="009F73BE">
      <w:pPr>
        <w:pStyle w:val="ListParagraph"/>
        <w:numPr>
          <w:ilvl w:val="0"/>
          <w:numId w:val="72"/>
        </w:numPr>
        <w:jc w:val="both"/>
        <w:rPr>
          <w:rFonts w:ascii="Calibri" w:hAnsi="Calibri" w:cs="Calibri"/>
          <w:color w:val="auto"/>
          <w:szCs w:val="20"/>
        </w:rPr>
      </w:pPr>
      <w:r w:rsidRPr="00B52D53">
        <w:rPr>
          <w:rFonts w:ascii="Calibri" w:hAnsi="Calibri" w:cs="Calibri"/>
          <w:color w:val="auto"/>
          <w:szCs w:val="20"/>
        </w:rPr>
        <w:t>The managers’ performance relative to their benchmarks</w:t>
      </w:r>
    </w:p>
    <w:p w14:paraId="187DF3A4" w14:textId="77777777" w:rsidR="00763FF6" w:rsidRPr="00B52D53" w:rsidRDefault="00763FF6" w:rsidP="009F73BE">
      <w:pPr>
        <w:pStyle w:val="ListParagraph"/>
        <w:numPr>
          <w:ilvl w:val="0"/>
          <w:numId w:val="72"/>
        </w:numPr>
        <w:jc w:val="both"/>
        <w:rPr>
          <w:rFonts w:ascii="Calibri" w:hAnsi="Calibri" w:cs="Calibri"/>
          <w:color w:val="auto"/>
          <w:szCs w:val="20"/>
        </w:rPr>
      </w:pPr>
      <w:r w:rsidRPr="00B52D53">
        <w:rPr>
          <w:rFonts w:ascii="Calibri" w:hAnsi="Calibri" w:cs="Calibri"/>
          <w:color w:val="auto"/>
          <w:szCs w:val="20"/>
        </w:rPr>
        <w:t>The average annual portfolio turnover for the past three years</w:t>
      </w:r>
    </w:p>
    <w:p w14:paraId="7CCFDF4C" w14:textId="19EF9D9B" w:rsidR="00763FF6" w:rsidRPr="00B52D53" w:rsidRDefault="00763FF6" w:rsidP="00DA459B">
      <w:pPr>
        <w:jc w:val="both"/>
        <w:rPr>
          <w:rFonts w:ascii="Calibri" w:hAnsi="Calibri" w:cs="Calibri"/>
          <w:color w:val="auto"/>
          <w:szCs w:val="20"/>
        </w:rPr>
      </w:pPr>
    </w:p>
    <w:p w14:paraId="1A5D8DB6" w14:textId="4B6DCE64" w:rsidR="005433F2" w:rsidRPr="00B52D53" w:rsidRDefault="005433F2" w:rsidP="00DA459B">
      <w:pPr>
        <w:jc w:val="both"/>
        <w:rPr>
          <w:rFonts w:ascii="Calibri" w:hAnsi="Calibri" w:cs="Calibri"/>
          <w:b/>
          <w:bCs/>
          <w:color w:val="auto"/>
          <w:szCs w:val="20"/>
        </w:rPr>
      </w:pPr>
      <w:r w:rsidRPr="00B52D53">
        <w:rPr>
          <w:rFonts w:ascii="Calibri" w:hAnsi="Calibri" w:cs="Calibri"/>
          <w:b/>
          <w:bCs/>
          <w:color w:val="auto"/>
          <w:szCs w:val="20"/>
        </w:rPr>
        <w:t>Chapter 11 – Prevention of Financial Crimes</w:t>
      </w:r>
    </w:p>
    <w:p w14:paraId="3D054152" w14:textId="450F5BC1" w:rsidR="005433F2" w:rsidRPr="00B52D53" w:rsidRDefault="00763FF6" w:rsidP="00DA459B">
      <w:pPr>
        <w:jc w:val="both"/>
        <w:rPr>
          <w:rFonts w:ascii="Calibri" w:hAnsi="Calibri" w:cs="Calibri"/>
          <w:color w:val="auto"/>
          <w:szCs w:val="20"/>
        </w:rPr>
      </w:pPr>
      <w:r w:rsidRPr="00B52D53">
        <w:rPr>
          <w:rFonts w:ascii="Calibri" w:hAnsi="Calibri" w:cs="Calibri"/>
          <w:color w:val="auto"/>
          <w:szCs w:val="20"/>
        </w:rPr>
        <w:t>Adam owns 50% of Company A and 20% of Company B. Company A owns 60% of Company B. Company B owns 30% of Company C. What’s Adam ultimate beneficial ownership of Company C?</w:t>
      </w:r>
    </w:p>
    <w:p w14:paraId="227A3390" w14:textId="2154B6FA" w:rsidR="00763FF6" w:rsidRPr="00B52D53" w:rsidRDefault="00763FF6" w:rsidP="009F73BE">
      <w:pPr>
        <w:pStyle w:val="ListParagraph"/>
        <w:numPr>
          <w:ilvl w:val="0"/>
          <w:numId w:val="73"/>
        </w:numPr>
        <w:jc w:val="both"/>
        <w:rPr>
          <w:rFonts w:ascii="Calibri" w:hAnsi="Calibri" w:cs="Calibri"/>
          <w:color w:val="auto"/>
          <w:szCs w:val="20"/>
        </w:rPr>
      </w:pPr>
      <w:r w:rsidRPr="00B52D53">
        <w:rPr>
          <w:rFonts w:ascii="Calibri" w:hAnsi="Calibri" w:cs="Calibri"/>
          <w:color w:val="auto"/>
          <w:szCs w:val="20"/>
        </w:rPr>
        <w:t>1.8%</w:t>
      </w:r>
    </w:p>
    <w:p w14:paraId="716DDAC0" w14:textId="77D1AB38" w:rsidR="00763FF6" w:rsidRPr="00B52D53" w:rsidRDefault="00763FF6" w:rsidP="009F73BE">
      <w:pPr>
        <w:pStyle w:val="ListParagraph"/>
        <w:numPr>
          <w:ilvl w:val="0"/>
          <w:numId w:val="73"/>
        </w:numPr>
        <w:jc w:val="both"/>
        <w:rPr>
          <w:rFonts w:ascii="Calibri" w:hAnsi="Calibri" w:cs="Calibri"/>
          <w:color w:val="auto"/>
          <w:szCs w:val="20"/>
        </w:rPr>
      </w:pPr>
      <w:r w:rsidRPr="00B52D53">
        <w:rPr>
          <w:rFonts w:ascii="Calibri" w:hAnsi="Calibri" w:cs="Calibri"/>
          <w:color w:val="auto"/>
          <w:szCs w:val="20"/>
        </w:rPr>
        <w:t>9%</w:t>
      </w:r>
    </w:p>
    <w:p w14:paraId="13527B89" w14:textId="189CA8A6" w:rsidR="00763FF6" w:rsidRPr="00B52D53" w:rsidRDefault="00763FF6" w:rsidP="009F73BE">
      <w:pPr>
        <w:pStyle w:val="ListParagraph"/>
        <w:numPr>
          <w:ilvl w:val="0"/>
          <w:numId w:val="73"/>
        </w:numPr>
        <w:jc w:val="both"/>
        <w:rPr>
          <w:rFonts w:ascii="Calibri" w:hAnsi="Calibri" w:cs="Calibri"/>
          <w:color w:val="auto"/>
          <w:szCs w:val="20"/>
        </w:rPr>
      </w:pPr>
      <w:r w:rsidRPr="00B52D53">
        <w:rPr>
          <w:rFonts w:ascii="Calibri" w:hAnsi="Calibri" w:cs="Calibri"/>
          <w:color w:val="auto"/>
          <w:szCs w:val="20"/>
        </w:rPr>
        <w:t>15%</w:t>
      </w:r>
    </w:p>
    <w:p w14:paraId="62377076" w14:textId="3868CD95" w:rsidR="00763FF6" w:rsidRPr="00B52D53" w:rsidRDefault="00763FF6" w:rsidP="009F73BE">
      <w:pPr>
        <w:pStyle w:val="ListParagraph"/>
        <w:numPr>
          <w:ilvl w:val="0"/>
          <w:numId w:val="73"/>
        </w:numPr>
        <w:jc w:val="both"/>
        <w:rPr>
          <w:rFonts w:ascii="Calibri" w:hAnsi="Calibri" w:cs="Calibri"/>
          <w:color w:val="auto"/>
          <w:szCs w:val="20"/>
        </w:rPr>
      </w:pPr>
      <w:r w:rsidRPr="00B52D53">
        <w:rPr>
          <w:rFonts w:ascii="Calibri" w:hAnsi="Calibri" w:cs="Calibri"/>
          <w:color w:val="auto"/>
          <w:szCs w:val="20"/>
        </w:rPr>
        <w:t>18%</w:t>
      </w:r>
    </w:p>
    <w:p w14:paraId="4BC7EF96" w14:textId="77777777" w:rsidR="00763FF6" w:rsidRPr="00B52D53" w:rsidRDefault="00763FF6" w:rsidP="00DA459B">
      <w:pPr>
        <w:jc w:val="both"/>
        <w:rPr>
          <w:rFonts w:ascii="Calibri" w:hAnsi="Calibri" w:cs="Calibri"/>
          <w:color w:val="auto"/>
          <w:szCs w:val="20"/>
        </w:rPr>
      </w:pPr>
    </w:p>
    <w:p w14:paraId="5FF01C19" w14:textId="286E5D9E" w:rsidR="00763FF6" w:rsidRPr="00B52D53" w:rsidRDefault="00763FF6" w:rsidP="00DA459B">
      <w:pPr>
        <w:jc w:val="both"/>
        <w:rPr>
          <w:rFonts w:ascii="Calibri" w:hAnsi="Calibri" w:cs="Calibri"/>
          <w:color w:val="auto"/>
          <w:szCs w:val="20"/>
        </w:rPr>
      </w:pPr>
      <w:r w:rsidRPr="00B52D53">
        <w:rPr>
          <w:rFonts w:ascii="Calibri" w:hAnsi="Calibri" w:cs="Calibri"/>
          <w:color w:val="auto"/>
          <w:szCs w:val="20"/>
        </w:rPr>
        <w:t>Ruby is a police officer and comes to know that her colleagues from another unit would be raiding a well-known businessman’s office premises on suspicions of drug trafficking. Ruby tells this fact to her husband who is a trader. In this context, which of the following statements is True?</w:t>
      </w:r>
    </w:p>
    <w:p w14:paraId="7AC9FE79" w14:textId="46A26A76" w:rsidR="00763FF6" w:rsidRPr="00B52D53" w:rsidRDefault="00763FF6" w:rsidP="009F73BE">
      <w:pPr>
        <w:pStyle w:val="ListParagraph"/>
        <w:numPr>
          <w:ilvl w:val="0"/>
          <w:numId w:val="74"/>
        </w:numPr>
        <w:jc w:val="both"/>
        <w:rPr>
          <w:rFonts w:ascii="Calibri" w:hAnsi="Calibri" w:cs="Calibri"/>
          <w:color w:val="auto"/>
          <w:szCs w:val="20"/>
        </w:rPr>
      </w:pPr>
      <w:r w:rsidRPr="00B52D53">
        <w:rPr>
          <w:rFonts w:ascii="Calibri" w:hAnsi="Calibri" w:cs="Calibri"/>
          <w:color w:val="auto"/>
          <w:szCs w:val="20"/>
        </w:rPr>
        <w:t>Ruby is guilty of tipping-off offence because she disclosed vital information about the impending raid to her husband</w:t>
      </w:r>
    </w:p>
    <w:p w14:paraId="726185F9" w14:textId="2F97409D" w:rsidR="00763FF6" w:rsidRPr="00B52D53" w:rsidRDefault="00763FF6" w:rsidP="009F73BE">
      <w:pPr>
        <w:pStyle w:val="ListParagraph"/>
        <w:numPr>
          <w:ilvl w:val="0"/>
          <w:numId w:val="74"/>
        </w:numPr>
        <w:jc w:val="both"/>
        <w:rPr>
          <w:rFonts w:ascii="Calibri" w:hAnsi="Calibri" w:cs="Calibri"/>
          <w:color w:val="auto"/>
          <w:szCs w:val="20"/>
        </w:rPr>
      </w:pPr>
      <w:r w:rsidRPr="00B52D53">
        <w:rPr>
          <w:rFonts w:ascii="Calibri" w:hAnsi="Calibri" w:cs="Calibri"/>
          <w:color w:val="auto"/>
          <w:szCs w:val="20"/>
        </w:rPr>
        <w:t xml:space="preserve">Ruby will be guilty of tipping-off offence only if her husband discloses the information to the businessman </w:t>
      </w:r>
    </w:p>
    <w:p w14:paraId="2236EA9F" w14:textId="60186653" w:rsidR="00763FF6" w:rsidRPr="00B52D53" w:rsidRDefault="00763FF6" w:rsidP="009F73BE">
      <w:pPr>
        <w:pStyle w:val="ListParagraph"/>
        <w:numPr>
          <w:ilvl w:val="0"/>
          <w:numId w:val="74"/>
        </w:numPr>
        <w:jc w:val="both"/>
        <w:rPr>
          <w:rFonts w:ascii="Calibri" w:hAnsi="Calibri" w:cs="Calibri"/>
          <w:color w:val="auto"/>
          <w:szCs w:val="20"/>
        </w:rPr>
      </w:pPr>
      <w:r w:rsidRPr="00B52D53">
        <w:rPr>
          <w:rFonts w:ascii="Calibri" w:hAnsi="Calibri" w:cs="Calibri"/>
          <w:color w:val="auto"/>
          <w:szCs w:val="20"/>
        </w:rPr>
        <w:t>Ruby’s husband is guilty of tipping-off offence along with Ruby because they discussed vital information about the impending raid</w:t>
      </w:r>
    </w:p>
    <w:p w14:paraId="44F099F9" w14:textId="0AEEDC8D" w:rsidR="00763FF6" w:rsidRPr="00B52D53" w:rsidRDefault="00763FF6" w:rsidP="009F73BE">
      <w:pPr>
        <w:pStyle w:val="ListParagraph"/>
        <w:numPr>
          <w:ilvl w:val="0"/>
          <w:numId w:val="74"/>
        </w:numPr>
        <w:jc w:val="both"/>
        <w:rPr>
          <w:rFonts w:ascii="Calibri" w:hAnsi="Calibri" w:cs="Calibri"/>
          <w:color w:val="auto"/>
          <w:szCs w:val="20"/>
        </w:rPr>
      </w:pPr>
      <w:r w:rsidRPr="00B52D53">
        <w:rPr>
          <w:rFonts w:ascii="Calibri" w:hAnsi="Calibri" w:cs="Calibri"/>
          <w:color w:val="auto"/>
          <w:szCs w:val="20"/>
        </w:rPr>
        <w:t>If the raid is successful and proof of drugs smuggling is discovered, then Ruby will not be guilty of tipping-off offence</w:t>
      </w:r>
    </w:p>
    <w:p w14:paraId="0CF78F2E" w14:textId="77777777" w:rsidR="00763FF6" w:rsidRPr="00B52D53" w:rsidRDefault="00763FF6" w:rsidP="00DA459B">
      <w:pPr>
        <w:jc w:val="both"/>
        <w:rPr>
          <w:rFonts w:ascii="Calibri" w:hAnsi="Calibri" w:cs="Calibri"/>
          <w:color w:val="auto"/>
          <w:szCs w:val="20"/>
        </w:rPr>
      </w:pPr>
    </w:p>
    <w:p w14:paraId="1414323B" w14:textId="7A02F9BD" w:rsidR="00763FF6" w:rsidRPr="00B52D53" w:rsidRDefault="0019749C" w:rsidP="00DA459B">
      <w:pPr>
        <w:jc w:val="both"/>
        <w:rPr>
          <w:rFonts w:ascii="Calibri" w:hAnsi="Calibri" w:cs="Calibri"/>
          <w:color w:val="auto"/>
          <w:szCs w:val="20"/>
        </w:rPr>
      </w:pPr>
      <w:r w:rsidRPr="00B52D53">
        <w:rPr>
          <w:rFonts w:ascii="Calibri" w:hAnsi="Calibri" w:cs="Calibri"/>
          <w:color w:val="auto"/>
          <w:szCs w:val="20"/>
        </w:rPr>
        <w:t>Which of the following businesses may be considered as cash intensive businesses for the purpose of facilitating money laundering?</w:t>
      </w:r>
    </w:p>
    <w:p w14:paraId="5F2B6AC1" w14:textId="08D2BF7E" w:rsidR="0019749C" w:rsidRPr="00B52D53" w:rsidRDefault="0019749C" w:rsidP="009F73BE">
      <w:pPr>
        <w:pStyle w:val="ListParagraph"/>
        <w:numPr>
          <w:ilvl w:val="0"/>
          <w:numId w:val="75"/>
        </w:numPr>
        <w:jc w:val="both"/>
        <w:rPr>
          <w:rFonts w:ascii="Calibri" w:hAnsi="Calibri" w:cs="Calibri"/>
          <w:color w:val="auto"/>
          <w:szCs w:val="20"/>
        </w:rPr>
      </w:pPr>
      <w:r w:rsidRPr="00B52D53">
        <w:rPr>
          <w:rFonts w:ascii="Calibri" w:hAnsi="Calibri" w:cs="Calibri"/>
          <w:color w:val="auto"/>
          <w:szCs w:val="20"/>
        </w:rPr>
        <w:t>Restaurant</w:t>
      </w:r>
    </w:p>
    <w:p w14:paraId="2D8145E5" w14:textId="6CC49038" w:rsidR="0019749C" w:rsidRPr="00B52D53" w:rsidRDefault="0019749C" w:rsidP="009F73BE">
      <w:pPr>
        <w:pStyle w:val="ListParagraph"/>
        <w:numPr>
          <w:ilvl w:val="0"/>
          <w:numId w:val="75"/>
        </w:numPr>
        <w:jc w:val="both"/>
        <w:rPr>
          <w:rFonts w:ascii="Calibri" w:hAnsi="Calibri" w:cs="Calibri"/>
          <w:color w:val="auto"/>
          <w:szCs w:val="20"/>
        </w:rPr>
      </w:pPr>
      <w:r w:rsidRPr="00B52D53">
        <w:rPr>
          <w:rFonts w:ascii="Calibri" w:hAnsi="Calibri" w:cs="Calibri"/>
          <w:color w:val="auto"/>
          <w:szCs w:val="20"/>
        </w:rPr>
        <w:t>Convenience stores</w:t>
      </w:r>
    </w:p>
    <w:p w14:paraId="203655F8" w14:textId="011DBC11" w:rsidR="0019749C" w:rsidRPr="00B52D53" w:rsidRDefault="0019749C" w:rsidP="009F73BE">
      <w:pPr>
        <w:pStyle w:val="ListParagraph"/>
        <w:numPr>
          <w:ilvl w:val="0"/>
          <w:numId w:val="75"/>
        </w:numPr>
        <w:jc w:val="both"/>
        <w:rPr>
          <w:rFonts w:ascii="Calibri" w:hAnsi="Calibri" w:cs="Calibri"/>
          <w:color w:val="auto"/>
          <w:szCs w:val="20"/>
        </w:rPr>
      </w:pPr>
      <w:r w:rsidRPr="00B52D53">
        <w:rPr>
          <w:rFonts w:ascii="Calibri" w:hAnsi="Calibri" w:cs="Calibri"/>
          <w:color w:val="auto"/>
          <w:szCs w:val="20"/>
        </w:rPr>
        <w:t>Money changers</w:t>
      </w:r>
    </w:p>
    <w:p w14:paraId="0EA8B3FD" w14:textId="6A66B43F" w:rsidR="0019749C" w:rsidRPr="00B52D53" w:rsidRDefault="0019749C" w:rsidP="009F73BE">
      <w:pPr>
        <w:pStyle w:val="ListParagraph"/>
        <w:numPr>
          <w:ilvl w:val="0"/>
          <w:numId w:val="75"/>
        </w:numPr>
        <w:jc w:val="both"/>
        <w:rPr>
          <w:rFonts w:ascii="Calibri" w:hAnsi="Calibri" w:cs="Calibri"/>
          <w:color w:val="auto"/>
          <w:szCs w:val="20"/>
        </w:rPr>
      </w:pPr>
      <w:proofErr w:type="gramStart"/>
      <w:r w:rsidRPr="00B52D53">
        <w:rPr>
          <w:rFonts w:ascii="Calibri" w:hAnsi="Calibri" w:cs="Calibri"/>
          <w:color w:val="auto"/>
          <w:szCs w:val="20"/>
        </w:rPr>
        <w:t>All of</w:t>
      </w:r>
      <w:proofErr w:type="gramEnd"/>
      <w:r w:rsidRPr="00B52D53">
        <w:rPr>
          <w:rFonts w:ascii="Calibri" w:hAnsi="Calibri" w:cs="Calibri"/>
          <w:color w:val="auto"/>
          <w:szCs w:val="20"/>
        </w:rPr>
        <w:t xml:space="preserve"> the above</w:t>
      </w:r>
    </w:p>
    <w:p w14:paraId="12A0C4F1" w14:textId="77777777" w:rsidR="0019749C" w:rsidRPr="00B52D53" w:rsidRDefault="0019749C" w:rsidP="00DA459B">
      <w:pPr>
        <w:jc w:val="both"/>
        <w:rPr>
          <w:rFonts w:ascii="Calibri" w:hAnsi="Calibri" w:cs="Calibri"/>
          <w:color w:val="auto"/>
          <w:szCs w:val="20"/>
        </w:rPr>
      </w:pPr>
    </w:p>
    <w:p w14:paraId="3E1A409C" w14:textId="147735AF" w:rsidR="0019749C" w:rsidRPr="00B52D53" w:rsidRDefault="0019749C" w:rsidP="00DA459B">
      <w:pPr>
        <w:jc w:val="both"/>
        <w:rPr>
          <w:rFonts w:ascii="Calibri" w:hAnsi="Calibri" w:cs="Calibri"/>
          <w:color w:val="auto"/>
          <w:szCs w:val="20"/>
        </w:rPr>
      </w:pPr>
      <w:r w:rsidRPr="00B52D53">
        <w:rPr>
          <w:rFonts w:ascii="Calibri" w:hAnsi="Calibri" w:cs="Calibri"/>
          <w:color w:val="auto"/>
          <w:szCs w:val="20"/>
        </w:rPr>
        <w:t>Which of the following business activities are likely to be used as conduits for money laundering?</w:t>
      </w:r>
    </w:p>
    <w:p w14:paraId="5DD57D7F" w14:textId="4E7688E6" w:rsidR="0019749C" w:rsidRPr="00B52D53" w:rsidRDefault="0019749C"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629C1E4D" w14:textId="4F222768" w:rsidR="0019749C" w:rsidRPr="00B52D53" w:rsidRDefault="0019749C" w:rsidP="009F73BE">
      <w:pPr>
        <w:pStyle w:val="ListParagraph"/>
        <w:numPr>
          <w:ilvl w:val="0"/>
          <w:numId w:val="76"/>
        </w:numPr>
        <w:jc w:val="both"/>
        <w:rPr>
          <w:rFonts w:ascii="Calibri" w:hAnsi="Calibri" w:cs="Calibri"/>
          <w:color w:val="auto"/>
          <w:szCs w:val="20"/>
        </w:rPr>
      </w:pPr>
      <w:r w:rsidRPr="00B52D53">
        <w:rPr>
          <w:rFonts w:ascii="Calibri" w:hAnsi="Calibri" w:cs="Calibri"/>
          <w:color w:val="auto"/>
          <w:szCs w:val="20"/>
        </w:rPr>
        <w:t>Accountants</w:t>
      </w:r>
    </w:p>
    <w:p w14:paraId="1C9D4DCF" w14:textId="4EE9BAFD" w:rsidR="0019749C" w:rsidRPr="00B52D53" w:rsidRDefault="0019749C" w:rsidP="009F73BE">
      <w:pPr>
        <w:pStyle w:val="ListParagraph"/>
        <w:numPr>
          <w:ilvl w:val="0"/>
          <w:numId w:val="76"/>
        </w:numPr>
        <w:jc w:val="both"/>
        <w:rPr>
          <w:rFonts w:ascii="Calibri" w:hAnsi="Calibri" w:cs="Calibri"/>
          <w:color w:val="auto"/>
          <w:szCs w:val="20"/>
        </w:rPr>
      </w:pPr>
      <w:r w:rsidRPr="00B52D53">
        <w:rPr>
          <w:rFonts w:ascii="Calibri" w:hAnsi="Calibri" w:cs="Calibri"/>
          <w:color w:val="auto"/>
          <w:szCs w:val="20"/>
        </w:rPr>
        <w:lastRenderedPageBreak/>
        <w:t>Notaries</w:t>
      </w:r>
    </w:p>
    <w:p w14:paraId="5155A1EB" w14:textId="0795E300" w:rsidR="0019749C" w:rsidRPr="00B52D53" w:rsidRDefault="0019749C" w:rsidP="009F73BE">
      <w:pPr>
        <w:pStyle w:val="ListParagraph"/>
        <w:numPr>
          <w:ilvl w:val="0"/>
          <w:numId w:val="76"/>
        </w:numPr>
        <w:jc w:val="both"/>
        <w:rPr>
          <w:rFonts w:ascii="Calibri" w:hAnsi="Calibri" w:cs="Calibri"/>
          <w:color w:val="auto"/>
          <w:szCs w:val="20"/>
        </w:rPr>
      </w:pPr>
      <w:r w:rsidRPr="00B52D53">
        <w:rPr>
          <w:rFonts w:ascii="Calibri" w:hAnsi="Calibri" w:cs="Calibri"/>
          <w:color w:val="auto"/>
          <w:szCs w:val="20"/>
        </w:rPr>
        <w:t>Doctors</w:t>
      </w:r>
    </w:p>
    <w:p w14:paraId="4C2135A8" w14:textId="7ACC8E2C" w:rsidR="0019749C" w:rsidRPr="00B52D53" w:rsidRDefault="0019749C" w:rsidP="009F73BE">
      <w:pPr>
        <w:pStyle w:val="ListParagraph"/>
        <w:numPr>
          <w:ilvl w:val="0"/>
          <w:numId w:val="76"/>
        </w:numPr>
        <w:jc w:val="both"/>
        <w:rPr>
          <w:rFonts w:ascii="Calibri" w:hAnsi="Calibri" w:cs="Calibri"/>
          <w:color w:val="auto"/>
          <w:szCs w:val="20"/>
        </w:rPr>
      </w:pPr>
      <w:r w:rsidRPr="00B52D53">
        <w:rPr>
          <w:rFonts w:ascii="Calibri" w:hAnsi="Calibri" w:cs="Calibri"/>
          <w:color w:val="auto"/>
          <w:szCs w:val="20"/>
        </w:rPr>
        <w:t>Engineers</w:t>
      </w:r>
    </w:p>
    <w:p w14:paraId="4DC488F5" w14:textId="77777777" w:rsidR="0056176E" w:rsidRPr="00B52D53" w:rsidRDefault="0056176E" w:rsidP="00DA459B">
      <w:pPr>
        <w:jc w:val="both"/>
        <w:rPr>
          <w:rFonts w:ascii="Calibri" w:hAnsi="Calibri" w:cs="Calibri"/>
          <w:color w:val="auto"/>
          <w:szCs w:val="20"/>
        </w:rPr>
      </w:pPr>
    </w:p>
    <w:p w14:paraId="3ED9BA98" w14:textId="760F4EDE" w:rsidR="0056176E" w:rsidRPr="00B52D53" w:rsidRDefault="0056176E" w:rsidP="00DA459B">
      <w:pPr>
        <w:jc w:val="both"/>
        <w:rPr>
          <w:rFonts w:ascii="Calibri" w:hAnsi="Calibri" w:cs="Calibri"/>
          <w:color w:val="auto"/>
          <w:szCs w:val="20"/>
        </w:rPr>
      </w:pPr>
      <w:r w:rsidRPr="00B52D53">
        <w:rPr>
          <w:rFonts w:ascii="Calibri" w:hAnsi="Calibri" w:cs="Calibri"/>
          <w:color w:val="auto"/>
          <w:szCs w:val="20"/>
        </w:rPr>
        <w:t>Which of the following is the CMS license holder not required to verify the identity of the ultimate beneficiary owner (BO)? Assume that there is no suspicion of ML/TF.</w:t>
      </w:r>
    </w:p>
    <w:p w14:paraId="0F898EC5" w14:textId="77777777" w:rsidR="0056176E" w:rsidRPr="00B52D53" w:rsidRDefault="0056176E"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09FEEB53" w14:textId="7AEFEC6D" w:rsidR="0056176E" w:rsidRPr="00B52D53" w:rsidRDefault="0056176E" w:rsidP="009F73BE">
      <w:pPr>
        <w:pStyle w:val="ListParagraph"/>
        <w:numPr>
          <w:ilvl w:val="0"/>
          <w:numId w:val="77"/>
        </w:numPr>
        <w:jc w:val="both"/>
        <w:rPr>
          <w:rFonts w:ascii="Calibri" w:hAnsi="Calibri" w:cs="Calibri"/>
          <w:color w:val="auto"/>
          <w:szCs w:val="20"/>
        </w:rPr>
      </w:pPr>
      <w:r w:rsidRPr="00B52D53">
        <w:rPr>
          <w:rFonts w:ascii="Calibri" w:hAnsi="Calibri" w:cs="Calibri"/>
          <w:color w:val="auto"/>
          <w:szCs w:val="20"/>
        </w:rPr>
        <w:t>An entity listed on SGX</w:t>
      </w:r>
    </w:p>
    <w:p w14:paraId="0B7AF24F" w14:textId="1C63E7BD" w:rsidR="0056176E" w:rsidRPr="00B52D53" w:rsidRDefault="0056176E" w:rsidP="009F73BE">
      <w:pPr>
        <w:pStyle w:val="ListParagraph"/>
        <w:numPr>
          <w:ilvl w:val="0"/>
          <w:numId w:val="77"/>
        </w:numPr>
        <w:jc w:val="both"/>
        <w:rPr>
          <w:rFonts w:ascii="Calibri" w:hAnsi="Calibri" w:cs="Calibri"/>
          <w:color w:val="auto"/>
          <w:szCs w:val="20"/>
        </w:rPr>
      </w:pPr>
      <w:r w:rsidRPr="00B52D53">
        <w:rPr>
          <w:rFonts w:ascii="Calibri" w:hAnsi="Calibri" w:cs="Calibri"/>
          <w:color w:val="auto"/>
          <w:szCs w:val="20"/>
        </w:rPr>
        <w:t>All holders of money changers’ license</w:t>
      </w:r>
    </w:p>
    <w:p w14:paraId="75BE930A" w14:textId="5A027D86" w:rsidR="0056176E" w:rsidRPr="00B52D53" w:rsidRDefault="0056176E" w:rsidP="009F73BE">
      <w:pPr>
        <w:pStyle w:val="ListParagraph"/>
        <w:numPr>
          <w:ilvl w:val="0"/>
          <w:numId w:val="77"/>
        </w:numPr>
        <w:jc w:val="both"/>
        <w:rPr>
          <w:rFonts w:ascii="Calibri" w:hAnsi="Calibri" w:cs="Calibri"/>
          <w:color w:val="auto"/>
          <w:szCs w:val="20"/>
        </w:rPr>
      </w:pPr>
      <w:r w:rsidRPr="00B52D53">
        <w:rPr>
          <w:rFonts w:ascii="Calibri" w:hAnsi="Calibri" w:cs="Calibri"/>
          <w:color w:val="auto"/>
          <w:szCs w:val="20"/>
        </w:rPr>
        <w:t xml:space="preserve">A financial institution established outside Singapore which is </w:t>
      </w:r>
      <w:r w:rsidRPr="00B52D53">
        <w:rPr>
          <w:rFonts w:ascii="Calibri" w:hAnsi="Calibri" w:cs="Calibri"/>
          <w:color w:val="auto"/>
          <w:szCs w:val="20"/>
          <w:u w:val="single"/>
        </w:rPr>
        <w:t>not</w:t>
      </w:r>
      <w:r w:rsidRPr="00B52D53">
        <w:rPr>
          <w:rFonts w:ascii="Calibri" w:hAnsi="Calibri" w:cs="Calibri"/>
          <w:color w:val="auto"/>
          <w:szCs w:val="20"/>
        </w:rPr>
        <w:t xml:space="preserve"> subject to AML/CFT requirements based on standards stipulated by FATF</w:t>
      </w:r>
    </w:p>
    <w:p w14:paraId="1E43BF84" w14:textId="35FA0509" w:rsidR="0056176E" w:rsidRPr="00B52D53" w:rsidRDefault="0056176E" w:rsidP="009F73BE">
      <w:pPr>
        <w:pStyle w:val="ListParagraph"/>
        <w:numPr>
          <w:ilvl w:val="0"/>
          <w:numId w:val="77"/>
        </w:numPr>
        <w:jc w:val="both"/>
        <w:rPr>
          <w:rFonts w:ascii="Calibri" w:hAnsi="Calibri" w:cs="Calibri"/>
          <w:color w:val="auto"/>
          <w:szCs w:val="20"/>
        </w:rPr>
      </w:pPr>
      <w:r w:rsidRPr="00B52D53">
        <w:rPr>
          <w:rFonts w:ascii="Calibri" w:hAnsi="Calibri" w:cs="Calibri"/>
          <w:color w:val="auto"/>
          <w:szCs w:val="20"/>
        </w:rPr>
        <w:t>A Singapore government entity</w:t>
      </w:r>
    </w:p>
    <w:p w14:paraId="3CD31775" w14:textId="77777777" w:rsidR="0056176E" w:rsidRPr="00B52D53" w:rsidRDefault="0056176E" w:rsidP="00DA459B">
      <w:pPr>
        <w:jc w:val="both"/>
        <w:rPr>
          <w:rFonts w:ascii="Calibri" w:hAnsi="Calibri" w:cs="Calibri"/>
          <w:color w:val="auto"/>
          <w:szCs w:val="20"/>
        </w:rPr>
      </w:pPr>
    </w:p>
    <w:p w14:paraId="01D6950D" w14:textId="0CFC6540" w:rsidR="0056176E" w:rsidRPr="00B52D53" w:rsidRDefault="0056176E" w:rsidP="00DA459B">
      <w:pPr>
        <w:jc w:val="both"/>
        <w:rPr>
          <w:rFonts w:ascii="Calibri" w:hAnsi="Calibri" w:cs="Calibri"/>
          <w:b/>
          <w:bCs/>
          <w:color w:val="auto"/>
          <w:szCs w:val="20"/>
        </w:rPr>
      </w:pPr>
      <w:r w:rsidRPr="00B52D53">
        <w:rPr>
          <w:rFonts w:ascii="Calibri" w:hAnsi="Calibri" w:cs="Calibri"/>
          <w:b/>
          <w:bCs/>
          <w:color w:val="auto"/>
          <w:szCs w:val="20"/>
        </w:rPr>
        <w:t>Appendix</w:t>
      </w:r>
    </w:p>
    <w:p w14:paraId="24EB80E4" w14:textId="5A684F42" w:rsidR="0056176E" w:rsidRPr="00B52D53" w:rsidRDefault="0056176E" w:rsidP="00DA459B">
      <w:pPr>
        <w:jc w:val="both"/>
        <w:rPr>
          <w:rFonts w:ascii="Calibri" w:hAnsi="Calibri" w:cs="Calibri"/>
          <w:color w:val="auto"/>
          <w:szCs w:val="20"/>
        </w:rPr>
      </w:pPr>
      <w:r w:rsidRPr="00B52D53">
        <w:rPr>
          <w:rFonts w:ascii="Calibri" w:hAnsi="Calibri" w:cs="Calibri"/>
          <w:color w:val="auto"/>
          <w:szCs w:val="20"/>
        </w:rPr>
        <w:t>Which of the following statements about enterprise-wide risk assessment is True?</w:t>
      </w:r>
    </w:p>
    <w:p w14:paraId="42C9C72F" w14:textId="22541C06" w:rsidR="0056176E" w:rsidRPr="00B52D53" w:rsidRDefault="0056176E" w:rsidP="009F73BE">
      <w:pPr>
        <w:pStyle w:val="ListParagraph"/>
        <w:numPr>
          <w:ilvl w:val="0"/>
          <w:numId w:val="78"/>
        </w:numPr>
        <w:jc w:val="both"/>
        <w:rPr>
          <w:rFonts w:ascii="Calibri" w:hAnsi="Calibri" w:cs="Calibri"/>
          <w:color w:val="auto"/>
          <w:szCs w:val="20"/>
        </w:rPr>
      </w:pPr>
      <w:r w:rsidRPr="00B52D53">
        <w:rPr>
          <w:rFonts w:ascii="Calibri" w:hAnsi="Calibri" w:cs="Calibri"/>
          <w:color w:val="auto"/>
          <w:szCs w:val="20"/>
        </w:rPr>
        <w:t>Enterprise-wide risk assessment refers to the consolidated assessment of a CSML holder’s ML/TF risks</w:t>
      </w:r>
    </w:p>
    <w:p w14:paraId="7F82EA8F" w14:textId="55C401A2" w:rsidR="00630FD2" w:rsidRPr="00B52D53" w:rsidRDefault="00630FD2" w:rsidP="009F73BE">
      <w:pPr>
        <w:pStyle w:val="ListParagraph"/>
        <w:numPr>
          <w:ilvl w:val="0"/>
          <w:numId w:val="78"/>
        </w:numPr>
        <w:jc w:val="both"/>
        <w:rPr>
          <w:rFonts w:ascii="Calibri" w:hAnsi="Calibri" w:cs="Calibri"/>
          <w:color w:val="auto"/>
          <w:szCs w:val="20"/>
        </w:rPr>
      </w:pPr>
      <w:r w:rsidRPr="00B52D53">
        <w:rPr>
          <w:rFonts w:ascii="Calibri" w:hAnsi="Calibri" w:cs="Calibri"/>
          <w:color w:val="auto"/>
          <w:szCs w:val="20"/>
        </w:rPr>
        <w:t>Enterprise-wide risk assessment should only be quantitative and not involve qualitative analysis</w:t>
      </w:r>
    </w:p>
    <w:p w14:paraId="45B7F8F4" w14:textId="622E2451" w:rsidR="00630FD2" w:rsidRPr="00B52D53" w:rsidRDefault="00630FD2" w:rsidP="009F73BE">
      <w:pPr>
        <w:pStyle w:val="ListParagraph"/>
        <w:numPr>
          <w:ilvl w:val="0"/>
          <w:numId w:val="78"/>
        </w:numPr>
        <w:jc w:val="both"/>
        <w:rPr>
          <w:rFonts w:ascii="Calibri" w:hAnsi="Calibri" w:cs="Calibri"/>
          <w:color w:val="auto"/>
          <w:szCs w:val="20"/>
        </w:rPr>
      </w:pPr>
      <w:r w:rsidRPr="00B52D53">
        <w:rPr>
          <w:rFonts w:ascii="Calibri" w:hAnsi="Calibri" w:cs="Calibri"/>
          <w:color w:val="auto"/>
          <w:szCs w:val="20"/>
        </w:rPr>
        <w:t>The results of any risk assessment review need not be documented and approved by senior management even if there are no changes</w:t>
      </w:r>
    </w:p>
    <w:p w14:paraId="2D7E38BF" w14:textId="75D0E489" w:rsidR="00630FD2" w:rsidRPr="00B52D53" w:rsidRDefault="00630FD2" w:rsidP="009F73BE">
      <w:pPr>
        <w:pStyle w:val="ListParagraph"/>
        <w:numPr>
          <w:ilvl w:val="0"/>
          <w:numId w:val="78"/>
        </w:numPr>
        <w:jc w:val="both"/>
        <w:rPr>
          <w:rFonts w:ascii="Calibri" w:hAnsi="Calibri" w:cs="Calibri"/>
          <w:color w:val="auto"/>
          <w:szCs w:val="20"/>
        </w:rPr>
      </w:pPr>
      <w:r w:rsidRPr="00B52D53">
        <w:rPr>
          <w:rFonts w:ascii="Calibri" w:hAnsi="Calibri" w:cs="Calibri"/>
          <w:color w:val="auto"/>
          <w:szCs w:val="20"/>
        </w:rPr>
        <w:t>Enterprise-wide risk assessment must be reviewed at least once every 5 years</w:t>
      </w:r>
    </w:p>
    <w:p w14:paraId="460ECDC9" w14:textId="77777777" w:rsidR="00630FD2" w:rsidRPr="00B52D53" w:rsidRDefault="00630FD2" w:rsidP="00DA459B">
      <w:pPr>
        <w:jc w:val="both"/>
        <w:rPr>
          <w:rFonts w:ascii="Calibri" w:hAnsi="Calibri" w:cs="Calibri"/>
          <w:color w:val="auto"/>
          <w:szCs w:val="20"/>
        </w:rPr>
      </w:pPr>
    </w:p>
    <w:p w14:paraId="30BEA9F8" w14:textId="25036F6C" w:rsidR="00D32A5B" w:rsidRPr="00B52D53" w:rsidRDefault="00D32A5B" w:rsidP="00DA459B">
      <w:pPr>
        <w:jc w:val="both"/>
        <w:rPr>
          <w:rFonts w:ascii="Calibri" w:hAnsi="Calibri" w:cs="Calibri"/>
          <w:color w:val="auto"/>
          <w:szCs w:val="20"/>
        </w:rPr>
      </w:pPr>
      <w:r w:rsidRPr="00B52D53">
        <w:rPr>
          <w:rFonts w:ascii="Calibri" w:hAnsi="Calibri" w:cs="Calibri"/>
          <w:color w:val="auto"/>
          <w:szCs w:val="20"/>
        </w:rPr>
        <w:t>Which of the following transactions are suspicious transactions under AML/CFT laws?</w:t>
      </w:r>
    </w:p>
    <w:p w14:paraId="2886B0E7" w14:textId="06E2F3C9" w:rsidR="00D32A5B" w:rsidRPr="00B52D53" w:rsidRDefault="00D32A5B" w:rsidP="009F73BE">
      <w:pPr>
        <w:pStyle w:val="ListParagraph"/>
        <w:numPr>
          <w:ilvl w:val="0"/>
          <w:numId w:val="79"/>
        </w:numPr>
        <w:jc w:val="both"/>
        <w:rPr>
          <w:rFonts w:ascii="Calibri" w:hAnsi="Calibri" w:cs="Calibri"/>
          <w:color w:val="auto"/>
          <w:szCs w:val="20"/>
        </w:rPr>
      </w:pPr>
      <w:r w:rsidRPr="00B52D53">
        <w:rPr>
          <w:rFonts w:ascii="Calibri" w:hAnsi="Calibri" w:cs="Calibri"/>
          <w:color w:val="auto"/>
          <w:szCs w:val="20"/>
        </w:rPr>
        <w:t>Settlement of securities transactions through large 3</w:t>
      </w:r>
      <w:r w:rsidRPr="00B52D53">
        <w:rPr>
          <w:rFonts w:ascii="Calibri" w:hAnsi="Calibri" w:cs="Calibri"/>
          <w:color w:val="auto"/>
          <w:szCs w:val="20"/>
          <w:vertAlign w:val="superscript"/>
        </w:rPr>
        <w:t>rd</w:t>
      </w:r>
      <w:r w:rsidRPr="00B52D53">
        <w:rPr>
          <w:rFonts w:ascii="Calibri" w:hAnsi="Calibri" w:cs="Calibri"/>
          <w:color w:val="auto"/>
          <w:szCs w:val="20"/>
        </w:rPr>
        <w:t xml:space="preserve"> party cheques endorsed in favour of the customer</w:t>
      </w:r>
    </w:p>
    <w:p w14:paraId="54060F76" w14:textId="2C16EF31" w:rsidR="00D32A5B" w:rsidRPr="00B52D53" w:rsidRDefault="00D32A5B" w:rsidP="009F73BE">
      <w:pPr>
        <w:pStyle w:val="ListParagraph"/>
        <w:numPr>
          <w:ilvl w:val="0"/>
          <w:numId w:val="79"/>
        </w:numPr>
        <w:jc w:val="both"/>
        <w:rPr>
          <w:rFonts w:ascii="Calibri" w:hAnsi="Calibri" w:cs="Calibri"/>
          <w:color w:val="auto"/>
          <w:szCs w:val="20"/>
        </w:rPr>
      </w:pPr>
      <w:r w:rsidRPr="00B52D53">
        <w:rPr>
          <w:rFonts w:ascii="Calibri" w:hAnsi="Calibri" w:cs="Calibri"/>
          <w:color w:val="auto"/>
          <w:szCs w:val="20"/>
        </w:rPr>
        <w:t>Routine requests made to a CMI by a customer for holding his securities in safe custody</w:t>
      </w:r>
    </w:p>
    <w:p w14:paraId="16F9343E" w14:textId="4D4A7749" w:rsidR="00D32A5B" w:rsidRPr="00B52D53" w:rsidRDefault="00D32A5B" w:rsidP="009F73BE">
      <w:pPr>
        <w:pStyle w:val="ListParagraph"/>
        <w:numPr>
          <w:ilvl w:val="0"/>
          <w:numId w:val="79"/>
        </w:numPr>
        <w:jc w:val="both"/>
        <w:rPr>
          <w:rFonts w:ascii="Calibri" w:hAnsi="Calibri" w:cs="Calibri"/>
          <w:color w:val="auto"/>
          <w:szCs w:val="20"/>
        </w:rPr>
      </w:pPr>
      <w:r w:rsidRPr="00B52D53">
        <w:rPr>
          <w:rFonts w:ascii="Calibri" w:hAnsi="Calibri" w:cs="Calibri"/>
          <w:color w:val="auto"/>
          <w:szCs w:val="20"/>
        </w:rPr>
        <w:t>All cross-border transactions involving property acquisition</w:t>
      </w:r>
    </w:p>
    <w:p w14:paraId="6CEAEDA5" w14:textId="0E71B00E" w:rsidR="00D32A5B" w:rsidRPr="00B52D53" w:rsidRDefault="00D32A5B" w:rsidP="009F73BE">
      <w:pPr>
        <w:pStyle w:val="ListParagraph"/>
        <w:numPr>
          <w:ilvl w:val="0"/>
          <w:numId w:val="79"/>
        </w:numPr>
        <w:jc w:val="both"/>
        <w:rPr>
          <w:rFonts w:ascii="Calibri" w:hAnsi="Calibri" w:cs="Calibri"/>
          <w:color w:val="auto"/>
          <w:szCs w:val="20"/>
        </w:rPr>
      </w:pPr>
      <w:proofErr w:type="gramStart"/>
      <w:r w:rsidRPr="00B52D53">
        <w:rPr>
          <w:rFonts w:ascii="Calibri" w:hAnsi="Calibri" w:cs="Calibri"/>
          <w:color w:val="auto"/>
          <w:szCs w:val="20"/>
        </w:rPr>
        <w:t>All of</w:t>
      </w:r>
      <w:proofErr w:type="gramEnd"/>
      <w:r w:rsidRPr="00B52D53">
        <w:rPr>
          <w:rFonts w:ascii="Calibri" w:hAnsi="Calibri" w:cs="Calibri"/>
          <w:color w:val="auto"/>
          <w:szCs w:val="20"/>
        </w:rPr>
        <w:t xml:space="preserve"> the above</w:t>
      </w:r>
    </w:p>
    <w:p w14:paraId="37B0157A" w14:textId="77777777" w:rsidR="00D32A5B" w:rsidRPr="00B52D53" w:rsidRDefault="00D32A5B" w:rsidP="00DA459B">
      <w:pPr>
        <w:jc w:val="both"/>
        <w:rPr>
          <w:rFonts w:ascii="Calibri" w:hAnsi="Calibri" w:cs="Calibri"/>
          <w:color w:val="auto"/>
          <w:szCs w:val="20"/>
        </w:rPr>
      </w:pPr>
    </w:p>
    <w:p w14:paraId="1E584CD7" w14:textId="3E81FC3F" w:rsidR="00D32A5B" w:rsidRPr="00B52D53" w:rsidRDefault="00D32A5B" w:rsidP="00DA459B">
      <w:pPr>
        <w:jc w:val="both"/>
        <w:rPr>
          <w:rFonts w:ascii="Calibri" w:hAnsi="Calibri" w:cs="Calibri"/>
          <w:color w:val="auto"/>
          <w:szCs w:val="20"/>
        </w:rPr>
      </w:pPr>
      <w:r w:rsidRPr="00B52D53">
        <w:rPr>
          <w:rFonts w:ascii="Calibri" w:hAnsi="Calibri" w:cs="Calibri"/>
          <w:color w:val="auto"/>
          <w:szCs w:val="20"/>
        </w:rPr>
        <w:t>Which of the following transactions should normally be considered as suspicious transactions under AML/CFT laws?</w:t>
      </w:r>
    </w:p>
    <w:p w14:paraId="14D88FE9" w14:textId="77777777" w:rsidR="00D32A5B" w:rsidRPr="00B52D53" w:rsidRDefault="00D32A5B"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3C889A8A" w14:textId="245677B2" w:rsidR="00D32A5B" w:rsidRPr="00B52D53" w:rsidRDefault="00D32A5B" w:rsidP="009F73BE">
      <w:pPr>
        <w:pStyle w:val="ListParagraph"/>
        <w:numPr>
          <w:ilvl w:val="0"/>
          <w:numId w:val="80"/>
        </w:numPr>
        <w:jc w:val="both"/>
        <w:rPr>
          <w:rFonts w:ascii="Calibri" w:hAnsi="Calibri" w:cs="Calibri"/>
          <w:color w:val="auto"/>
          <w:szCs w:val="20"/>
        </w:rPr>
      </w:pPr>
      <w:r w:rsidRPr="00B52D53">
        <w:rPr>
          <w:rFonts w:ascii="Calibri" w:hAnsi="Calibri" w:cs="Calibri"/>
          <w:color w:val="auto"/>
          <w:szCs w:val="20"/>
        </w:rPr>
        <w:t>Frequent changes of authorised signatories with respect to a customer account</w:t>
      </w:r>
    </w:p>
    <w:p w14:paraId="7B5AF7D6" w14:textId="21AAF4DF" w:rsidR="00D32A5B" w:rsidRPr="00B52D53" w:rsidRDefault="00D32A5B" w:rsidP="009F73BE">
      <w:pPr>
        <w:pStyle w:val="ListParagraph"/>
        <w:numPr>
          <w:ilvl w:val="0"/>
          <w:numId w:val="80"/>
        </w:numPr>
        <w:jc w:val="both"/>
        <w:rPr>
          <w:rFonts w:ascii="Calibri" w:hAnsi="Calibri" w:cs="Calibri"/>
          <w:color w:val="auto"/>
          <w:szCs w:val="20"/>
        </w:rPr>
      </w:pPr>
      <w:r w:rsidRPr="00B52D53">
        <w:rPr>
          <w:rFonts w:ascii="Calibri" w:hAnsi="Calibri" w:cs="Calibri"/>
          <w:color w:val="auto"/>
          <w:szCs w:val="20"/>
        </w:rPr>
        <w:t>Frequent changes to customers’ addresses</w:t>
      </w:r>
    </w:p>
    <w:p w14:paraId="2CFE8CD0" w14:textId="3F091E88" w:rsidR="00D32A5B" w:rsidRPr="00B52D53" w:rsidRDefault="00D32A5B" w:rsidP="009F73BE">
      <w:pPr>
        <w:pStyle w:val="ListParagraph"/>
        <w:numPr>
          <w:ilvl w:val="0"/>
          <w:numId w:val="80"/>
        </w:numPr>
        <w:jc w:val="both"/>
        <w:rPr>
          <w:rFonts w:ascii="Calibri" w:hAnsi="Calibri" w:cs="Calibri"/>
          <w:color w:val="auto"/>
          <w:szCs w:val="20"/>
        </w:rPr>
      </w:pPr>
      <w:r w:rsidRPr="00B52D53">
        <w:rPr>
          <w:rFonts w:ascii="Calibri" w:hAnsi="Calibri" w:cs="Calibri"/>
          <w:color w:val="auto"/>
          <w:szCs w:val="20"/>
        </w:rPr>
        <w:t xml:space="preserve">A relative high proportion of equity in the portfolio of a </w:t>
      </w:r>
      <w:proofErr w:type="gramStart"/>
      <w:r w:rsidRPr="00B52D53">
        <w:rPr>
          <w:rFonts w:ascii="Calibri" w:hAnsi="Calibri" w:cs="Calibri"/>
          <w:color w:val="auto"/>
          <w:szCs w:val="20"/>
        </w:rPr>
        <w:t>60 year old</w:t>
      </w:r>
      <w:proofErr w:type="gramEnd"/>
      <w:r w:rsidRPr="00B52D53">
        <w:rPr>
          <w:rFonts w:ascii="Calibri" w:hAnsi="Calibri" w:cs="Calibri"/>
          <w:color w:val="auto"/>
          <w:szCs w:val="20"/>
        </w:rPr>
        <w:t xml:space="preserve"> client</w:t>
      </w:r>
    </w:p>
    <w:p w14:paraId="1183881D" w14:textId="41F7F4A0" w:rsidR="00D32A5B" w:rsidRPr="00B52D53" w:rsidRDefault="00D32A5B" w:rsidP="009F73BE">
      <w:pPr>
        <w:pStyle w:val="ListParagraph"/>
        <w:numPr>
          <w:ilvl w:val="0"/>
          <w:numId w:val="80"/>
        </w:numPr>
        <w:jc w:val="both"/>
        <w:rPr>
          <w:rFonts w:ascii="Calibri" w:hAnsi="Calibri" w:cs="Calibri"/>
          <w:color w:val="auto"/>
          <w:szCs w:val="20"/>
        </w:rPr>
      </w:pPr>
      <w:r w:rsidRPr="00B52D53">
        <w:rPr>
          <w:rFonts w:ascii="Calibri" w:hAnsi="Calibri" w:cs="Calibri"/>
          <w:color w:val="auto"/>
          <w:szCs w:val="20"/>
        </w:rPr>
        <w:t>Customer being reluctant to disclose the names of the Ultimate Beneficiary Owners</w:t>
      </w:r>
    </w:p>
    <w:p w14:paraId="006F8147" w14:textId="77777777" w:rsidR="00D32A5B" w:rsidRPr="00B52D53" w:rsidRDefault="00D32A5B" w:rsidP="00DA459B">
      <w:pPr>
        <w:jc w:val="both"/>
        <w:rPr>
          <w:rFonts w:ascii="Calibri" w:hAnsi="Calibri" w:cs="Calibri"/>
          <w:color w:val="auto"/>
          <w:szCs w:val="20"/>
        </w:rPr>
      </w:pPr>
    </w:p>
    <w:p w14:paraId="4D4A8AEB" w14:textId="77777777" w:rsidR="00D32A5B" w:rsidRPr="00B52D53" w:rsidRDefault="00D32A5B" w:rsidP="00DA459B">
      <w:pPr>
        <w:jc w:val="both"/>
        <w:rPr>
          <w:rFonts w:ascii="Calibri" w:hAnsi="Calibri" w:cs="Calibri"/>
          <w:color w:val="auto"/>
          <w:szCs w:val="20"/>
        </w:rPr>
      </w:pPr>
      <w:r w:rsidRPr="00B52D53">
        <w:rPr>
          <w:rFonts w:ascii="Calibri" w:hAnsi="Calibri" w:cs="Calibri"/>
          <w:color w:val="auto"/>
          <w:szCs w:val="20"/>
        </w:rPr>
        <w:t>Which of the following CANNOT be considered as examples of suspicious transactions under AML/CFT laws?</w:t>
      </w:r>
    </w:p>
    <w:p w14:paraId="7EF468AE" w14:textId="29E8B80E" w:rsidR="00D32A5B" w:rsidRPr="00B52D53" w:rsidRDefault="00D32A5B" w:rsidP="009F73BE">
      <w:pPr>
        <w:pStyle w:val="ListParagraph"/>
        <w:numPr>
          <w:ilvl w:val="0"/>
          <w:numId w:val="81"/>
        </w:numPr>
        <w:jc w:val="both"/>
        <w:rPr>
          <w:rFonts w:ascii="Calibri" w:hAnsi="Calibri" w:cs="Calibri"/>
          <w:color w:val="auto"/>
          <w:szCs w:val="20"/>
        </w:rPr>
      </w:pPr>
      <w:r w:rsidRPr="00B52D53">
        <w:rPr>
          <w:rFonts w:ascii="Calibri" w:hAnsi="Calibri" w:cs="Calibri"/>
          <w:color w:val="auto"/>
          <w:szCs w:val="20"/>
        </w:rPr>
        <w:t>Frequent cash payments made by a business to an unrelated entity</w:t>
      </w:r>
    </w:p>
    <w:p w14:paraId="247FD5C6" w14:textId="0C194286" w:rsidR="00D32A5B" w:rsidRPr="00B52D53" w:rsidRDefault="00D32A5B" w:rsidP="009F73BE">
      <w:pPr>
        <w:pStyle w:val="ListParagraph"/>
        <w:numPr>
          <w:ilvl w:val="0"/>
          <w:numId w:val="81"/>
        </w:numPr>
        <w:jc w:val="both"/>
        <w:rPr>
          <w:rFonts w:ascii="Calibri" w:hAnsi="Calibri" w:cs="Calibri"/>
          <w:color w:val="auto"/>
          <w:szCs w:val="20"/>
        </w:rPr>
      </w:pPr>
      <w:r w:rsidRPr="00B52D53">
        <w:rPr>
          <w:rFonts w:ascii="Calibri" w:hAnsi="Calibri" w:cs="Calibri"/>
          <w:color w:val="auto"/>
          <w:szCs w:val="20"/>
        </w:rPr>
        <w:t>Every cash settlement of securities transactions</w:t>
      </w:r>
    </w:p>
    <w:p w14:paraId="356B7F07" w14:textId="218C1C45" w:rsidR="00D32A5B" w:rsidRPr="00B52D53" w:rsidRDefault="00D32A5B" w:rsidP="009F73BE">
      <w:pPr>
        <w:pStyle w:val="ListParagraph"/>
        <w:numPr>
          <w:ilvl w:val="0"/>
          <w:numId w:val="81"/>
        </w:numPr>
        <w:jc w:val="both"/>
        <w:rPr>
          <w:rFonts w:ascii="Calibri" w:hAnsi="Calibri" w:cs="Calibri"/>
          <w:color w:val="auto"/>
          <w:szCs w:val="20"/>
        </w:rPr>
      </w:pPr>
      <w:r w:rsidRPr="00B52D53">
        <w:rPr>
          <w:rFonts w:ascii="Calibri" w:hAnsi="Calibri" w:cs="Calibri"/>
          <w:color w:val="auto"/>
          <w:szCs w:val="20"/>
        </w:rPr>
        <w:t>Providing large amounts of funds for fund management in cash</w:t>
      </w:r>
    </w:p>
    <w:p w14:paraId="0C594543" w14:textId="2DBE1DF4" w:rsidR="00D32A5B" w:rsidRPr="00B52D53" w:rsidRDefault="00D32A5B" w:rsidP="009F73BE">
      <w:pPr>
        <w:pStyle w:val="ListParagraph"/>
        <w:numPr>
          <w:ilvl w:val="0"/>
          <w:numId w:val="81"/>
        </w:numPr>
        <w:jc w:val="both"/>
        <w:rPr>
          <w:rFonts w:ascii="Calibri" w:hAnsi="Calibri" w:cs="Calibri"/>
          <w:color w:val="auto"/>
          <w:szCs w:val="20"/>
        </w:rPr>
      </w:pPr>
      <w:r w:rsidRPr="00B52D53">
        <w:rPr>
          <w:rFonts w:ascii="Calibri" w:hAnsi="Calibri" w:cs="Calibri"/>
          <w:color w:val="auto"/>
          <w:szCs w:val="20"/>
        </w:rPr>
        <w:t>None of the above</w:t>
      </w:r>
    </w:p>
    <w:p w14:paraId="37774A25" w14:textId="77777777" w:rsidR="00D32A5B" w:rsidRPr="00B52D53" w:rsidRDefault="00D32A5B" w:rsidP="00DA459B">
      <w:pPr>
        <w:jc w:val="both"/>
        <w:rPr>
          <w:rFonts w:ascii="Calibri" w:hAnsi="Calibri" w:cs="Calibri"/>
          <w:color w:val="auto"/>
          <w:szCs w:val="20"/>
        </w:rPr>
      </w:pPr>
    </w:p>
    <w:p w14:paraId="343E786D" w14:textId="3BE3D150" w:rsidR="00D32A5B" w:rsidRPr="00B52D53" w:rsidRDefault="00D32A5B" w:rsidP="00DA459B">
      <w:pPr>
        <w:jc w:val="both"/>
        <w:rPr>
          <w:rFonts w:ascii="Calibri" w:hAnsi="Calibri" w:cs="Calibri"/>
          <w:color w:val="auto"/>
          <w:szCs w:val="20"/>
        </w:rPr>
      </w:pPr>
      <w:r w:rsidRPr="00B52D53">
        <w:rPr>
          <w:rFonts w:ascii="Calibri" w:hAnsi="Calibri" w:cs="Calibri"/>
          <w:color w:val="auto"/>
          <w:szCs w:val="20"/>
        </w:rPr>
        <w:t xml:space="preserve">Which of the following statements regarding suspicious transactions involving large amounts of cash under AML/CFT </w:t>
      </w:r>
      <w:r w:rsidR="00551546" w:rsidRPr="00B52D53">
        <w:rPr>
          <w:rFonts w:ascii="Calibri" w:hAnsi="Calibri" w:cs="Calibri"/>
          <w:color w:val="auto"/>
          <w:szCs w:val="20"/>
        </w:rPr>
        <w:t>laws is</w:t>
      </w:r>
      <w:r w:rsidR="003421CA">
        <w:rPr>
          <w:rFonts w:ascii="Calibri" w:hAnsi="Calibri" w:cs="Calibri"/>
          <w:color w:val="auto"/>
          <w:szCs w:val="20"/>
        </w:rPr>
        <w:t>/</w:t>
      </w:r>
      <w:r w:rsidR="00551546" w:rsidRPr="00B52D53">
        <w:rPr>
          <w:rFonts w:ascii="Calibri" w:hAnsi="Calibri" w:cs="Calibri"/>
          <w:color w:val="auto"/>
          <w:szCs w:val="20"/>
        </w:rPr>
        <w:t>are TRUE?</w:t>
      </w:r>
    </w:p>
    <w:p w14:paraId="22A89C90" w14:textId="77777777" w:rsidR="00551546" w:rsidRPr="00B52D53" w:rsidRDefault="00551546" w:rsidP="00DA459B">
      <w:pPr>
        <w:jc w:val="both"/>
        <w:rPr>
          <w:rFonts w:ascii="Calibri" w:hAnsi="Calibri" w:cs="Calibri"/>
          <w:color w:val="auto"/>
          <w:szCs w:val="20"/>
        </w:rPr>
      </w:pPr>
      <w:r w:rsidRPr="00B52D53">
        <w:rPr>
          <w:rFonts w:ascii="Calibri" w:hAnsi="Calibri" w:cs="Calibri"/>
          <w:color w:val="auto"/>
          <w:szCs w:val="20"/>
        </w:rPr>
        <w:t>SELECT ALL OPTIONS THAT APPLY</w:t>
      </w:r>
    </w:p>
    <w:p w14:paraId="099BC6FD" w14:textId="7F7ACEE9" w:rsidR="00551546" w:rsidRPr="00B52D53" w:rsidRDefault="00551546" w:rsidP="009F73BE">
      <w:pPr>
        <w:pStyle w:val="ListParagraph"/>
        <w:numPr>
          <w:ilvl w:val="0"/>
          <w:numId w:val="82"/>
        </w:numPr>
        <w:jc w:val="both"/>
        <w:rPr>
          <w:rFonts w:ascii="Calibri" w:hAnsi="Calibri" w:cs="Calibri"/>
          <w:color w:val="auto"/>
          <w:szCs w:val="20"/>
        </w:rPr>
      </w:pPr>
      <w:r w:rsidRPr="00B52D53">
        <w:rPr>
          <w:rFonts w:ascii="Calibri" w:hAnsi="Calibri" w:cs="Calibri"/>
          <w:color w:val="auto"/>
          <w:szCs w:val="20"/>
        </w:rPr>
        <w:t>Cash payments for $200K should evoke suspicion.</w:t>
      </w:r>
    </w:p>
    <w:p w14:paraId="0BFE34B8" w14:textId="7A8250F7" w:rsidR="00551546" w:rsidRPr="00B52D53" w:rsidRDefault="00551546" w:rsidP="009F73BE">
      <w:pPr>
        <w:pStyle w:val="ListParagraph"/>
        <w:numPr>
          <w:ilvl w:val="0"/>
          <w:numId w:val="82"/>
        </w:numPr>
        <w:jc w:val="both"/>
        <w:rPr>
          <w:rFonts w:ascii="Calibri" w:hAnsi="Calibri" w:cs="Calibri"/>
          <w:color w:val="auto"/>
          <w:szCs w:val="20"/>
        </w:rPr>
      </w:pPr>
      <w:r w:rsidRPr="00B52D53">
        <w:rPr>
          <w:rFonts w:ascii="Calibri" w:hAnsi="Calibri" w:cs="Calibri"/>
          <w:color w:val="auto"/>
          <w:szCs w:val="20"/>
        </w:rPr>
        <w:t>Margin collateral of $1M in cash should evoke suspicion</w:t>
      </w:r>
    </w:p>
    <w:p w14:paraId="7D2055B9" w14:textId="02C3B7F5" w:rsidR="00551546" w:rsidRPr="00B52D53" w:rsidRDefault="00551546" w:rsidP="009F73BE">
      <w:pPr>
        <w:pStyle w:val="ListParagraph"/>
        <w:numPr>
          <w:ilvl w:val="0"/>
          <w:numId w:val="82"/>
        </w:numPr>
        <w:jc w:val="both"/>
        <w:rPr>
          <w:rFonts w:ascii="Calibri" w:hAnsi="Calibri" w:cs="Calibri"/>
          <w:color w:val="auto"/>
          <w:szCs w:val="20"/>
        </w:rPr>
      </w:pPr>
      <w:r w:rsidRPr="00B52D53">
        <w:rPr>
          <w:rFonts w:ascii="Calibri" w:hAnsi="Calibri" w:cs="Calibri"/>
          <w:color w:val="auto"/>
          <w:szCs w:val="20"/>
        </w:rPr>
        <w:t>Large cash withdrawals 2 years after receipt of a credit from a large foreign multinational company should not evoke suspicion</w:t>
      </w:r>
    </w:p>
    <w:p w14:paraId="62F24165" w14:textId="23C60986" w:rsidR="00551546" w:rsidRPr="00B52D53" w:rsidRDefault="00551546" w:rsidP="009F73BE">
      <w:pPr>
        <w:pStyle w:val="ListParagraph"/>
        <w:numPr>
          <w:ilvl w:val="0"/>
          <w:numId w:val="82"/>
        </w:numPr>
        <w:jc w:val="both"/>
        <w:rPr>
          <w:rFonts w:ascii="Calibri" w:hAnsi="Calibri" w:cs="Calibri"/>
          <w:color w:val="auto"/>
          <w:szCs w:val="20"/>
        </w:rPr>
      </w:pPr>
      <w:r w:rsidRPr="00B52D53">
        <w:rPr>
          <w:rFonts w:ascii="Calibri" w:hAnsi="Calibri" w:cs="Calibri"/>
          <w:color w:val="auto"/>
          <w:szCs w:val="20"/>
        </w:rPr>
        <w:t>Payments made using counterfeit notes should not evoke suspicion</w:t>
      </w:r>
    </w:p>
    <w:sectPr w:rsidR="00551546" w:rsidRPr="00B52D53" w:rsidSect="00C520B2">
      <w:headerReference w:type="default" r:id="rId14"/>
      <w:footerReference w:type="even" r:id="rId15"/>
      <w:headerReference w:type="first" r:id="rId16"/>
      <w:footerReference w:type="first" r:id="rId17"/>
      <w:pgSz w:w="11906" w:h="16838" w:code="9"/>
      <w:pgMar w:top="2330" w:right="1486" w:bottom="1304" w:left="1985" w:header="567" w:footer="499"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0E6BE" w14:textId="77777777" w:rsidR="007D2DAA" w:rsidRDefault="007D2DAA" w:rsidP="00AD6336">
      <w:pPr>
        <w:spacing w:after="0" w:line="240" w:lineRule="auto"/>
      </w:pPr>
      <w:r>
        <w:separator/>
      </w:r>
    </w:p>
  </w:endnote>
  <w:endnote w:type="continuationSeparator" w:id="0">
    <w:p w14:paraId="04D7E96C" w14:textId="77777777" w:rsidR="007D2DAA" w:rsidRDefault="007D2DAA" w:rsidP="00AD6336">
      <w:pPr>
        <w:spacing w:after="0" w:line="240" w:lineRule="auto"/>
      </w:pPr>
      <w:r>
        <w:continuationSeparator/>
      </w:r>
    </w:p>
  </w:endnote>
  <w:endnote w:type="continuationNotice" w:id="1">
    <w:p w14:paraId="499AA457" w14:textId="77777777" w:rsidR="00F73E17" w:rsidRDefault="00F73E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ow Text">
    <w:panose1 w:val="020B0504030202020204"/>
    <w:charset w:val="00"/>
    <w:family w:val="swiss"/>
    <w:pitch w:val="variable"/>
    <w:sig w:usb0="A000006F" w:usb1="00008471"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ow Text Light">
    <w:panose1 w:val="020B0404030202020204"/>
    <w:charset w:val="00"/>
    <w:family w:val="swiss"/>
    <w:pitch w:val="variable"/>
    <w:sig w:usb0="A000006F" w:usb1="0000847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Plain"/>
      <w:tblpPr w:leftFromText="180" w:rightFromText="180" w:vertAnchor="text" w:tblpY="1"/>
      <w:tblOverlap w:val="never"/>
      <w:tblW w:w="10206" w:type="dxa"/>
      <w:tblLook w:val="04A0" w:firstRow="1" w:lastRow="0" w:firstColumn="1" w:lastColumn="0" w:noHBand="0" w:noVBand="1"/>
    </w:tblPr>
    <w:tblGrid>
      <w:gridCol w:w="10206"/>
    </w:tblGrid>
    <w:tr w:rsidR="0083459B" w14:paraId="2082DCA8" w14:textId="77777777" w:rsidTr="00153D2C">
      <w:trPr>
        <w:trHeight w:hRule="exact" w:val="680"/>
      </w:trPr>
      <w:tc>
        <w:tcPr>
          <w:tcW w:w="5000" w:type="pct"/>
          <w:vAlign w:val="bottom"/>
        </w:tcPr>
        <w:p w14:paraId="67E03CA1" w14:textId="77777777" w:rsidR="0083459B" w:rsidRDefault="0083459B" w:rsidP="00153D2C">
          <w:pPr>
            <w:pStyle w:val="Footer"/>
            <w:jc w:val="right"/>
          </w:pPr>
        </w:p>
      </w:tc>
    </w:tr>
  </w:tbl>
  <w:p w14:paraId="5757EFA6" w14:textId="77777777" w:rsidR="0083459B" w:rsidRPr="00953EE8" w:rsidRDefault="0083459B" w:rsidP="00153D2C">
    <w:pPr>
      <w:pStyle w:val="1ptspac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Plain"/>
      <w:tblW w:w="10206" w:type="dxa"/>
      <w:tblLook w:val="04A0" w:firstRow="1" w:lastRow="0" w:firstColumn="1" w:lastColumn="0" w:noHBand="0" w:noVBand="1"/>
    </w:tblPr>
    <w:tblGrid>
      <w:gridCol w:w="10206"/>
    </w:tblGrid>
    <w:tr w:rsidR="0083459B" w:rsidRPr="00AF030C" w14:paraId="0D4BF4C1" w14:textId="77777777" w:rsidTr="001C6E40">
      <w:trPr>
        <w:trHeight w:val="368"/>
      </w:trPr>
      <w:tc>
        <w:tcPr>
          <w:tcW w:w="6689" w:type="dxa"/>
        </w:tcPr>
        <w:p w14:paraId="75BE7583" w14:textId="77777777" w:rsidR="0083459B" w:rsidRPr="00AF030C" w:rsidRDefault="0083459B" w:rsidP="00BE4665">
          <w:pPr>
            <w:pStyle w:val="Footer"/>
          </w:pPr>
          <w:r w:rsidRPr="006A333C">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Pr>
              <w:rFonts w:ascii="Arial" w:hAnsi="Arial" w:cs="Arial"/>
              <w:noProof/>
            </w:rPr>
            <w:instrText> </w:instrText>
          </w:r>
          <w:r>
            <w:rPr>
              <w:noProof/>
            </w:rPr>
            <w:instrText>|</w:instrText>
          </w:r>
          <w:r>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26AF274A" w14:textId="77777777"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2</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Pr>
              <w:rStyle w:val="DocumentStatusChar"/>
            </w:rPr>
            <w:instrText>Draft</w:instrText>
          </w:r>
          <w:r w:rsidRPr="0057280F">
            <w:rPr>
              <w:rStyle w:val="DocumentStatusChar"/>
            </w:rPr>
            <w:fldChar w:fldCharType="end"/>
          </w:r>
          <w:r>
            <w:rPr>
              <w:noProof/>
            </w:rPr>
            <w:tab/>
          </w:r>
          <w:r>
            <w:fldChar w:fldCharType="begin"/>
          </w:r>
          <w:r>
            <w:instrText xml:space="preserve"> DOCPROPERTY  Entity </w:instrText>
          </w:r>
          <w:r>
            <w:fldChar w:fldCharType="separate"/>
          </w:r>
          <w:r>
            <w:instrText>Entity</w:instrText>
          </w:r>
          <w:r>
            <w:fldChar w:fldCharType="end"/>
          </w:r>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Privacy 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instrText>Private</w:instrText>
          </w:r>
          <w:r w:rsidRPr="00F551B6">
            <w:fldChar w:fldCharType="end"/>
          </w:r>
          <w:r>
            <w:instrText xml:space="preserve"> &lt;&gt; "" True False</w:instrText>
          </w:r>
          <w:r>
            <w:fldChar w:fldCharType="separate"/>
          </w:r>
          <w:r>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r>
            <w:instrText xml:space="preserve"> &lt;&gt; "" True False</w:instrText>
          </w:r>
          <w:r>
            <w:fldChar w:fldCharType="separate"/>
          </w:r>
          <w:r>
            <w:rPr>
              <w:noProof/>
            </w:rPr>
            <w:instrText>True</w:instrText>
          </w:r>
          <w:r>
            <w:fldChar w:fldCharType="end"/>
          </w:r>
          <w:r>
            <w:instrText xml:space="preserve">) </w:instrText>
          </w:r>
          <w:r>
            <w:fldChar w:fldCharType="separate"/>
          </w:r>
          <w:r>
            <w:rPr>
              <w:b/>
              <w:noProof/>
            </w:rPr>
            <w:instrText>!Syntax Error, ,</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instrText>1.0</w:instrText>
          </w:r>
          <w:r w:rsidRPr="00F551B6">
            <w:fldChar w:fldCharType="end"/>
          </w:r>
        </w:p>
        <w:p w14:paraId="28830FBC" w14:textId="77777777" w:rsidR="0083459B" w:rsidRPr="00AF030C" w:rsidRDefault="00FF7743" w:rsidP="00BE4665">
          <w:pPr>
            <w:pStyle w:val="Footer"/>
            <w:rPr>
              <w:noProof/>
            </w:rPr>
          </w:pPr>
          <w:r>
            <w:fldChar w:fldCharType="begin"/>
          </w:r>
          <w:r>
            <w:instrText xml:space="preserve"> DOCPROPERTY  Entity </w:instrText>
          </w:r>
          <w:r>
            <w:fldChar w:fldCharType="separate"/>
          </w:r>
          <w:r w:rsidR="0083459B">
            <w:instrText>Entity</w:instrText>
          </w:r>
          <w:r>
            <w:fldChar w:fldCharType="end"/>
          </w:r>
          <w:r w:rsidR="0083459B" w:rsidRPr="00AF030C">
            <w:rPr>
              <w:noProof/>
            </w:rPr>
            <w:tab/>
          </w:r>
          <w:r w:rsidR="0083459B" w:rsidRPr="0057280F">
            <w:rPr>
              <w:rStyle w:val="DocumentStatusChar"/>
            </w:rPr>
            <w:fldChar w:fldCharType="begin"/>
          </w:r>
          <w:r w:rsidR="0083459B" w:rsidRPr="0057280F">
            <w:rPr>
              <w:rStyle w:val="DocumentStatusChar"/>
            </w:rPr>
            <w:instrText xml:space="preserve"> DOCPROPERTY  DocStatus </w:instrText>
          </w:r>
          <w:r w:rsidR="0083459B" w:rsidRPr="0057280F">
            <w:rPr>
              <w:rStyle w:val="DocumentStatusChar"/>
            </w:rPr>
            <w:fldChar w:fldCharType="separate"/>
          </w:r>
          <w:r w:rsidR="0083459B">
            <w:rPr>
              <w:rStyle w:val="DocumentStatusChar"/>
            </w:rPr>
            <w:instrText>Draft</w:instrText>
          </w:r>
          <w:r w:rsidR="0083459B" w:rsidRPr="0057280F">
            <w:rPr>
              <w:rStyle w:val="DocumentStatusChar"/>
            </w:rPr>
            <w:fldChar w:fldCharType="end"/>
          </w:r>
          <w:r w:rsidR="0083459B">
            <w:rPr>
              <w:noProof/>
            </w:rPr>
            <w:tab/>
          </w:r>
          <w:r w:rsidR="0083459B" w:rsidRPr="00F551B6">
            <w:rPr>
              <w:rStyle w:val="PageNumber"/>
            </w:rPr>
            <w:fldChar w:fldCharType="begin"/>
          </w:r>
          <w:r w:rsidR="0083459B" w:rsidRPr="00F551B6">
            <w:rPr>
              <w:rStyle w:val="PageNumber"/>
            </w:rPr>
            <w:instrText xml:space="preserve"> PAGE</w:instrText>
          </w:r>
          <w:r w:rsidR="0083459B">
            <w:rPr>
              <w:rStyle w:val="PageNumber"/>
            </w:rPr>
            <w:instrText xml:space="preserve"> </w:instrText>
          </w:r>
          <w:r w:rsidR="0083459B" w:rsidRPr="00F551B6">
            <w:rPr>
              <w:rStyle w:val="PageNumber"/>
            </w:rPr>
            <w:fldChar w:fldCharType="separate"/>
          </w:r>
          <w:r w:rsidR="0083459B">
            <w:rPr>
              <w:rStyle w:val="PageNumber"/>
              <w:noProof/>
            </w:rPr>
            <w:instrText>11</w:instrText>
          </w:r>
          <w:r w:rsidR="0083459B" w:rsidRPr="00F551B6">
            <w:rPr>
              <w:rStyle w:val="PageNumber"/>
            </w:rPr>
            <w:fldChar w:fldCharType="end"/>
          </w:r>
          <w:r w:rsidR="0083459B">
            <w:instrText xml:space="preserve">" </w:instrText>
          </w:r>
          <w:r w:rsidR="0083459B">
            <w:fldChar w:fldCharType="separate"/>
          </w:r>
          <w:r w:rsidR="0083459B">
            <w:rPr>
              <w:noProof/>
            </w:rPr>
            <w:instrText>Privacy Status1.0</w:instrText>
          </w:r>
        </w:p>
        <w:p w14:paraId="46FF6E92" w14:textId="77777777" w:rsidR="0083459B" w:rsidRPr="00AF030C" w:rsidRDefault="0083459B" w:rsidP="00BE4665">
          <w:pPr>
            <w:pStyle w:val="Footer"/>
          </w:pPr>
          <w:r>
            <w:rPr>
              <w:noProof/>
            </w:rPr>
            <w:instrText>Entity</w:instrText>
          </w:r>
          <w:r w:rsidRPr="00AF030C">
            <w:rPr>
              <w:noProof/>
            </w:rPr>
            <w:tab/>
          </w:r>
          <w:r>
            <w:rPr>
              <w:rStyle w:val="DocumentStatusChar"/>
              <w:noProof/>
            </w:rPr>
            <w:instrText>Draft</w:instrText>
          </w:r>
          <w:r>
            <w:rPr>
              <w:noProof/>
            </w:rPr>
            <w:tab/>
          </w:r>
          <w:r>
            <w:rPr>
              <w:rStyle w:val="PageNumber"/>
              <w:noProof/>
            </w:rPr>
            <w:instrText>11</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tab/>
          </w:r>
          <w:r>
            <w:tab/>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192DB8">
            <w:instrText>PrivacyStatus</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separate"/>
          </w:r>
          <w:r w:rsidR="00192DB8">
            <w:instrText>PrivacyStatus</w:instrText>
          </w:r>
          <w:r w:rsidRPr="00F551B6">
            <w:fldChar w:fldCharType="end"/>
          </w:r>
          <w:r>
            <w:instrText xml:space="preserve"> &lt;&gt; "" True False</w:instrText>
          </w:r>
          <w:r>
            <w:fldChar w:fldCharType="separate"/>
          </w:r>
          <w:r w:rsidR="00192DB8">
            <w:rPr>
              <w:noProof/>
            </w:rPr>
            <w:instrText>True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192DB8">
            <w:rPr>
              <w:b/>
              <w:bCs/>
              <w:lang w:val="en-US"/>
            </w:rPr>
            <w:instrText>Error! Unknown document property name.</w:instrText>
          </w:r>
          <w:r w:rsidRPr="00F551B6">
            <w:fldChar w:fldCharType="end"/>
          </w:r>
          <w:r>
            <w:instrText xml:space="preserve"> &lt;&gt; "" True False</w:instrText>
          </w:r>
          <w:r>
            <w:fldChar w:fldCharType="separate"/>
          </w:r>
          <w:r w:rsidR="00192DB8">
            <w:rPr>
              <w:noProof/>
            </w:rPr>
            <w:instrText>True</w:instrText>
          </w:r>
          <w:r>
            <w:fldChar w:fldCharType="end"/>
          </w:r>
          <w:r>
            <w:instrText xml:space="preserve">) </w:instrText>
          </w:r>
          <w:r>
            <w:fldChar w:fldCharType="separate"/>
          </w:r>
          <w:r w:rsidR="00192DB8">
            <w:rPr>
              <w:noProof/>
            </w:rPr>
            <w:instrText>1</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separate"/>
          </w:r>
          <w:r w:rsidR="00192DB8">
            <w:rPr>
              <w:rFonts w:ascii="Arial" w:hAnsi="Arial" w:cs="Arial"/>
              <w:noProof/>
            </w:rPr>
            <w:instrText> </w:instrText>
          </w:r>
          <w:r w:rsidR="00192DB8">
            <w:rPr>
              <w:noProof/>
            </w:rPr>
            <w:instrText>|</w:instrText>
          </w:r>
          <w:r w:rsidR="00192DB8">
            <w:rPr>
              <w:rFonts w:ascii="Arial" w:hAnsi="Arial" w:cs="Arial"/>
              <w:noProof/>
            </w:rPr>
            <w:instrText>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192DB8">
            <w:rPr>
              <w:b/>
              <w:bCs/>
              <w:lang w:val="en-US"/>
            </w:rPr>
            <w:instrText>Error! Unknown document property name.</w:instrText>
          </w:r>
          <w:r w:rsidRPr="00F551B6">
            <w:fldChar w:fldCharType="end"/>
          </w:r>
        </w:p>
        <w:p w14:paraId="5041B79F" w14:textId="77777777" w:rsidR="0083459B" w:rsidRPr="00AF030C" w:rsidRDefault="0083459B" w:rsidP="00BE4665">
          <w:pPr>
            <w:pStyle w:val="Footer"/>
          </w:pP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sidR="00C0061D">
            <w:rPr>
              <w:rStyle w:val="PageNumber"/>
              <w:noProof/>
            </w:rPr>
            <w:instrText>16</w:instrText>
          </w:r>
          <w:r w:rsidRPr="00F551B6">
            <w:rPr>
              <w:rStyle w:val="PageNumber"/>
            </w:rP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192DB8">
            <w:rPr>
              <w:rStyle w:val="DocumentStatusChar"/>
            </w:rPr>
            <w:instrText>DocStatus</w:instrText>
          </w:r>
          <w:r w:rsidRPr="0057280F">
            <w:rPr>
              <w:rStyle w:val="DocumentStatusChar"/>
            </w:rPr>
            <w:fldChar w:fldCharType="end"/>
          </w:r>
          <w:r>
            <w:rPr>
              <w:noProof/>
            </w:rPr>
            <w:tab/>
          </w:r>
          <w:r>
            <w:fldChar w:fldCharType="begin"/>
          </w:r>
          <w:r>
            <w:instrText xml:space="preserve"> DOCPROPERTY  Entity </w:instrText>
          </w:r>
          <w:r>
            <w:fldChar w:fldCharType="end"/>
          </w:r>
          <w:r w:rsidRPr="006A333C">
            <w:instrText>"</w:instrText>
          </w:r>
          <w:r>
            <w:instrText xml:space="preserve">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fldChar w:fldCharType="begin"/>
          </w:r>
          <w:r>
            <w:instrText xml:space="preserve"> IF 1 = </w:instrText>
          </w:r>
          <w:r>
            <w:fldChar w:fldCharType="begin"/>
          </w:r>
          <w:r>
            <w:instrText xml:space="preserve"> =AND(</w:instrText>
          </w:r>
          <w:r>
            <w:fldChar w:fldCharType="begin"/>
          </w:r>
          <w:r>
            <w:instrText xml:space="preserve"> IF </w:instrText>
          </w:r>
          <w:r w:rsidRPr="00F551B6">
            <w:fldChar w:fldCharType="begin"/>
          </w:r>
          <w:r w:rsidRPr="00F551B6">
            <w:instrText xml:space="preserve"> DOCPROPERTY  </w:instrText>
          </w:r>
          <w:r>
            <w:instrText>Privacy</w:instrText>
          </w:r>
          <w:r w:rsidRPr="00F551B6">
            <w:instrText xml:space="preserve">Status </w:instrText>
          </w:r>
          <w:r w:rsidRPr="00F551B6">
            <w:fldChar w:fldCharType="end"/>
          </w:r>
          <w:r>
            <w:instrText xml:space="preserve"> &lt;&gt; "" True False</w:instrText>
          </w:r>
          <w:r>
            <w:fldChar w:fldCharType="separate"/>
          </w:r>
          <w:r w:rsidR="00D437DA">
            <w:rPr>
              <w:noProof/>
            </w:rPr>
            <w:instrText>False</w:instrText>
          </w:r>
          <w:r>
            <w:fldChar w:fldCharType="end"/>
          </w:r>
          <w:r>
            <w:instrText>,</w:instrText>
          </w:r>
          <w:r>
            <w:fldChar w:fldCharType="begin"/>
          </w:r>
          <w:r>
            <w:instrText xml:space="preserve"> IF </w:instrText>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r>
            <w:instrText xml:space="preserve"> &lt;&gt; "" True False</w:instrText>
          </w:r>
          <w:r>
            <w:fldChar w:fldCharType="separate"/>
          </w:r>
          <w:r w:rsidR="00D437DA">
            <w:rPr>
              <w:noProof/>
            </w:rPr>
            <w:instrText>True</w:instrText>
          </w:r>
          <w:r>
            <w:fldChar w:fldCharType="end"/>
          </w:r>
          <w:r>
            <w:instrText xml:space="preserve">) </w:instrText>
          </w:r>
          <w:r>
            <w:fldChar w:fldCharType="separate"/>
          </w:r>
          <w:r w:rsidR="00D437DA">
            <w:rPr>
              <w:noProof/>
            </w:rPr>
            <w:instrText>0</w:instrText>
          </w:r>
          <w:r>
            <w:fldChar w:fldCharType="end"/>
          </w:r>
          <w:r>
            <w:instrText xml:space="preserve"> "</w:instrText>
          </w:r>
          <w:r>
            <w:rPr>
              <w:rFonts w:ascii="Arial" w:hAnsi="Arial" w:cs="Arial"/>
            </w:rPr>
            <w:instrText> </w:instrText>
          </w:r>
          <w:r>
            <w:instrText>|</w:instrText>
          </w:r>
          <w:r>
            <w:rPr>
              <w:rFonts w:ascii="Arial" w:hAnsi="Arial" w:cs="Arial"/>
            </w:rPr>
            <w:instrText> </w:instrText>
          </w:r>
          <w:r>
            <w:rPr>
              <w:rFonts w:ascii="Arial" w:hAnsi="Arial" w:cs="Arial"/>
            </w:rPr>
            <w:instrText>"</w:instrText>
          </w:r>
          <w:r>
            <w:instrText xml:space="preserve"> "" </w:instrText>
          </w:r>
          <w:r>
            <w:fldChar w:fldCharType="end"/>
          </w:r>
          <w:r w:rsidRPr="00F551B6">
            <w:fldChar w:fldCharType="begin"/>
          </w:r>
          <w:r w:rsidRPr="00F551B6">
            <w:instrText xml:space="preserve"> DOCPROPERTY  </w:instrText>
          </w:r>
          <w:r>
            <w:instrText>VersionNum</w:instrText>
          </w:r>
          <w:r w:rsidRPr="00F551B6">
            <w:instrText xml:space="preserve"> </w:instrText>
          </w:r>
          <w:r w:rsidRPr="00F551B6">
            <w:fldChar w:fldCharType="separate"/>
          </w:r>
          <w:r w:rsidR="00D437DA">
            <w:rPr>
              <w:b/>
              <w:bCs/>
            </w:rPr>
            <w:instrText>Error! Unknown document property name.</w:instrText>
          </w:r>
          <w:r w:rsidRPr="00F551B6">
            <w:fldChar w:fldCharType="end"/>
          </w:r>
        </w:p>
        <w:p w14:paraId="042E2DC6" w14:textId="77777777" w:rsidR="00192DB8" w:rsidRPr="00AF030C" w:rsidRDefault="0083459B" w:rsidP="00BE4665">
          <w:pPr>
            <w:pStyle w:val="Footer"/>
            <w:rPr>
              <w:noProof/>
            </w:rPr>
          </w:pPr>
          <w:r>
            <w:fldChar w:fldCharType="begin"/>
          </w:r>
          <w:r>
            <w:instrText xml:space="preserve"> DOCPROPERTY  Entity </w:instrText>
          </w:r>
          <w:r>
            <w:fldChar w:fldCharType="end"/>
          </w:r>
          <w:r w:rsidRPr="00AF030C">
            <w:rPr>
              <w:noProof/>
            </w:rPr>
            <w:tab/>
          </w:r>
          <w:r w:rsidRPr="0057280F">
            <w:rPr>
              <w:rStyle w:val="DocumentStatusChar"/>
            </w:rPr>
            <w:fldChar w:fldCharType="begin"/>
          </w:r>
          <w:r w:rsidRPr="0057280F">
            <w:rPr>
              <w:rStyle w:val="DocumentStatusChar"/>
            </w:rPr>
            <w:instrText xml:space="preserve"> DOCPROPERTY  DocStatus </w:instrText>
          </w:r>
          <w:r w:rsidRPr="0057280F">
            <w:rPr>
              <w:rStyle w:val="DocumentStatusChar"/>
            </w:rPr>
            <w:fldChar w:fldCharType="separate"/>
          </w:r>
          <w:r w:rsidR="00D437DA">
            <w:rPr>
              <w:rStyle w:val="DocumentStatusChar"/>
            </w:rPr>
            <w:instrText>Draft</w:instrText>
          </w:r>
          <w:r w:rsidRPr="0057280F">
            <w:rPr>
              <w:rStyle w:val="DocumentStatusChar"/>
            </w:rPr>
            <w:fldChar w:fldCharType="end"/>
          </w:r>
          <w:r>
            <w:rPr>
              <w:noProof/>
            </w:rPr>
            <w:tab/>
          </w:r>
          <w:r w:rsidRPr="00F551B6">
            <w:rPr>
              <w:rStyle w:val="PageNumber"/>
            </w:rPr>
            <w:fldChar w:fldCharType="begin"/>
          </w:r>
          <w:r w:rsidRPr="00F551B6">
            <w:rPr>
              <w:rStyle w:val="PageNumber"/>
            </w:rPr>
            <w:instrText xml:space="preserve"> PAGE</w:instrText>
          </w:r>
          <w:r>
            <w:rPr>
              <w:rStyle w:val="PageNumber"/>
            </w:rPr>
            <w:instrText xml:space="preserve"> </w:instrText>
          </w:r>
          <w:r w:rsidRPr="00F551B6">
            <w:rPr>
              <w:rStyle w:val="PageNumber"/>
            </w:rPr>
            <w:fldChar w:fldCharType="separate"/>
          </w:r>
          <w:r>
            <w:rPr>
              <w:rStyle w:val="PageNumber"/>
              <w:noProof/>
            </w:rPr>
            <w:instrText>11</w:instrText>
          </w:r>
          <w:r w:rsidRPr="00F551B6">
            <w:rPr>
              <w:rStyle w:val="PageNumber"/>
            </w:rPr>
            <w:fldChar w:fldCharType="end"/>
          </w:r>
          <w:r>
            <w:instrText xml:space="preserve">" </w:instrText>
          </w:r>
          <w:r>
            <w:fldChar w:fldCharType="separate"/>
          </w:r>
          <w:r w:rsidR="00192DB8">
            <w:rPr>
              <w:noProof/>
            </w:rPr>
            <w:tab/>
          </w:r>
          <w:r w:rsidR="00192DB8">
            <w:rPr>
              <w:noProof/>
            </w:rPr>
            <w:tab/>
            <w:instrText>PrivacyStatus</w:instrText>
          </w:r>
          <w:r w:rsidR="00192DB8">
            <w:rPr>
              <w:rFonts w:ascii="Arial" w:hAnsi="Arial" w:cs="Arial"/>
              <w:noProof/>
            </w:rPr>
            <w:instrText> </w:instrText>
          </w:r>
          <w:r w:rsidR="00192DB8">
            <w:rPr>
              <w:noProof/>
            </w:rPr>
            <w:instrText>|</w:instrText>
          </w:r>
          <w:r w:rsidR="00192DB8">
            <w:rPr>
              <w:rFonts w:ascii="Arial" w:hAnsi="Arial" w:cs="Arial"/>
              <w:noProof/>
            </w:rPr>
            <w:instrText> </w:instrText>
          </w:r>
          <w:r w:rsidR="00192DB8">
            <w:rPr>
              <w:b/>
              <w:bCs/>
              <w:noProof/>
              <w:lang w:val="en-US"/>
            </w:rPr>
            <w:instrText>Error! Unknown document property name.</w:instrText>
          </w:r>
        </w:p>
        <w:p w14:paraId="7A9EC4B1" w14:textId="77777777" w:rsidR="00192DB8" w:rsidRPr="00AF030C" w:rsidRDefault="00192DB8" w:rsidP="00BE4665">
          <w:pPr>
            <w:pStyle w:val="Footer"/>
            <w:rPr>
              <w:noProof/>
            </w:rPr>
          </w:pPr>
          <w:r>
            <w:rPr>
              <w:rStyle w:val="PageNumber"/>
              <w:noProof/>
            </w:rPr>
            <w:instrText>16</w:instrText>
          </w:r>
          <w:r w:rsidRPr="00AF030C">
            <w:rPr>
              <w:noProof/>
            </w:rPr>
            <w:tab/>
          </w:r>
          <w:r>
            <w:rPr>
              <w:rStyle w:val="DocumentStatusChar"/>
              <w:noProof/>
            </w:rPr>
            <w:instrText>DocStatus</w:instrText>
          </w:r>
          <w:r>
            <w:rPr>
              <w:noProof/>
            </w:rPr>
            <w:tab/>
          </w:r>
          <w:r w:rsidR="0083459B">
            <w:fldChar w:fldCharType="end"/>
          </w:r>
          <w:r w:rsidR="0083459B" w:rsidRPr="006A333C">
            <w:fldChar w:fldCharType="separate"/>
          </w:r>
          <w:r>
            <w:rPr>
              <w:noProof/>
            </w:rPr>
            <w:tab/>
          </w:r>
          <w:r>
            <w:rPr>
              <w:noProof/>
            </w:rPr>
            <w:tab/>
            <w:t>PrivacyStatus</w:t>
          </w:r>
          <w:r>
            <w:rPr>
              <w:rFonts w:ascii="Arial" w:hAnsi="Arial" w:cs="Arial"/>
              <w:noProof/>
            </w:rPr>
            <w:t> </w:t>
          </w:r>
          <w:r>
            <w:rPr>
              <w:noProof/>
            </w:rPr>
            <w:t>|</w:t>
          </w:r>
          <w:r>
            <w:rPr>
              <w:rFonts w:ascii="Arial" w:hAnsi="Arial" w:cs="Arial"/>
              <w:noProof/>
            </w:rPr>
            <w:t> </w:t>
          </w:r>
          <w:r>
            <w:rPr>
              <w:b/>
              <w:bCs/>
              <w:noProof/>
              <w:lang w:val="en-US"/>
            </w:rPr>
            <w:t>Error! Unknown document property name.</w:t>
          </w:r>
        </w:p>
        <w:p w14:paraId="37ECAA3F" w14:textId="77777777" w:rsidR="0083459B" w:rsidRPr="00AF030C" w:rsidRDefault="00192DB8" w:rsidP="00BE4665">
          <w:pPr>
            <w:pStyle w:val="Footer"/>
          </w:pPr>
          <w:r>
            <w:rPr>
              <w:rStyle w:val="PageNumber"/>
              <w:noProof/>
            </w:rPr>
            <w:t>16</w:t>
          </w:r>
          <w:r w:rsidRPr="00AF030C">
            <w:rPr>
              <w:noProof/>
            </w:rPr>
            <w:tab/>
          </w:r>
          <w:r>
            <w:rPr>
              <w:rStyle w:val="DocumentStatusChar"/>
              <w:noProof/>
            </w:rPr>
            <w:t>DocStatus</w:t>
          </w:r>
          <w:r>
            <w:rPr>
              <w:noProof/>
            </w:rPr>
            <w:tab/>
          </w:r>
          <w:r w:rsidR="0083459B" w:rsidRPr="006A333C">
            <w:fldChar w:fldCharType="end"/>
          </w:r>
        </w:p>
      </w:tc>
    </w:tr>
  </w:tbl>
  <w:p w14:paraId="35F936A1" w14:textId="77777777" w:rsidR="0083459B" w:rsidRDefault="0083459B" w:rsidP="001C6E40">
    <w:pPr>
      <w:pStyle w:val="1pt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20D5B" w14:textId="77777777" w:rsidR="007D2DAA" w:rsidRDefault="007D2DAA" w:rsidP="00AD6336">
      <w:pPr>
        <w:spacing w:after="0" w:line="240" w:lineRule="auto"/>
      </w:pPr>
      <w:r>
        <w:separator/>
      </w:r>
    </w:p>
  </w:footnote>
  <w:footnote w:type="continuationSeparator" w:id="0">
    <w:p w14:paraId="585A3632" w14:textId="77777777" w:rsidR="007D2DAA" w:rsidRDefault="007D2DAA" w:rsidP="00AD6336">
      <w:pPr>
        <w:spacing w:after="0" w:line="240" w:lineRule="auto"/>
      </w:pPr>
      <w:r>
        <w:continuationSeparator/>
      </w:r>
    </w:p>
  </w:footnote>
  <w:footnote w:type="continuationNotice" w:id="1">
    <w:p w14:paraId="3C247427" w14:textId="77777777" w:rsidR="00F73E17" w:rsidRDefault="00F73E17">
      <w:pPr>
        <w:spacing w:after="0" w:line="240" w:lineRule="auto"/>
      </w:pPr>
    </w:p>
  </w:footnote>
  <w:footnote w:id="2">
    <w:p w14:paraId="69C723B4" w14:textId="62F8115D" w:rsidR="002F5E57" w:rsidRPr="002F5E57" w:rsidRDefault="002F5E57">
      <w:pPr>
        <w:pStyle w:val="FootnoteText"/>
        <w:rPr>
          <w:rFonts w:ascii="Calibri" w:hAnsi="Calibri" w:cs="Calibri"/>
          <w:szCs w:val="18"/>
          <w:lang w:val="en-US"/>
        </w:rPr>
      </w:pPr>
      <w:r w:rsidRPr="002F5E57">
        <w:rPr>
          <w:rStyle w:val="FootnoteReference"/>
          <w:rFonts w:ascii="Calibri" w:hAnsi="Calibri" w:cs="Calibri"/>
          <w:color w:val="auto"/>
          <w:szCs w:val="18"/>
        </w:rPr>
        <w:footnoteRef/>
      </w:r>
      <w:r w:rsidRPr="002F5E57">
        <w:rPr>
          <w:rFonts w:ascii="Calibri" w:hAnsi="Calibri" w:cs="Calibri"/>
          <w:color w:val="auto"/>
          <w:szCs w:val="18"/>
        </w:rPr>
        <w:t xml:space="preserve"> Qualified investors are made up of both </w:t>
      </w:r>
      <w:r w:rsidRPr="002F5E57">
        <w:rPr>
          <w:rFonts w:ascii="Calibri" w:hAnsi="Calibri" w:cs="Calibri"/>
          <w:color w:val="auto"/>
          <w:szCs w:val="18"/>
          <w:lang w:val="en-US"/>
        </w:rPr>
        <w:t>accredited and institutional investors.</w:t>
      </w:r>
    </w:p>
  </w:footnote>
  <w:footnote w:id="3">
    <w:p w14:paraId="3B2525C2" w14:textId="0863A94F" w:rsidR="00F24253" w:rsidRPr="002F5E57" w:rsidRDefault="00F24253" w:rsidP="00F24253">
      <w:pPr>
        <w:pStyle w:val="FootnoteText"/>
        <w:jc w:val="both"/>
        <w:rPr>
          <w:rFonts w:ascii="Calibri" w:hAnsi="Calibri" w:cs="Calibri"/>
          <w:color w:val="auto"/>
          <w:lang w:val="en-US"/>
        </w:rPr>
      </w:pPr>
      <w:r w:rsidRPr="002F5E57">
        <w:rPr>
          <w:rStyle w:val="FootnoteReference"/>
          <w:rFonts w:ascii="Calibri" w:hAnsi="Calibri" w:cs="Calibri"/>
          <w:color w:val="auto"/>
        </w:rPr>
        <w:footnoteRef/>
      </w:r>
      <w:r w:rsidRPr="002F5E57">
        <w:rPr>
          <w:rFonts w:ascii="Calibri" w:hAnsi="Calibri" w:cs="Calibri"/>
          <w:color w:val="auto"/>
        </w:rPr>
        <w:t xml:space="preserve"> </w:t>
      </w:r>
      <w:r w:rsidRPr="002F5E57">
        <w:rPr>
          <w:rFonts w:ascii="Calibri" w:hAnsi="Calibri" w:cs="Calibri"/>
          <w:color w:val="auto"/>
          <w:lang w:val="en-US"/>
        </w:rPr>
        <w:t>Late trading refers the ability of investors to subscribe, cancel or redeem any units</w:t>
      </w:r>
      <w:r w:rsidR="003421CA">
        <w:rPr>
          <w:rFonts w:ascii="Calibri" w:hAnsi="Calibri" w:cs="Calibri"/>
          <w:color w:val="auto"/>
          <w:lang w:val="en-US"/>
        </w:rPr>
        <w:t>/</w:t>
      </w:r>
      <w:r w:rsidRPr="002F5E57">
        <w:rPr>
          <w:rFonts w:ascii="Calibri" w:hAnsi="Calibri" w:cs="Calibri"/>
          <w:color w:val="auto"/>
          <w:lang w:val="en-US"/>
        </w:rPr>
        <w:t>shares in CIS after the dealing deadline (i.e., where NAV is calculated). Late trading would dilute CIS units</w:t>
      </w:r>
      <w:r w:rsidR="003421CA">
        <w:rPr>
          <w:rFonts w:ascii="Calibri" w:hAnsi="Calibri" w:cs="Calibri"/>
          <w:color w:val="auto"/>
          <w:lang w:val="en-US"/>
        </w:rPr>
        <w:t>/</w:t>
      </w:r>
      <w:r w:rsidRPr="002F5E57">
        <w:rPr>
          <w:rFonts w:ascii="Calibri" w:hAnsi="Calibri" w:cs="Calibri"/>
          <w:color w:val="auto"/>
          <w:lang w:val="en-US"/>
        </w:rPr>
        <w:t xml:space="preserve">shares and arbitrage opportunities might arise to take advantage of fluctuations among speculators. </w:t>
      </w:r>
      <w:r w:rsidR="0004778D">
        <w:rPr>
          <w:rFonts w:ascii="Calibri" w:hAnsi="Calibri" w:cs="Calibri"/>
          <w:color w:val="auto"/>
          <w:lang w:val="en-US"/>
        </w:rPr>
        <w:t xml:space="preserve">Although </w:t>
      </w:r>
      <w:r w:rsidR="0004778D" w:rsidRPr="0004778D">
        <w:rPr>
          <w:rFonts w:ascii="Calibri" w:hAnsi="Calibri" w:cs="Calibri"/>
          <w:color w:val="auto"/>
          <w:u w:val="single"/>
          <w:lang w:val="en-US"/>
        </w:rPr>
        <w:t>this does not constitute to a market misconduct or an offence</w:t>
      </w:r>
      <w:r w:rsidR="0004778D">
        <w:rPr>
          <w:rFonts w:ascii="Calibri" w:hAnsi="Calibri" w:cs="Calibri"/>
          <w:color w:val="auto"/>
          <w:lang w:val="en-US"/>
        </w:rPr>
        <w:t>, t</w:t>
      </w:r>
      <w:r w:rsidRPr="002F5E57">
        <w:rPr>
          <w:rFonts w:ascii="Calibri" w:hAnsi="Calibri" w:cs="Calibri"/>
          <w:color w:val="auto"/>
          <w:lang w:val="en-US"/>
        </w:rPr>
        <w:t xml:space="preserve">his practice </w:t>
      </w:r>
      <w:r w:rsidR="0004778D">
        <w:rPr>
          <w:rFonts w:ascii="Calibri" w:hAnsi="Calibri" w:cs="Calibri"/>
          <w:color w:val="auto"/>
          <w:lang w:val="en-US"/>
        </w:rPr>
        <w:t>is discouraged under the IMAS Code</w:t>
      </w:r>
      <w:r w:rsidRPr="002F5E57">
        <w:rPr>
          <w:rFonts w:ascii="Calibri" w:hAnsi="Calibri" w:cs="Calibri"/>
          <w:color w:val="auto"/>
          <w:lang w:val="en-US"/>
        </w:rPr>
        <w:t xml:space="preserve">. </w:t>
      </w:r>
    </w:p>
  </w:footnote>
  <w:footnote w:id="4">
    <w:p w14:paraId="1B265BD2" w14:textId="5A306F7D" w:rsidR="00F24253" w:rsidRPr="00F81D6A" w:rsidRDefault="00F24253" w:rsidP="00F24253">
      <w:pPr>
        <w:pStyle w:val="FootnoteText"/>
        <w:jc w:val="both"/>
        <w:rPr>
          <w:rFonts w:ascii="Calibri" w:hAnsi="Calibri" w:cs="Calibri"/>
          <w:lang w:val="en-US"/>
        </w:rPr>
      </w:pPr>
      <w:r w:rsidRPr="002F5E57">
        <w:rPr>
          <w:rStyle w:val="FootnoteReference"/>
          <w:rFonts w:ascii="Calibri" w:hAnsi="Calibri" w:cs="Calibri"/>
          <w:color w:val="auto"/>
        </w:rPr>
        <w:footnoteRef/>
      </w:r>
      <w:r w:rsidRPr="002F5E57">
        <w:rPr>
          <w:rFonts w:ascii="Calibri" w:hAnsi="Calibri" w:cs="Calibri"/>
          <w:color w:val="auto"/>
        </w:rPr>
        <w:t xml:space="preserve"> Market timing refers to short-term trading to take advantage of short-term discrepancies between the </w:t>
      </w:r>
      <w:r w:rsidR="00AB37A4" w:rsidRPr="002F5E57">
        <w:rPr>
          <w:rFonts w:ascii="Calibri" w:hAnsi="Calibri" w:cs="Calibri"/>
          <w:color w:val="auto"/>
        </w:rPr>
        <w:t>“</w:t>
      </w:r>
      <w:r w:rsidRPr="002F5E57">
        <w:rPr>
          <w:rFonts w:ascii="Calibri" w:hAnsi="Calibri" w:cs="Calibri"/>
          <w:color w:val="auto"/>
        </w:rPr>
        <w:t>stale” value of assets with a mutual fund’s portfolio (since MF prices are only updated at the close of market) and the current market value of those assets. Similarly, market timing would dilute CIS units</w:t>
      </w:r>
      <w:r w:rsidR="003421CA">
        <w:rPr>
          <w:rFonts w:ascii="Calibri" w:hAnsi="Calibri" w:cs="Calibri"/>
          <w:color w:val="auto"/>
        </w:rPr>
        <w:t>/</w:t>
      </w:r>
      <w:r w:rsidRPr="002F5E57">
        <w:rPr>
          <w:rFonts w:ascii="Calibri" w:hAnsi="Calibri" w:cs="Calibri"/>
          <w:color w:val="auto"/>
        </w:rPr>
        <w:t>shares and should not be allowed.</w:t>
      </w:r>
    </w:p>
  </w:footnote>
  <w:footnote w:id="5">
    <w:p w14:paraId="36CD44E3" w14:textId="5E1B5984" w:rsidR="0074259C" w:rsidRPr="0074259C" w:rsidRDefault="0074259C" w:rsidP="0074259C">
      <w:pPr>
        <w:pStyle w:val="FootnoteText"/>
        <w:jc w:val="both"/>
        <w:rPr>
          <w:rFonts w:ascii="Calibri" w:hAnsi="Calibri" w:cs="Calibri"/>
          <w:lang w:val="en-US"/>
        </w:rPr>
      </w:pPr>
      <w:r w:rsidRPr="0074259C">
        <w:rPr>
          <w:rStyle w:val="FootnoteReference"/>
          <w:rFonts w:ascii="Calibri" w:hAnsi="Calibri" w:cs="Calibri"/>
          <w:color w:val="auto"/>
        </w:rPr>
        <w:footnoteRef/>
      </w:r>
      <w:r w:rsidRPr="0074259C">
        <w:rPr>
          <w:rFonts w:ascii="Calibri" w:hAnsi="Calibri" w:cs="Calibri"/>
          <w:color w:val="auto"/>
        </w:rPr>
        <w:t xml:space="preserve"> </w:t>
      </w:r>
      <w:r>
        <w:rPr>
          <w:rFonts w:ascii="Calibri" w:hAnsi="Calibri" w:cs="Calibri"/>
          <w:color w:val="auto"/>
        </w:rPr>
        <w:t xml:space="preserve">For </w:t>
      </w:r>
      <w:r w:rsidRPr="0074259C">
        <w:rPr>
          <w:rFonts w:ascii="Calibri" w:hAnsi="Calibri" w:cs="Calibri"/>
          <w:color w:val="auto"/>
          <w:lang w:val="en-US"/>
        </w:rPr>
        <w:t>assets</w:t>
      </w:r>
      <w:r>
        <w:rPr>
          <w:rFonts w:ascii="Calibri" w:hAnsi="Calibri" w:cs="Calibri"/>
          <w:color w:val="auto"/>
          <w:lang w:val="en-US"/>
        </w:rPr>
        <w:t xml:space="preserve"> that</w:t>
      </w:r>
      <w:r w:rsidRPr="0074259C">
        <w:rPr>
          <w:rFonts w:ascii="Calibri" w:hAnsi="Calibri" w:cs="Calibri"/>
          <w:color w:val="auto"/>
          <w:lang w:val="en-US"/>
        </w:rPr>
        <w:t xml:space="preserve"> are not maintained in a trust or custody account</w:t>
      </w:r>
      <w:r>
        <w:rPr>
          <w:rFonts w:ascii="Calibri" w:hAnsi="Calibri" w:cs="Calibri"/>
          <w:color w:val="auto"/>
          <w:lang w:val="en-US"/>
        </w:rPr>
        <w:t xml:space="preserve">, the </w:t>
      </w:r>
      <w:r w:rsidR="00B72D51">
        <w:rPr>
          <w:rFonts w:ascii="Calibri" w:hAnsi="Calibri" w:cs="Calibri"/>
          <w:color w:val="auto"/>
          <w:lang w:val="en-US"/>
        </w:rPr>
        <w:t>LFMC</w:t>
      </w:r>
      <w:r w:rsidRPr="0074259C">
        <w:rPr>
          <w:rFonts w:ascii="Calibri" w:hAnsi="Calibri" w:cs="Calibri"/>
          <w:color w:val="auto"/>
          <w:lang w:val="en-US"/>
        </w:rPr>
        <w:t xml:space="preserve">s must disclose the fact </w:t>
      </w:r>
      <w:r>
        <w:rPr>
          <w:rFonts w:ascii="Calibri" w:hAnsi="Calibri" w:cs="Calibri"/>
          <w:color w:val="auto"/>
          <w:lang w:val="en-US"/>
        </w:rPr>
        <w:t xml:space="preserve">and </w:t>
      </w:r>
      <w:r w:rsidRPr="0074259C">
        <w:rPr>
          <w:rFonts w:ascii="Calibri" w:hAnsi="Calibri" w:cs="Calibri"/>
          <w:color w:val="auto"/>
          <w:lang w:val="en-US"/>
        </w:rPr>
        <w:t>obtain clients’ acknowledgement.</w:t>
      </w:r>
    </w:p>
  </w:footnote>
  <w:footnote w:id="6">
    <w:p w14:paraId="13DB4B9A" w14:textId="726F0B97" w:rsidR="00492192" w:rsidRPr="00492192" w:rsidRDefault="00492192" w:rsidP="00492192">
      <w:pPr>
        <w:pStyle w:val="FootnoteText"/>
        <w:jc w:val="both"/>
        <w:rPr>
          <w:rFonts w:ascii="Calibri" w:hAnsi="Calibri" w:cs="Calibri"/>
          <w:lang w:val="en-US"/>
        </w:rPr>
      </w:pPr>
      <w:r w:rsidRPr="00492192">
        <w:rPr>
          <w:rStyle w:val="FootnoteReference"/>
          <w:rFonts w:ascii="Calibri" w:hAnsi="Calibri" w:cs="Calibri"/>
          <w:color w:val="auto"/>
        </w:rPr>
        <w:footnoteRef/>
      </w:r>
      <w:r w:rsidRPr="00492192">
        <w:rPr>
          <w:rFonts w:ascii="Calibri" w:hAnsi="Calibri" w:cs="Calibri"/>
          <w:color w:val="auto"/>
        </w:rPr>
        <w:t xml:space="preserve"> </w:t>
      </w:r>
      <w:r w:rsidRPr="00492192">
        <w:rPr>
          <w:rFonts w:ascii="Calibri" w:hAnsi="Calibri" w:cs="Calibri"/>
          <w:color w:val="auto"/>
          <w:lang w:val="en-US"/>
        </w:rPr>
        <w:t>While commodities can provide strong returns and hedge against inflation, their prices are volatile and can fluctuate significantly. Not ideal for stable income portfolios.</w:t>
      </w:r>
    </w:p>
  </w:footnote>
  <w:footnote w:id="7">
    <w:p w14:paraId="48B15FCC" w14:textId="0D143DF9" w:rsidR="008C3E0D" w:rsidRPr="008C3E0D" w:rsidRDefault="008C3E0D" w:rsidP="008C3E0D">
      <w:pPr>
        <w:pStyle w:val="FootnoteText"/>
        <w:jc w:val="both"/>
        <w:rPr>
          <w:rFonts w:ascii="Calibri" w:hAnsi="Calibri" w:cs="Calibri"/>
          <w:lang w:val="en-US"/>
        </w:rPr>
      </w:pPr>
      <w:r w:rsidRPr="008C3E0D">
        <w:rPr>
          <w:rStyle w:val="FootnoteReference"/>
          <w:rFonts w:ascii="Calibri" w:hAnsi="Calibri" w:cs="Calibri"/>
          <w:color w:val="auto"/>
        </w:rPr>
        <w:footnoteRef/>
      </w:r>
      <w:r w:rsidRPr="008C3E0D">
        <w:rPr>
          <w:rFonts w:ascii="Calibri" w:hAnsi="Calibri" w:cs="Calibri"/>
          <w:color w:val="auto"/>
        </w:rPr>
        <w:t xml:space="preserve"> </w:t>
      </w:r>
      <w:r w:rsidRPr="008C3E0D">
        <w:rPr>
          <w:rFonts w:ascii="Calibri" w:hAnsi="Calibri" w:cs="Calibri"/>
          <w:color w:val="auto"/>
          <w:lang w:val="en-US"/>
        </w:rPr>
        <w:t>Note that any historical performance should not contain simulated</w:t>
      </w:r>
      <w:r w:rsidR="003421CA">
        <w:rPr>
          <w:rFonts w:ascii="Calibri" w:hAnsi="Calibri" w:cs="Calibri"/>
          <w:color w:val="auto"/>
          <w:lang w:val="en-US"/>
        </w:rPr>
        <w:t>/</w:t>
      </w:r>
      <w:r w:rsidRPr="008C3E0D">
        <w:rPr>
          <w:rFonts w:ascii="Calibri" w:hAnsi="Calibri" w:cs="Calibri"/>
          <w:color w:val="auto"/>
          <w:lang w:val="en-US"/>
        </w:rPr>
        <w:t xml:space="preserve">back-tested results.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39F0E" w14:textId="5D46B834" w:rsidR="00827DA8" w:rsidRDefault="00827DA8">
    <w:pPr>
      <w:pStyle w:val="Header"/>
    </w:pPr>
  </w:p>
  <w:p w14:paraId="564F5072" w14:textId="77777777" w:rsidR="0083459B" w:rsidRPr="006C4339" w:rsidRDefault="0083459B" w:rsidP="007024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Plain"/>
      <w:tblW w:w="10206" w:type="dxa"/>
      <w:tblLook w:val="04A0" w:firstRow="1" w:lastRow="0" w:firstColumn="1" w:lastColumn="0" w:noHBand="0" w:noVBand="1"/>
    </w:tblPr>
    <w:tblGrid>
      <w:gridCol w:w="10206"/>
    </w:tblGrid>
    <w:tr w:rsidR="0083459B" w:rsidRPr="00263B9B" w14:paraId="6A33115D" w14:textId="77777777" w:rsidTr="001C6E40">
      <w:tc>
        <w:tcPr>
          <w:tcW w:w="10206" w:type="dxa"/>
        </w:tcPr>
        <w:p w14:paraId="32F7DF02" w14:textId="77777777" w:rsidR="0083459B" w:rsidRPr="0011015E" w:rsidRDefault="0083459B" w:rsidP="001C6E40">
          <w:pPr>
            <w:pStyle w:val="Header"/>
          </w:pPr>
          <w:r w:rsidRPr="006A333C">
            <w:rPr>
              <w:color w:val="A6A7A9"/>
            </w:rPr>
            <w:fldChar w:fldCharType="begin"/>
          </w:r>
          <w:r w:rsidRPr="006A333C">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w:instrText>
          </w:r>
          <w:r>
            <w:instrText xml:space="preserve">"!*" </w:instrText>
          </w:r>
          <w:r>
            <w:rPr>
              <w:color w:val="A6A7A9"/>
            </w:rP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Pr>
              <w:noProof/>
            </w:rPr>
            <w:instrText>11</w:instrText>
          </w:r>
          <w:r w:rsidRPr="006A333C">
            <w:fldChar w:fldCharType="end"/>
          </w:r>
          <w:r>
            <w:instrText>;</w:instrText>
          </w:r>
          <w:r w:rsidRPr="006A333C">
            <w:instrText xml:space="preserve">2) </w:instrText>
          </w:r>
          <w:r w:rsidRPr="006A333C">
            <w:fldChar w:fldCharType="separate"/>
          </w:r>
          <w:r>
            <w:rPr>
              <w:noProof/>
            </w:rPr>
            <w:instrText>1</w:instrText>
          </w:r>
          <w:r w:rsidRPr="006A333C">
            <w:fldChar w:fldCharType="end"/>
          </w:r>
          <w:r w:rsidRPr="006A333C">
            <w:instrText xml:space="preserve"> = 0 "</w:instrText>
          </w:r>
          <w:r>
            <w:fldChar w:fldCharType="begin"/>
          </w:r>
          <w:r>
            <w:instrText xml:space="preserve"> STYLEREF  Title </w:instrText>
          </w:r>
          <w:r>
            <w:fldChar w:fldCharType="separate"/>
          </w:r>
          <w:r>
            <w:rPr>
              <w:noProof/>
            </w:rPr>
            <w:instrText>Title</w:instrText>
          </w:r>
          <w:r>
            <w:rPr>
              <w:noProof/>
            </w:rPr>
            <w:fldChar w:fldCharType="end"/>
          </w:r>
          <w:r w:rsidRPr="0011015E">
            <w:instrText> </w:instrText>
          </w:r>
          <w:r w:rsidRPr="0011015E">
            <w:instrText>|</w:instrText>
          </w:r>
          <w:r w:rsidRPr="0011015E">
            <w:instrText> </w:instrText>
          </w:r>
          <w:r>
            <w:fldChar w:fldCharType="begin"/>
          </w:r>
          <w:r>
            <w:instrText xml:space="preserve"> STYLEREF  "Heading 1" </w:instrText>
          </w:r>
          <w:r>
            <w:fldChar w:fldCharType="separate"/>
          </w:r>
          <w:r>
            <w:rPr>
              <w:noProof/>
            </w:rPr>
            <w:instrText>Heading 1</w:instrText>
          </w:r>
          <w:r>
            <w:rPr>
              <w:noProof/>
            </w:rPr>
            <w:fldChar w:fldCharType="end"/>
          </w:r>
          <w:r w:rsidRPr="006A333C">
            <w:instrText>"</w:instrText>
          </w:r>
          <w:r>
            <w:instrText xml:space="preserve"> "</w:instrText>
          </w:r>
          <w:r>
            <w:tab/>
          </w:r>
          <w:r>
            <w:fldChar w:fldCharType="begin"/>
          </w:r>
          <w:r>
            <w:instrText xml:space="preserve"> STYLEREF  Title </w:instrText>
          </w:r>
          <w:r>
            <w:fldChar w:fldCharType="separate"/>
          </w:r>
          <w:r>
            <w:rPr>
              <w:noProof/>
            </w:rPr>
            <w:instrText>Title</w:instrText>
          </w:r>
          <w:r>
            <w:rPr>
              <w:noProof/>
            </w:rPr>
            <w:fldChar w:fldCharType="end"/>
          </w:r>
          <w:r w:rsidRPr="0011015E">
            <w:instrText> </w:instrText>
          </w:r>
          <w:r w:rsidRPr="0011015E">
            <w:instrText>|</w:instrText>
          </w:r>
          <w:r w:rsidRPr="0011015E">
            <w:instrText> </w:instrText>
          </w:r>
          <w:r>
            <w:fldChar w:fldCharType="begin"/>
          </w:r>
          <w:r>
            <w:instrText xml:space="preserve"> STYLEREF  "Heading 1" </w:instrText>
          </w:r>
          <w:r>
            <w:fldChar w:fldCharType="separate"/>
          </w:r>
          <w:r>
            <w:rPr>
              <w:noProof/>
            </w:rPr>
            <w:instrText>Certificate</w:instrText>
          </w:r>
          <w:r>
            <w:rPr>
              <w:noProof/>
            </w:rPr>
            <w:fldChar w:fldCharType="end"/>
          </w:r>
          <w:r>
            <w:instrText xml:space="preserve">" </w:instrText>
          </w:r>
          <w:r>
            <w:rPr>
              <w:color w:val="A6A7A9"/>
            </w:rPr>
            <w:fldChar w:fldCharType="separate"/>
          </w:r>
          <w:r>
            <w:rPr>
              <w:noProof/>
            </w:rPr>
            <w:tab/>
          </w:r>
          <w:r>
            <w:rPr>
              <w:noProof/>
            </w:rPr>
            <w:tab/>
            <w:instrText>Title</w:instrText>
          </w:r>
          <w:r w:rsidRPr="0011015E">
            <w:rPr>
              <w:noProof/>
            </w:rPr>
            <w:instrText> </w:instrText>
          </w:r>
          <w:r w:rsidRPr="0011015E">
            <w:rPr>
              <w:noProof/>
            </w:rPr>
            <w:instrText>|</w:instrText>
          </w:r>
          <w:r w:rsidRPr="0011015E">
            <w:rPr>
              <w:noProof/>
            </w:rPr>
            <w:instrText> </w:instrText>
          </w:r>
          <w:r>
            <w:rPr>
              <w:noProof/>
            </w:rPr>
            <w:instrText>Certificate</w:instrText>
          </w:r>
          <w:r>
            <w:fldChar w:fldCharType="end"/>
          </w:r>
          <w:r w:rsidRPr="006A333C">
            <w:instrText xml:space="preserve"> </w:instrText>
          </w:r>
          <w:r>
            <w:fldChar w:fldCharType="begin"/>
          </w:r>
          <w:r>
            <w:instrText xml:space="preserve"> IF </w:instrText>
          </w:r>
          <w:r w:rsidRPr="006A333C">
            <w:fldChar w:fldCharType="begin"/>
          </w:r>
          <w:r w:rsidRPr="006A333C">
            <w:instrText xml:space="preserve"> =mod(</w:instrText>
          </w:r>
          <w:r w:rsidRPr="006A333C">
            <w:fldChar w:fldCharType="begin"/>
          </w:r>
          <w:r w:rsidRPr="006A333C">
            <w:instrText xml:space="preserve"> PAGE </w:instrText>
          </w:r>
          <w:r w:rsidRPr="006A333C">
            <w:fldChar w:fldCharType="separate"/>
          </w:r>
          <w:r w:rsidR="00C0061D">
            <w:rPr>
              <w:noProof/>
            </w:rPr>
            <w:instrText>16</w:instrText>
          </w:r>
          <w:r w:rsidRPr="006A333C">
            <w:fldChar w:fldCharType="end"/>
          </w:r>
          <w:r>
            <w:instrText>,</w:instrText>
          </w:r>
          <w:r w:rsidRPr="006A333C">
            <w:instrText xml:space="preserve">2) </w:instrText>
          </w:r>
          <w:r w:rsidRPr="006A333C">
            <w:fldChar w:fldCharType="separate"/>
          </w:r>
          <w:r w:rsidR="00C0061D">
            <w:rPr>
              <w:noProof/>
            </w:rPr>
            <w:instrText>0.0</w:instrText>
          </w:r>
          <w:r w:rsidRPr="006A333C">
            <w:fldChar w:fldCharType="end"/>
          </w:r>
          <w:r w:rsidRPr="006A333C">
            <w:instrText xml:space="preserve"> = 0 "</w:instrText>
          </w:r>
          <w:r>
            <w:fldChar w:fldCharType="begin"/>
          </w:r>
          <w:r>
            <w:instrText xml:space="preserve"> STYLEREF  Title </w:instrText>
          </w:r>
          <w:r>
            <w:fldChar w:fldCharType="separate"/>
          </w:r>
          <w:r w:rsidR="00192DB8">
            <w:rPr>
              <w:b/>
              <w:bCs/>
              <w:noProof/>
              <w:lang w:val="en-US"/>
            </w:rPr>
            <w:instrText>Error! No text of specified style in document.</w:instrText>
          </w:r>
          <w:r>
            <w:rPr>
              <w:noProof/>
            </w:rPr>
            <w:fldChar w:fldCharType="end"/>
          </w:r>
          <w:r w:rsidRPr="0011015E">
            <w:instrText> </w:instrText>
          </w:r>
          <w:r w:rsidRPr="0011015E">
            <w:instrText>|</w:instrText>
          </w:r>
          <w:r w:rsidRPr="0011015E">
            <w:instrText> </w:instrText>
          </w:r>
          <w:r>
            <w:fldChar w:fldCharType="begin"/>
          </w:r>
          <w:r>
            <w:instrText xml:space="preserve"> STYLEREF  "Heading 1" </w:instrText>
          </w:r>
          <w:r>
            <w:fldChar w:fldCharType="separate"/>
          </w:r>
          <w:r w:rsidR="00192DB8">
            <w:rPr>
              <w:noProof/>
            </w:rPr>
            <w:instrText>Heading1</w:instrText>
          </w:r>
          <w:r>
            <w:rPr>
              <w:noProof/>
            </w:rPr>
            <w:fldChar w:fldCharType="end"/>
          </w:r>
          <w:r w:rsidRPr="006A333C">
            <w:instrText>"</w:instrText>
          </w:r>
          <w:r>
            <w:instrText xml:space="preserve"> "</w:instrText>
          </w:r>
          <w:r>
            <w:tab/>
          </w:r>
          <w:r>
            <w:fldChar w:fldCharType="begin"/>
          </w:r>
          <w:r>
            <w:instrText xml:space="preserve"> STYLEREF  Title </w:instrText>
          </w:r>
          <w:r>
            <w:fldChar w:fldCharType="separate"/>
          </w:r>
          <w:r w:rsidR="00D437DA">
            <w:rPr>
              <w:noProof/>
            </w:rPr>
            <w:instrText>Title</w:instrText>
          </w:r>
          <w:r>
            <w:rPr>
              <w:noProof/>
            </w:rPr>
            <w:fldChar w:fldCharType="end"/>
          </w:r>
          <w:r w:rsidRPr="0011015E">
            <w:instrText> </w:instrText>
          </w:r>
          <w:r w:rsidRPr="0011015E">
            <w:instrText>|</w:instrText>
          </w:r>
          <w:r w:rsidRPr="0011015E">
            <w:instrText> </w:instrText>
          </w:r>
          <w:r>
            <w:fldChar w:fldCharType="begin"/>
          </w:r>
          <w:r>
            <w:instrText xml:space="preserve"> STYLEREF  "Heading 1" </w:instrText>
          </w:r>
          <w:r>
            <w:fldChar w:fldCharType="separate"/>
          </w:r>
          <w:r w:rsidR="00D437DA">
            <w:rPr>
              <w:noProof/>
            </w:rPr>
            <w:instrText>Heading 1</w:instrText>
          </w:r>
          <w:r>
            <w:rPr>
              <w:noProof/>
            </w:rPr>
            <w:fldChar w:fldCharType="end"/>
          </w:r>
          <w:r>
            <w:instrText xml:space="preserve">" </w:instrText>
          </w:r>
          <w:r>
            <w:fldChar w:fldCharType="separate"/>
          </w:r>
          <w:r w:rsidR="00192DB8">
            <w:rPr>
              <w:b/>
              <w:bCs/>
              <w:noProof/>
              <w:lang w:val="en-US"/>
            </w:rPr>
            <w:instrText>Error! No text of specified style in document.</w:instrText>
          </w:r>
          <w:r w:rsidR="00192DB8" w:rsidRPr="0011015E">
            <w:rPr>
              <w:noProof/>
            </w:rPr>
            <w:instrText> </w:instrText>
          </w:r>
          <w:r w:rsidR="00192DB8" w:rsidRPr="0011015E">
            <w:rPr>
              <w:noProof/>
            </w:rPr>
            <w:instrText>|</w:instrText>
          </w:r>
          <w:r w:rsidR="00192DB8" w:rsidRPr="0011015E">
            <w:rPr>
              <w:noProof/>
            </w:rPr>
            <w:instrText> </w:instrText>
          </w:r>
          <w:r w:rsidR="00192DB8">
            <w:rPr>
              <w:noProof/>
            </w:rPr>
            <w:instrText>Heading1</w:instrText>
          </w:r>
          <w:r>
            <w:fldChar w:fldCharType="end"/>
          </w:r>
          <w:r w:rsidRPr="006A333C">
            <w:fldChar w:fldCharType="separate"/>
          </w:r>
          <w:r w:rsidR="00192DB8">
            <w:rPr>
              <w:b/>
              <w:bCs/>
              <w:noProof/>
              <w:lang w:val="en-US"/>
            </w:rPr>
            <w:t>Error! No text of specified style in document.</w:t>
          </w:r>
          <w:r w:rsidR="00192DB8" w:rsidRPr="0011015E">
            <w:rPr>
              <w:noProof/>
            </w:rPr>
            <w:t> </w:t>
          </w:r>
          <w:r w:rsidR="00192DB8" w:rsidRPr="0011015E">
            <w:rPr>
              <w:noProof/>
            </w:rPr>
            <w:t>|</w:t>
          </w:r>
          <w:r w:rsidR="00192DB8" w:rsidRPr="0011015E">
            <w:rPr>
              <w:noProof/>
            </w:rPr>
            <w:t> </w:t>
          </w:r>
          <w:r w:rsidR="00192DB8">
            <w:rPr>
              <w:noProof/>
            </w:rPr>
            <w:t>Heading1</w:t>
          </w:r>
          <w:r w:rsidRPr="006A333C">
            <w:fldChar w:fldCharType="end"/>
          </w:r>
        </w:p>
      </w:tc>
    </w:tr>
  </w:tbl>
  <w:p w14:paraId="442DFB1F" w14:textId="77777777" w:rsidR="0083459B" w:rsidRDefault="0083459B" w:rsidP="001C6E40">
    <w:pPr>
      <w:pStyle w:val="1ptspacer"/>
      <w:rPr>
        <w:noProof/>
      </w:rPr>
    </w:pPr>
    <w:r>
      <w:rPr>
        <w:noProof/>
      </w:rPr>
      <mc:AlternateContent>
        <mc:Choice Requires="wps">
          <w:drawing>
            <wp:anchor distT="0" distB="0" distL="114300" distR="114300" simplePos="0" relativeHeight="251658242" behindDoc="1" locked="0" layoutInCell="1" allowOverlap="1" wp14:anchorId="3D4934FC" wp14:editId="3C827745">
              <wp:simplePos x="0" y="0"/>
              <wp:positionH relativeFrom="column">
                <wp:align>left</wp:align>
              </wp:positionH>
              <wp:positionV relativeFrom="page">
                <wp:posOffset>1944370</wp:posOffset>
              </wp:positionV>
              <wp:extent cx="6479640" cy="143640"/>
              <wp:effectExtent l="0" t="0" r="0" b="8890"/>
              <wp:wrapNone/>
              <wp:docPr id="114" name="Rectangle 114"/>
              <wp:cNvGraphicFramePr/>
              <a:graphic xmlns:a="http://schemas.openxmlformats.org/drawingml/2006/main">
                <a:graphicData uri="http://schemas.microsoft.com/office/word/2010/wordprocessingShape">
                  <wps:wsp>
                    <wps:cNvSpPr/>
                    <wps:spPr>
                      <a:xfrm>
                        <a:off x="0" y="0"/>
                        <a:ext cx="6479640" cy="143640"/>
                      </a:xfrm>
                      <a:prstGeom prst="rect">
                        <a:avLst/>
                      </a:prstGeom>
                      <a:solidFill>
                        <a:schemeClr val="bg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E7678"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934FC" id="Rectangle 114" o:spid="_x0000_s1026" style="position:absolute;margin-left:0;margin-top:153.1pt;width:510.2pt;height:11.3pt;z-index:-251658238;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" fillcolor="white [3212]" stroked="f" strokeweight=".5pt">
              <v:textbox>
                <w:txbxContent>
                  <w:p w14:paraId="5CDE7678" w14:textId="77777777" w:rsidR="00864160" w:rsidRDefault="00864160" w:rsidP="00864160">
                    <w:pPr>
                      <w:jc w:val="center"/>
                    </w:pPr>
                  </w:p>
                </w:txbxContent>
              </v:textbox>
              <w10:wrap anchory="page"/>
            </v:rect>
          </w:pict>
        </mc:Fallback>
      </mc:AlternateContent>
    </w:r>
    <w:r>
      <w:rPr>
        <w:noProof/>
      </w:rPr>
      <mc:AlternateContent>
        <mc:Choice Requires="wps">
          <w:drawing>
            <wp:anchor distT="0" distB="0" distL="114300" distR="114300" simplePos="0" relativeHeight="251658240" behindDoc="1" locked="0" layoutInCell="1" allowOverlap="1" wp14:anchorId="74267618" wp14:editId="028D635E">
              <wp:simplePos x="0" y="0"/>
              <wp:positionH relativeFrom="page">
                <wp:posOffset>0</wp:posOffset>
              </wp:positionH>
              <wp:positionV relativeFrom="page">
                <wp:posOffset>0</wp:posOffset>
              </wp:positionV>
              <wp:extent cx="7595870" cy="10727690"/>
              <wp:effectExtent l="0" t="0" r="5080" b="0"/>
              <wp:wrapNone/>
              <wp:docPr id="115" name="Rectangle 115"/>
              <wp:cNvGraphicFramePr/>
              <a:graphic xmlns:a="http://schemas.openxmlformats.org/drawingml/2006/main">
                <a:graphicData uri="http://schemas.microsoft.com/office/word/2010/wordprocessingShape">
                  <wps:wsp>
                    <wps:cNvSpPr/>
                    <wps:spPr>
                      <a:xfrm>
                        <a:off x="0" y="0"/>
                        <a:ext cx="7595870" cy="10727690"/>
                      </a:xfrm>
                      <a:prstGeom prst="rect">
                        <a:avLst/>
                      </a:prstGeom>
                      <a:solidFill>
                        <a:srgbClr val="DAEBF1"/>
                      </a:solidFill>
                      <a:ln w="6350" cap="flat" cmpd="sng" algn="ctr">
                        <a:noFill/>
                        <a:prstDash val="solid"/>
                      </a:ln>
                      <a:effectLst/>
                      <a:extLst>
                        <a:ext uri="{91240B29-F687-4F45-9708-019B960494DF}">
                          <a14:hiddenLine xmlns:a14="http://schemas.microsoft.com/office/drawing/2010/main" w="6350" cap="flat" cmpd="sng" algn="ctr">
                            <a:solidFill>
                              <a:schemeClr val="accent1">
                                <a:shade val="50000"/>
                              </a:schemeClr>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3D4F9420"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67618" id="Rectangle 115" o:spid="_x0000_s1027" style="position:absolute;margin-left:0;margin-top:0;width:598.1pt;height:844.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" fillcolor="#daebf1" stroked="f" strokecolor="#75000b [1604]" strokeweight=".5pt">
              <v:textbox>
                <w:txbxContent>
                  <w:p w14:paraId="3D4F9420" w14:textId="77777777" w:rsidR="00864160" w:rsidRDefault="00864160" w:rsidP="00864160">
                    <w:pPr>
                      <w:jc w:val="center"/>
                    </w:pPr>
                  </w:p>
                </w:txbxContent>
              </v:textbox>
              <w10:wrap anchorx="page" anchory="page"/>
            </v:rect>
          </w:pict>
        </mc:Fallback>
      </mc:AlternateContent>
    </w:r>
    <w:r>
      <w:rPr>
        <w:noProof/>
      </w:rPr>
      <mc:AlternateContent>
        <mc:Choice Requires="wps">
          <w:drawing>
            <wp:anchor distT="0" distB="0" distL="114300" distR="114300" simplePos="0" relativeHeight="251658241" behindDoc="1" locked="0" layoutInCell="1" allowOverlap="1" wp14:anchorId="0529CF50" wp14:editId="3002F274">
              <wp:simplePos x="0" y="0"/>
              <wp:positionH relativeFrom="column">
                <wp:posOffset>360045</wp:posOffset>
              </wp:positionH>
              <wp:positionV relativeFrom="page">
                <wp:posOffset>1674495</wp:posOffset>
              </wp:positionV>
              <wp:extent cx="1620000" cy="71640"/>
              <wp:effectExtent l="0" t="0" r="0" b="5080"/>
              <wp:wrapNone/>
              <wp:docPr id="116" name="Rectangle 116"/>
              <wp:cNvGraphicFramePr/>
              <a:graphic xmlns:a="http://schemas.openxmlformats.org/drawingml/2006/main">
                <a:graphicData uri="http://schemas.microsoft.com/office/word/2010/wordprocessingShape">
                  <wps:wsp>
                    <wps:cNvSpPr/>
                    <wps:spPr>
                      <a:xfrm>
                        <a:off x="0" y="0"/>
                        <a:ext cx="1620000" cy="71640"/>
                      </a:xfrm>
                      <a:prstGeom prst="rect">
                        <a:avLst/>
                      </a:prstGeom>
                      <a:solidFill>
                        <a:schemeClr val="accent1"/>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8D00A" w14:textId="77777777" w:rsidR="00864160" w:rsidRDefault="00864160" w:rsidP="008641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9CF50" id="Rectangle 116" o:spid="_x0000_s1028" style="position:absolute;margin-left:28.35pt;margin-top:131.85pt;width:127.55pt;height:5.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" fillcolor="#eb0017 [3204]" stroked="f" strokeweight=".5pt">
              <v:textbox>
                <w:txbxContent>
                  <w:p w14:paraId="5E68D00A" w14:textId="77777777" w:rsidR="00864160" w:rsidRDefault="00864160" w:rsidP="00864160">
                    <w:pPr>
                      <w:jc w:val="center"/>
                    </w:pPr>
                  </w:p>
                </w:txbxContent>
              </v:textbox>
              <w10:wrap anchory="page"/>
            </v:rect>
          </w:pict>
        </mc:Fallback>
      </mc:AlternateContent>
    </w:r>
  </w:p>
  <w:tbl>
    <w:tblPr>
      <w:tblStyle w:val="Plain"/>
      <w:tblpPr w:leftFromText="181" w:rightFromText="181" w:vertAnchor="page" w:tblpY="2723"/>
      <w:tblW w:w="10206" w:type="dxa"/>
      <w:shd w:val="clear" w:color="auto" w:fill="FFFFFF" w:themeFill="background1"/>
      <w:tblLook w:val="04A0" w:firstRow="1" w:lastRow="0" w:firstColumn="1" w:lastColumn="0" w:noHBand="0" w:noVBand="1"/>
    </w:tblPr>
    <w:tblGrid>
      <w:gridCol w:w="10206"/>
    </w:tblGrid>
    <w:tr w:rsidR="0083459B" w14:paraId="46E021F0" w14:textId="77777777" w:rsidTr="001C6E40">
      <w:trPr>
        <w:trHeight w:hRule="exact" w:val="454"/>
      </w:trPr>
      <w:tc>
        <w:tcPr>
          <w:tcW w:w="6689" w:type="dxa"/>
          <w:shd w:val="clear" w:color="auto" w:fill="FFFFFF" w:themeFill="background1"/>
        </w:tcPr>
        <w:p w14:paraId="3307A20A" w14:textId="77777777" w:rsidR="0083459B" w:rsidRDefault="0083459B" w:rsidP="001C6E40">
          <w:pPr>
            <w:pStyle w:val="1ptspacer"/>
          </w:pPr>
        </w:p>
      </w:tc>
    </w:tr>
  </w:tbl>
  <w:p w14:paraId="1F82D8E5" w14:textId="77777777" w:rsidR="0083459B" w:rsidRPr="000B6549" w:rsidRDefault="0083459B" w:rsidP="001C6E40">
    <w:pPr>
      <w:pStyle w:val="1pt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B58E0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00CB6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444C4C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54E4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29079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08E12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1EFF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C3B6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10A123D"/>
    <w:multiLevelType w:val="hybridMultilevel"/>
    <w:tmpl w:val="7010A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1BD5B6A"/>
    <w:multiLevelType w:val="hybridMultilevel"/>
    <w:tmpl w:val="3A02DA8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AE61A9"/>
    <w:multiLevelType w:val="hybridMultilevel"/>
    <w:tmpl w:val="41B65B86"/>
    <w:lvl w:ilvl="0" w:tplc="D54ED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556A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4CC3A8C"/>
    <w:multiLevelType w:val="hybridMultilevel"/>
    <w:tmpl w:val="D6A4DA28"/>
    <w:lvl w:ilvl="0" w:tplc="0C5A4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096409"/>
    <w:multiLevelType w:val="hybridMultilevel"/>
    <w:tmpl w:val="7DC4263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87188A"/>
    <w:multiLevelType w:val="hybridMultilevel"/>
    <w:tmpl w:val="79762CB8"/>
    <w:lvl w:ilvl="0" w:tplc="80526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B670B4"/>
    <w:multiLevelType w:val="hybridMultilevel"/>
    <w:tmpl w:val="52E0D4A2"/>
    <w:lvl w:ilvl="0" w:tplc="5A74B0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357E3F"/>
    <w:multiLevelType w:val="multilevel"/>
    <w:tmpl w:val="99B06408"/>
    <w:styleLink w:val="ListNumbers"/>
    <w:lvl w:ilvl="0">
      <w:start w:val="1"/>
      <w:numFmt w:val="decimal"/>
      <w:pStyle w:val="ListNumber"/>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none"/>
      <w:lvlText w:val=""/>
      <w:lvlJc w:val="left"/>
      <w:pPr>
        <w:ind w:left="1360" w:hanging="340"/>
      </w:pPr>
      <w:rPr>
        <w:rFonts w:hint="default"/>
      </w:rPr>
    </w:lvl>
    <w:lvl w:ilvl="4">
      <w:start w:val="1"/>
      <w:numFmt w:val="none"/>
      <w:lvlText w:val="%5"/>
      <w:lvlJc w:val="left"/>
      <w:pPr>
        <w:ind w:left="1700" w:hanging="340"/>
      </w:pPr>
      <w:rPr>
        <w:rFonts w:hint="default"/>
      </w:rPr>
    </w:lvl>
    <w:lvl w:ilvl="5">
      <w:start w:val="1"/>
      <w:numFmt w:val="none"/>
      <w:lvlText w:val=""/>
      <w:lvlJc w:val="left"/>
      <w:pPr>
        <w:ind w:left="2040" w:hanging="340"/>
      </w:pPr>
      <w:rPr>
        <w:rFonts w:hint="default"/>
      </w:rPr>
    </w:lvl>
    <w:lvl w:ilvl="6">
      <w:start w:val="1"/>
      <w:numFmt w:val="none"/>
      <w:lvlText w:val="%7"/>
      <w:lvlJc w:val="left"/>
      <w:pPr>
        <w:ind w:left="2380" w:hanging="340"/>
      </w:pPr>
      <w:rPr>
        <w:rFonts w:hint="default"/>
      </w:rPr>
    </w:lvl>
    <w:lvl w:ilvl="7">
      <w:start w:val="1"/>
      <w:numFmt w:val="none"/>
      <w:lvlText w:val=""/>
      <w:lvlJc w:val="left"/>
      <w:pPr>
        <w:ind w:left="2720" w:hanging="340"/>
      </w:pPr>
      <w:rPr>
        <w:rFonts w:hint="default"/>
      </w:rPr>
    </w:lvl>
    <w:lvl w:ilvl="8">
      <w:start w:val="1"/>
      <w:numFmt w:val="none"/>
      <w:lvlText w:val=""/>
      <w:lvlJc w:val="left"/>
      <w:pPr>
        <w:ind w:left="3060" w:hanging="340"/>
      </w:pPr>
      <w:rPr>
        <w:rFonts w:hint="default"/>
      </w:rPr>
    </w:lvl>
  </w:abstractNum>
  <w:abstractNum w:abstractNumId="17" w15:restartNumberingAfterBreak="0">
    <w:nsid w:val="0845659A"/>
    <w:multiLevelType w:val="hybridMultilevel"/>
    <w:tmpl w:val="3B48B9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96A4AC9"/>
    <w:multiLevelType w:val="hybridMultilevel"/>
    <w:tmpl w:val="9596068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9A35B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09A81D08"/>
    <w:multiLevelType w:val="hybridMultilevel"/>
    <w:tmpl w:val="E53A6E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A4F2DEC"/>
    <w:multiLevelType w:val="hybridMultilevel"/>
    <w:tmpl w:val="49A82742"/>
    <w:lvl w:ilvl="0" w:tplc="9A2C02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5A3D90"/>
    <w:multiLevelType w:val="hybridMultilevel"/>
    <w:tmpl w:val="FE080ABA"/>
    <w:lvl w:ilvl="0" w:tplc="93EA01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AA3BD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0C2B10DC"/>
    <w:multiLevelType w:val="hybridMultilevel"/>
    <w:tmpl w:val="C8D88A5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CE84080"/>
    <w:multiLevelType w:val="multilevel"/>
    <w:tmpl w:val="3AA4F77A"/>
    <w:styleLink w:val="AppendixNumbers"/>
    <w:lvl w:ilvl="0">
      <w:start w:val="1"/>
      <w:numFmt w:val="upperLetter"/>
      <w:pStyle w:val="Appendix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10ED163C"/>
    <w:multiLevelType w:val="hybridMultilevel"/>
    <w:tmpl w:val="81FE78D8"/>
    <w:lvl w:ilvl="0" w:tplc="D0366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7574EE"/>
    <w:multiLevelType w:val="hybridMultilevel"/>
    <w:tmpl w:val="2AAC856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F750E9"/>
    <w:multiLevelType w:val="hybridMultilevel"/>
    <w:tmpl w:val="5682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362B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13375CCA"/>
    <w:multiLevelType w:val="hybridMultilevel"/>
    <w:tmpl w:val="7BEA28B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7109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138B6539"/>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13BF2C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13C47BE3"/>
    <w:multiLevelType w:val="hybridMultilevel"/>
    <w:tmpl w:val="0458E00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5DA77A0"/>
    <w:multiLevelType w:val="multilevel"/>
    <w:tmpl w:val="77242D70"/>
    <w:numStyleLink w:val="NotesNumbers"/>
  </w:abstractNum>
  <w:abstractNum w:abstractNumId="36" w15:restartNumberingAfterBreak="0">
    <w:nsid w:val="18204780"/>
    <w:multiLevelType w:val="multilevel"/>
    <w:tmpl w:val="77242D70"/>
    <w:styleLink w:val="NotesNumbers"/>
    <w:lvl w:ilvl="0">
      <w:start w:val="1"/>
      <w:numFmt w:val="decimal"/>
      <w:pStyle w:val="NotesNumber"/>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7" w15:restartNumberingAfterBreak="0">
    <w:nsid w:val="18CB4C58"/>
    <w:multiLevelType w:val="multilevel"/>
    <w:tmpl w:val="D4E85914"/>
    <w:numStyleLink w:val="NotesBullets"/>
  </w:abstractNum>
  <w:abstractNum w:abstractNumId="38" w15:restartNumberingAfterBreak="0">
    <w:nsid w:val="18FB7F70"/>
    <w:multiLevelType w:val="hybridMultilevel"/>
    <w:tmpl w:val="86BA12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93701DE"/>
    <w:multiLevelType w:val="hybridMultilevel"/>
    <w:tmpl w:val="8F6A4528"/>
    <w:lvl w:ilvl="0" w:tplc="081EA0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99C3CEC"/>
    <w:multiLevelType w:val="hybridMultilevel"/>
    <w:tmpl w:val="31D4058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9EA61D7"/>
    <w:multiLevelType w:val="hybridMultilevel"/>
    <w:tmpl w:val="77F200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A322644"/>
    <w:multiLevelType w:val="hybridMultilevel"/>
    <w:tmpl w:val="7010A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DDF2B63"/>
    <w:multiLevelType w:val="hybridMultilevel"/>
    <w:tmpl w:val="575E4B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E6A71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1FB0538B"/>
    <w:multiLevelType w:val="hybridMultilevel"/>
    <w:tmpl w:val="189A287C"/>
    <w:lvl w:ilvl="0" w:tplc="DEB67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FE66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222F252B"/>
    <w:multiLevelType w:val="hybridMultilevel"/>
    <w:tmpl w:val="066A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F1355A"/>
    <w:multiLevelType w:val="multilevel"/>
    <w:tmpl w:val="99B06408"/>
    <w:numStyleLink w:val="ListNumbers"/>
  </w:abstractNum>
  <w:abstractNum w:abstractNumId="49" w15:restartNumberingAfterBreak="0">
    <w:nsid w:val="245D43A2"/>
    <w:multiLevelType w:val="hybridMultilevel"/>
    <w:tmpl w:val="C4B84BB0"/>
    <w:lvl w:ilvl="0" w:tplc="73B09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5D74EE"/>
    <w:multiLevelType w:val="hybridMultilevel"/>
    <w:tmpl w:val="FE7EE9A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E427AE"/>
    <w:multiLevelType w:val="hybridMultilevel"/>
    <w:tmpl w:val="02DC01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7674AC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2CE515B2"/>
    <w:multiLevelType w:val="multilevel"/>
    <w:tmpl w:val="5F5EFA82"/>
    <w:styleLink w:val="TOCBulletsMargin"/>
    <w:lvl w:ilvl="0">
      <w:start w:val="1"/>
      <w:numFmt w:val="bullet"/>
      <w:lvlRestart w:val="0"/>
      <w:lvlText w:val="•"/>
      <w:lvlJc w:val="left"/>
      <w:pPr>
        <w:ind w:left="170" w:hanging="170"/>
      </w:pPr>
      <w:rPr>
        <w:rFonts w:ascii="Arial" w:hAnsi="Arial" w:hint="default"/>
        <w:color w:val="EB0017" w:themeColor="accent1"/>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54" w15:restartNumberingAfterBreak="0">
    <w:nsid w:val="2E744B22"/>
    <w:multiLevelType w:val="hybridMultilevel"/>
    <w:tmpl w:val="69E02AFE"/>
    <w:lvl w:ilvl="0" w:tplc="A45E59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2F63C7"/>
    <w:multiLevelType w:val="hybridMultilevel"/>
    <w:tmpl w:val="157819B6"/>
    <w:lvl w:ilvl="0" w:tplc="9A16AA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75025E"/>
    <w:multiLevelType w:val="hybridMultilevel"/>
    <w:tmpl w:val="00C8473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B459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344E47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36267CC7"/>
    <w:multiLevelType w:val="hybridMultilevel"/>
    <w:tmpl w:val="BE3A593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E32D15"/>
    <w:multiLevelType w:val="hybridMultilevel"/>
    <w:tmpl w:val="7670319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522DE1"/>
    <w:multiLevelType w:val="hybridMultilevel"/>
    <w:tmpl w:val="0896C26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B16694A"/>
    <w:multiLevelType w:val="hybridMultilevel"/>
    <w:tmpl w:val="86BA12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B881C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3B8B0A73"/>
    <w:multiLevelType w:val="hybridMultilevel"/>
    <w:tmpl w:val="3EF218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C3C1083"/>
    <w:multiLevelType w:val="hybridMultilevel"/>
    <w:tmpl w:val="322C0980"/>
    <w:lvl w:ilvl="0" w:tplc="800CC8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C652DA2"/>
    <w:multiLevelType w:val="hybridMultilevel"/>
    <w:tmpl w:val="EAF08B2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D534A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3E47681D"/>
    <w:multiLevelType w:val="hybridMultilevel"/>
    <w:tmpl w:val="02DC01E6"/>
    <w:lvl w:ilvl="0" w:tplc="764E08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9E63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41EE7A0F"/>
    <w:multiLevelType w:val="hybridMultilevel"/>
    <w:tmpl w:val="AA340BFA"/>
    <w:lvl w:ilvl="0" w:tplc="0FCC66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630FC2"/>
    <w:multiLevelType w:val="multilevel"/>
    <w:tmpl w:val="43625CA2"/>
    <w:styleLink w:val="ListBullets"/>
    <w:lvl w:ilvl="0">
      <w:start w:val="1"/>
      <w:numFmt w:val="bullet"/>
      <w:pStyle w:val="ListBullet"/>
      <w:lvlText w:val="•"/>
      <w:lvlJc w:val="left"/>
      <w:pPr>
        <w:ind w:left="227" w:hanging="227"/>
      </w:pPr>
      <w:rPr>
        <w:rFonts w:ascii="Calibri" w:hAnsi="Calibri" w:hint="default"/>
      </w:rPr>
    </w:lvl>
    <w:lvl w:ilvl="1">
      <w:start w:val="1"/>
      <w:numFmt w:val="bullet"/>
      <w:lvlText w:val="○"/>
      <w:lvlJc w:val="left"/>
      <w:pPr>
        <w:ind w:left="454" w:hanging="227"/>
      </w:pPr>
      <w:rPr>
        <w:rFonts w:ascii="Arial" w:hAnsi="Arial" w:hint="default"/>
      </w:rPr>
    </w:lvl>
    <w:lvl w:ilvl="2">
      <w:start w:val="1"/>
      <w:numFmt w:val="bullet"/>
      <w:lvlText w:val="—"/>
      <w:lvlJc w:val="left"/>
      <w:pPr>
        <w:ind w:left="681" w:hanging="227"/>
      </w:pPr>
      <w:rPr>
        <w:rFonts w:ascii="Helvetica Now Text" w:hAnsi="Helvetica Now Text" w:hint="default"/>
        <w:w w:val="80"/>
      </w:rPr>
    </w:lvl>
    <w:lvl w:ilvl="3">
      <w:start w:val="1"/>
      <w:numFmt w:val="bullet"/>
      <w:lvlText w:val="–"/>
      <w:lvlJc w:val="left"/>
      <w:pPr>
        <w:ind w:left="908" w:hanging="227"/>
      </w:pPr>
      <w:rPr>
        <w:rFonts w:ascii="Helvetica Now Text" w:hAnsi="Helvetica Now Text"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72" w15:restartNumberingAfterBreak="0">
    <w:nsid w:val="42E76CCF"/>
    <w:multiLevelType w:val="hybridMultilevel"/>
    <w:tmpl w:val="9606EE3A"/>
    <w:lvl w:ilvl="0" w:tplc="A28EA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01597B"/>
    <w:multiLevelType w:val="hybridMultilevel"/>
    <w:tmpl w:val="F46ED0E4"/>
    <w:lvl w:ilvl="0" w:tplc="E746EC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2C73AF"/>
    <w:multiLevelType w:val="hybridMultilevel"/>
    <w:tmpl w:val="9B5ECAB8"/>
    <w:lvl w:ilvl="0" w:tplc="4A7605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ED1A0A"/>
    <w:multiLevelType w:val="hybridMultilevel"/>
    <w:tmpl w:val="677EB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CF345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7" w15:restartNumberingAfterBreak="0">
    <w:nsid w:val="4FD036AC"/>
    <w:multiLevelType w:val="hybridMultilevel"/>
    <w:tmpl w:val="066A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1EA5415"/>
    <w:multiLevelType w:val="hybridMultilevel"/>
    <w:tmpl w:val="EF3A0AFA"/>
    <w:lvl w:ilvl="0" w:tplc="EF80A9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3337DC"/>
    <w:multiLevelType w:val="hybridMultilevel"/>
    <w:tmpl w:val="871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32E6049"/>
    <w:multiLevelType w:val="multilevel"/>
    <w:tmpl w:val="2258146E"/>
    <w:styleLink w:val="TOCBullets"/>
    <w:lvl w:ilvl="0">
      <w:start w:val="1"/>
      <w:numFmt w:val="bullet"/>
      <w:lvlText w:val="•"/>
      <w:lvlJc w:val="left"/>
      <w:pPr>
        <w:ind w:left="227" w:hanging="227"/>
      </w:pPr>
      <w:rPr>
        <w:rFonts w:ascii="Calibri" w:hAnsi="Calibri" w:hint="default"/>
      </w:rPr>
    </w:lvl>
    <w:lvl w:ilvl="1">
      <w:start w:val="1"/>
      <w:numFmt w:val="none"/>
      <w:lvlText w:val=""/>
      <w:lvlJc w:val="left"/>
      <w:pPr>
        <w:ind w:left="170" w:hanging="170"/>
      </w:pPr>
      <w:rPr>
        <w:rFonts w:hint="default"/>
      </w:rPr>
    </w:lvl>
    <w:lvl w:ilvl="2">
      <w:start w:val="1"/>
      <w:numFmt w:val="none"/>
      <w:lvlText w:val=""/>
      <w:lvlJc w:val="left"/>
      <w:pPr>
        <w:ind w:left="170" w:hanging="170"/>
      </w:pPr>
      <w:rPr>
        <w:rFonts w:hint="default"/>
      </w:rPr>
    </w:lvl>
    <w:lvl w:ilvl="3">
      <w:start w:val="1"/>
      <w:numFmt w:val="none"/>
      <w:lvlText w:val=""/>
      <w:lvlJc w:val="left"/>
      <w:pPr>
        <w:ind w:left="170" w:hanging="170"/>
      </w:pPr>
      <w:rPr>
        <w:rFonts w:hint="default"/>
      </w:rPr>
    </w:lvl>
    <w:lvl w:ilvl="4">
      <w:start w:val="1"/>
      <w:numFmt w:val="none"/>
      <w:lvlText w:val=""/>
      <w:lvlJc w:val="left"/>
      <w:pPr>
        <w:ind w:left="170" w:hanging="170"/>
      </w:pPr>
      <w:rPr>
        <w:rFonts w:hint="default"/>
      </w:rPr>
    </w:lvl>
    <w:lvl w:ilvl="5">
      <w:start w:val="1"/>
      <w:numFmt w:val="none"/>
      <w:lvlText w:val=""/>
      <w:lvlJc w:val="left"/>
      <w:pPr>
        <w:ind w:left="170" w:hanging="170"/>
      </w:pPr>
      <w:rPr>
        <w:rFonts w:hint="default"/>
      </w:rPr>
    </w:lvl>
    <w:lvl w:ilvl="6">
      <w:start w:val="1"/>
      <w:numFmt w:val="none"/>
      <w:lvlText w:val=""/>
      <w:lvlJc w:val="left"/>
      <w:pPr>
        <w:ind w:left="170" w:hanging="170"/>
      </w:pPr>
      <w:rPr>
        <w:rFonts w:hint="default"/>
      </w:rPr>
    </w:lvl>
    <w:lvl w:ilvl="7">
      <w:start w:val="1"/>
      <w:numFmt w:val="none"/>
      <w:lvlText w:val=""/>
      <w:lvlJc w:val="left"/>
      <w:pPr>
        <w:ind w:left="170" w:hanging="170"/>
      </w:pPr>
      <w:rPr>
        <w:rFonts w:hint="default"/>
      </w:rPr>
    </w:lvl>
    <w:lvl w:ilvl="8">
      <w:start w:val="1"/>
      <w:numFmt w:val="none"/>
      <w:lvlText w:val=""/>
      <w:lvlJc w:val="left"/>
      <w:pPr>
        <w:ind w:left="170" w:hanging="170"/>
      </w:pPr>
      <w:rPr>
        <w:rFonts w:hint="default"/>
      </w:rPr>
    </w:lvl>
  </w:abstractNum>
  <w:abstractNum w:abstractNumId="81" w15:restartNumberingAfterBreak="0">
    <w:nsid w:val="540F0497"/>
    <w:multiLevelType w:val="hybridMultilevel"/>
    <w:tmpl w:val="4AE83C2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450425A"/>
    <w:multiLevelType w:val="hybridMultilevel"/>
    <w:tmpl w:val="4C98CB4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4A1FA1"/>
    <w:multiLevelType w:val="multilevel"/>
    <w:tmpl w:val="D63EAEBA"/>
    <w:styleLink w:val="DividerNumbers"/>
    <w:lvl w:ilvl="0">
      <w:start w:val="1"/>
      <w:numFmt w:val="decimal"/>
      <w:pStyle w:val="DividerNumber"/>
      <w:suff w:val="nothing"/>
      <w:lvlText w:val="%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4" w15:restartNumberingAfterBreak="0">
    <w:nsid w:val="5770288F"/>
    <w:multiLevelType w:val="hybridMultilevel"/>
    <w:tmpl w:val="9A3C5A1C"/>
    <w:lvl w:ilvl="0" w:tplc="4AF87C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8992C06"/>
    <w:multiLevelType w:val="hybridMultilevel"/>
    <w:tmpl w:val="066A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58BC6536"/>
    <w:multiLevelType w:val="hybridMultilevel"/>
    <w:tmpl w:val="BB5A02E2"/>
    <w:lvl w:ilvl="0" w:tplc="1F8A7A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9C769AE"/>
    <w:multiLevelType w:val="hybridMultilevel"/>
    <w:tmpl w:val="81A05D70"/>
    <w:lvl w:ilvl="0" w:tplc="03A054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A750954"/>
    <w:multiLevelType w:val="hybridMultilevel"/>
    <w:tmpl w:val="9426E7D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9302BE"/>
    <w:multiLevelType w:val="hybridMultilevel"/>
    <w:tmpl w:val="D12C3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DEC6DD1"/>
    <w:multiLevelType w:val="hybridMultilevel"/>
    <w:tmpl w:val="02DC01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E4829DE"/>
    <w:multiLevelType w:val="hybridMultilevel"/>
    <w:tmpl w:val="77F200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CD3BB9"/>
    <w:multiLevelType w:val="hybridMultilevel"/>
    <w:tmpl w:val="BBBA776C"/>
    <w:lvl w:ilvl="0" w:tplc="1D103E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F0D533B"/>
    <w:multiLevelType w:val="hybridMultilevel"/>
    <w:tmpl w:val="B79A1D0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FA2251E"/>
    <w:multiLevelType w:val="hybridMultilevel"/>
    <w:tmpl w:val="C2FCF09C"/>
    <w:lvl w:ilvl="0" w:tplc="DC960D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0E91989"/>
    <w:multiLevelType w:val="hybridMultilevel"/>
    <w:tmpl w:val="CF92D470"/>
    <w:lvl w:ilvl="0" w:tplc="F5B840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2250408"/>
    <w:multiLevelType w:val="hybridMultilevel"/>
    <w:tmpl w:val="7332A758"/>
    <w:lvl w:ilvl="0" w:tplc="50B47D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4E5768D"/>
    <w:multiLevelType w:val="hybridMultilevel"/>
    <w:tmpl w:val="FFDC3D8A"/>
    <w:lvl w:ilvl="0" w:tplc="0B2E1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54022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 w15:restartNumberingAfterBreak="0">
    <w:nsid w:val="654C559E"/>
    <w:multiLevelType w:val="hybridMultilevel"/>
    <w:tmpl w:val="330E1E9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65872D04"/>
    <w:multiLevelType w:val="hybridMultilevel"/>
    <w:tmpl w:val="89AC082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63E23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2" w15:restartNumberingAfterBreak="0">
    <w:nsid w:val="67C25831"/>
    <w:multiLevelType w:val="hybridMultilevel"/>
    <w:tmpl w:val="C9C8B830"/>
    <w:lvl w:ilvl="0" w:tplc="329CE1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7C7027E"/>
    <w:multiLevelType w:val="hybridMultilevel"/>
    <w:tmpl w:val="3B48B9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69647A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5" w15:restartNumberingAfterBreak="0">
    <w:nsid w:val="697C14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b w:val="0"/>
        <w:bCs w:val="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6" w15:restartNumberingAfterBreak="0">
    <w:nsid w:val="6AA05B98"/>
    <w:multiLevelType w:val="hybridMultilevel"/>
    <w:tmpl w:val="1C461AB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C7F1A34"/>
    <w:multiLevelType w:val="hybridMultilevel"/>
    <w:tmpl w:val="2A8EF8F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D8131A1"/>
    <w:multiLevelType w:val="hybridMultilevel"/>
    <w:tmpl w:val="2750A7CA"/>
    <w:lvl w:ilvl="0" w:tplc="3D50A1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DA77B04"/>
    <w:multiLevelType w:val="hybridMultilevel"/>
    <w:tmpl w:val="8FBE0F76"/>
    <w:lvl w:ilvl="0" w:tplc="59605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EF502DA"/>
    <w:multiLevelType w:val="hybridMultilevel"/>
    <w:tmpl w:val="6FAC8D24"/>
    <w:lvl w:ilvl="0" w:tplc="F63E59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3BD76CA"/>
    <w:multiLevelType w:val="hybridMultilevel"/>
    <w:tmpl w:val="46E8A26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5E514FA"/>
    <w:multiLevelType w:val="multilevel"/>
    <w:tmpl w:val="D4E85914"/>
    <w:styleLink w:val="NotesBullets"/>
    <w:lvl w:ilvl="0">
      <w:start w:val="1"/>
      <w:numFmt w:val="bullet"/>
      <w:lvlRestart w:val="0"/>
      <w:pStyle w:val="NotesBullet"/>
      <w:lvlText w:val="•"/>
      <w:lvlJc w:val="left"/>
      <w:pPr>
        <w:ind w:left="227" w:hanging="227"/>
      </w:pPr>
      <w:rPr>
        <w:rFonts w:ascii="Calibri" w:hAnsi="Calibri" w:hint="default"/>
      </w:rPr>
    </w:lvl>
    <w:lvl w:ilvl="1">
      <w:start w:val="1"/>
      <w:numFmt w:val="none"/>
      <w:lvlText w:val=""/>
      <w:lvlJc w:val="left"/>
      <w:pPr>
        <w:ind w:left="340" w:hanging="170"/>
      </w:pPr>
      <w:rPr>
        <w:rFonts w:hint="default"/>
      </w:rPr>
    </w:lvl>
    <w:lvl w:ilvl="2">
      <w:start w:val="1"/>
      <w:numFmt w:val="none"/>
      <w:lvlText w:val=""/>
      <w:lvlJc w:val="left"/>
      <w:pPr>
        <w:ind w:left="510" w:hanging="170"/>
      </w:pPr>
      <w:rPr>
        <w:rFonts w:hint="default"/>
      </w:rPr>
    </w:lvl>
    <w:lvl w:ilvl="3">
      <w:start w:val="1"/>
      <w:numFmt w:val="none"/>
      <w:lvlText w:val=""/>
      <w:lvlJc w:val="left"/>
      <w:pPr>
        <w:ind w:left="680" w:hanging="170"/>
      </w:pPr>
      <w:rPr>
        <w:rFonts w:hint="default"/>
      </w:rPr>
    </w:lvl>
    <w:lvl w:ilvl="4">
      <w:start w:val="1"/>
      <w:numFmt w:val="none"/>
      <w:lvlText w:val=""/>
      <w:lvlJc w:val="left"/>
      <w:pPr>
        <w:ind w:left="850" w:hanging="170"/>
      </w:pPr>
      <w:rPr>
        <w:rFonts w:hint="default"/>
      </w:rPr>
    </w:lvl>
    <w:lvl w:ilvl="5">
      <w:start w:val="1"/>
      <w:numFmt w:val="none"/>
      <w:lvlText w:val=""/>
      <w:lvlJc w:val="left"/>
      <w:pPr>
        <w:ind w:left="1020" w:hanging="170"/>
      </w:pPr>
      <w:rPr>
        <w:rFonts w:hint="default"/>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113" w15:restartNumberingAfterBreak="0">
    <w:nsid w:val="7629550A"/>
    <w:multiLevelType w:val="hybridMultilevel"/>
    <w:tmpl w:val="6A2C9EC6"/>
    <w:lvl w:ilvl="0" w:tplc="E4B48D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6E91906"/>
    <w:multiLevelType w:val="hybridMultilevel"/>
    <w:tmpl w:val="A5D21C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8C45A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6" w15:restartNumberingAfterBreak="0">
    <w:nsid w:val="7BCA5575"/>
    <w:multiLevelType w:val="hybridMultilevel"/>
    <w:tmpl w:val="B8F88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BF40ECD"/>
    <w:multiLevelType w:val="hybridMultilevel"/>
    <w:tmpl w:val="49E41F3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C423E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9" w15:restartNumberingAfterBreak="0">
    <w:nsid w:val="7DED53AA"/>
    <w:multiLevelType w:val="hybridMultilevel"/>
    <w:tmpl w:val="60841E4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E223091"/>
    <w:multiLevelType w:val="hybridMultilevel"/>
    <w:tmpl w:val="9146A888"/>
    <w:lvl w:ilvl="0" w:tplc="BFCA36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942671">
    <w:abstractNumId w:val="71"/>
  </w:num>
  <w:num w:numId="2" w16cid:durableId="1605768936">
    <w:abstractNumId w:val="16"/>
  </w:num>
  <w:num w:numId="3" w16cid:durableId="1772776902">
    <w:abstractNumId w:val="112"/>
  </w:num>
  <w:num w:numId="4" w16cid:durableId="223878448">
    <w:abstractNumId w:val="36"/>
  </w:num>
  <w:num w:numId="5" w16cid:durableId="9111065">
    <w:abstractNumId w:val="80"/>
  </w:num>
  <w:num w:numId="6" w16cid:durableId="653139779">
    <w:abstractNumId w:val="53"/>
  </w:num>
  <w:num w:numId="7" w16cid:durableId="1916743626">
    <w:abstractNumId w:val="52"/>
  </w:num>
  <w:num w:numId="8" w16cid:durableId="279146520">
    <w:abstractNumId w:val="32"/>
  </w:num>
  <w:num w:numId="9" w16cid:durableId="169762827">
    <w:abstractNumId w:val="23"/>
  </w:num>
  <w:num w:numId="10" w16cid:durableId="1673557662">
    <w:abstractNumId w:val="83"/>
  </w:num>
  <w:num w:numId="11" w16cid:durableId="1244334960">
    <w:abstractNumId w:val="25"/>
  </w:num>
  <w:num w:numId="12" w16cid:durableId="1588265324">
    <w:abstractNumId w:val="25"/>
  </w:num>
  <w:num w:numId="13" w16cid:durableId="568879267">
    <w:abstractNumId w:val="83"/>
    <w:lvlOverride w:ilvl="0">
      <w:lvl w:ilvl="0">
        <w:start w:val="1"/>
        <w:numFmt w:val="decimal"/>
        <w:pStyle w:val="DividerNumber"/>
        <w:suff w:val="nothing"/>
        <w:lvlText w:val="%1"/>
        <w:lvlJc w:val="left"/>
        <w:pPr>
          <w:ind w:left="0" w:firstLine="0"/>
        </w:pPr>
        <w:rPr>
          <w:rFonts w:hint="default"/>
        </w:rPr>
      </w:lvl>
    </w:lvlOverride>
  </w:num>
  <w:num w:numId="14" w16cid:durableId="2096433136">
    <w:abstractNumId w:val="71"/>
  </w:num>
  <w:num w:numId="15" w16cid:durableId="617417432">
    <w:abstractNumId w:val="7"/>
  </w:num>
  <w:num w:numId="16" w16cid:durableId="1544978250">
    <w:abstractNumId w:val="6"/>
  </w:num>
  <w:num w:numId="17" w16cid:durableId="20861715">
    <w:abstractNumId w:val="5"/>
  </w:num>
  <w:num w:numId="18" w16cid:durableId="542905218">
    <w:abstractNumId w:val="4"/>
  </w:num>
  <w:num w:numId="19" w16cid:durableId="1788625886">
    <w:abstractNumId w:val="48"/>
  </w:num>
  <w:num w:numId="20" w16cid:durableId="596136056">
    <w:abstractNumId w:val="3"/>
  </w:num>
  <w:num w:numId="21" w16cid:durableId="1850101854">
    <w:abstractNumId w:val="2"/>
  </w:num>
  <w:num w:numId="22" w16cid:durableId="967205554">
    <w:abstractNumId w:val="1"/>
  </w:num>
  <w:num w:numId="23" w16cid:durableId="2117751179">
    <w:abstractNumId w:val="0"/>
  </w:num>
  <w:num w:numId="24" w16cid:durableId="631835039">
    <w:abstractNumId w:val="37"/>
  </w:num>
  <w:num w:numId="25" w16cid:durableId="1909530680">
    <w:abstractNumId w:val="35"/>
  </w:num>
  <w:num w:numId="26" w16cid:durableId="2046904836">
    <w:abstractNumId w:val="65"/>
  </w:num>
  <w:num w:numId="27" w16cid:durableId="723256546">
    <w:abstractNumId w:val="113"/>
  </w:num>
  <w:num w:numId="28" w16cid:durableId="254291110">
    <w:abstractNumId w:val="108"/>
  </w:num>
  <w:num w:numId="29" w16cid:durableId="459350370">
    <w:abstractNumId w:val="73"/>
  </w:num>
  <w:num w:numId="30" w16cid:durableId="346490552">
    <w:abstractNumId w:val="10"/>
  </w:num>
  <w:num w:numId="31" w16cid:durableId="1393307143">
    <w:abstractNumId w:val="92"/>
  </w:num>
  <w:num w:numId="32" w16cid:durableId="1367178862">
    <w:abstractNumId w:val="86"/>
  </w:num>
  <w:num w:numId="33" w16cid:durableId="790249265">
    <w:abstractNumId w:val="39"/>
  </w:num>
  <w:num w:numId="34" w16cid:durableId="164974421">
    <w:abstractNumId w:val="109"/>
  </w:num>
  <w:num w:numId="35" w16cid:durableId="304507845">
    <w:abstractNumId w:val="15"/>
  </w:num>
  <w:num w:numId="36" w16cid:durableId="899099942">
    <w:abstractNumId w:val="54"/>
  </w:num>
  <w:num w:numId="37" w16cid:durableId="1519731933">
    <w:abstractNumId w:val="12"/>
  </w:num>
  <w:num w:numId="38" w16cid:durableId="658583506">
    <w:abstractNumId w:val="72"/>
  </w:num>
  <w:num w:numId="39" w16cid:durableId="1194153143">
    <w:abstractNumId w:val="22"/>
  </w:num>
  <w:num w:numId="40" w16cid:durableId="1284800460">
    <w:abstractNumId w:val="87"/>
  </w:num>
  <w:num w:numId="41" w16cid:durableId="109521499">
    <w:abstractNumId w:val="74"/>
  </w:num>
  <w:num w:numId="42" w16cid:durableId="806820193">
    <w:abstractNumId w:val="120"/>
  </w:num>
  <w:num w:numId="43" w16cid:durableId="1037775967">
    <w:abstractNumId w:val="21"/>
  </w:num>
  <w:num w:numId="44" w16cid:durableId="628322794">
    <w:abstractNumId w:val="94"/>
  </w:num>
  <w:num w:numId="45" w16cid:durableId="642584036">
    <w:abstractNumId w:val="70"/>
  </w:num>
  <w:num w:numId="46" w16cid:durableId="1181047774">
    <w:abstractNumId w:val="84"/>
  </w:num>
  <w:num w:numId="47" w16cid:durableId="1796635514">
    <w:abstractNumId w:val="55"/>
  </w:num>
  <w:num w:numId="48" w16cid:durableId="452600017">
    <w:abstractNumId w:val="102"/>
  </w:num>
  <w:num w:numId="49" w16cid:durableId="1600605718">
    <w:abstractNumId w:val="26"/>
  </w:num>
  <w:num w:numId="50" w16cid:durableId="1776972815">
    <w:abstractNumId w:val="96"/>
  </w:num>
  <w:num w:numId="51" w16cid:durableId="1323393248">
    <w:abstractNumId w:val="14"/>
  </w:num>
  <w:num w:numId="52" w16cid:durableId="945187062">
    <w:abstractNumId w:val="45"/>
  </w:num>
  <w:num w:numId="53" w16cid:durableId="889224997">
    <w:abstractNumId w:val="95"/>
  </w:num>
  <w:num w:numId="54" w16cid:durableId="1117020029">
    <w:abstractNumId w:val="97"/>
  </w:num>
  <w:num w:numId="55" w16cid:durableId="1311640991">
    <w:abstractNumId w:val="68"/>
  </w:num>
  <w:num w:numId="56" w16cid:durableId="1853645054">
    <w:abstractNumId w:val="49"/>
  </w:num>
  <w:num w:numId="57" w16cid:durableId="2097241660">
    <w:abstractNumId w:val="110"/>
  </w:num>
  <w:num w:numId="58" w16cid:durableId="833686325">
    <w:abstractNumId w:val="90"/>
  </w:num>
  <w:num w:numId="59" w16cid:durableId="136266383">
    <w:abstractNumId w:val="51"/>
  </w:num>
  <w:num w:numId="60" w16cid:durableId="1921787187">
    <w:abstractNumId w:val="30"/>
  </w:num>
  <w:num w:numId="61" w16cid:durableId="33162851">
    <w:abstractNumId w:val="100"/>
  </w:num>
  <w:num w:numId="62" w16cid:durableId="1078592844">
    <w:abstractNumId w:val="59"/>
  </w:num>
  <w:num w:numId="63" w16cid:durableId="1904287632">
    <w:abstractNumId w:val="40"/>
  </w:num>
  <w:num w:numId="64" w16cid:durableId="788669563">
    <w:abstractNumId w:val="13"/>
  </w:num>
  <w:num w:numId="65" w16cid:durableId="57365643">
    <w:abstractNumId w:val="82"/>
  </w:num>
  <w:num w:numId="66" w16cid:durableId="1472821613">
    <w:abstractNumId w:val="9"/>
  </w:num>
  <w:num w:numId="67" w16cid:durableId="465777611">
    <w:abstractNumId w:val="111"/>
  </w:num>
  <w:num w:numId="68" w16cid:durableId="166092636">
    <w:abstractNumId w:val="117"/>
  </w:num>
  <w:num w:numId="69" w16cid:durableId="1014266194">
    <w:abstractNumId w:val="106"/>
  </w:num>
  <w:num w:numId="70" w16cid:durableId="69079232">
    <w:abstractNumId w:val="60"/>
  </w:num>
  <w:num w:numId="71" w16cid:durableId="301009613">
    <w:abstractNumId w:val="61"/>
  </w:num>
  <w:num w:numId="72" w16cid:durableId="672342465">
    <w:abstractNumId w:val="81"/>
  </w:num>
  <w:num w:numId="73" w16cid:durableId="1282108770">
    <w:abstractNumId w:val="107"/>
  </w:num>
  <w:num w:numId="74" w16cid:durableId="1984037980">
    <w:abstractNumId w:val="50"/>
  </w:num>
  <w:num w:numId="75" w16cid:durableId="775053808">
    <w:abstractNumId w:val="66"/>
  </w:num>
  <w:num w:numId="76" w16cid:durableId="186724083">
    <w:abstractNumId w:val="93"/>
  </w:num>
  <w:num w:numId="77" w16cid:durableId="703941286">
    <w:abstractNumId w:val="56"/>
  </w:num>
  <w:num w:numId="78" w16cid:durableId="1358458923">
    <w:abstractNumId w:val="24"/>
  </w:num>
  <w:num w:numId="79" w16cid:durableId="1387607054">
    <w:abstractNumId w:val="91"/>
  </w:num>
  <w:num w:numId="80" w16cid:durableId="830219720">
    <w:abstractNumId w:val="41"/>
  </w:num>
  <w:num w:numId="81" w16cid:durableId="849416898">
    <w:abstractNumId w:val="88"/>
  </w:num>
  <w:num w:numId="82" w16cid:durableId="1268466609">
    <w:abstractNumId w:val="119"/>
  </w:num>
  <w:num w:numId="83" w16cid:durableId="1537885385">
    <w:abstractNumId w:val="77"/>
  </w:num>
  <w:num w:numId="84" w16cid:durableId="305941740">
    <w:abstractNumId w:val="75"/>
  </w:num>
  <w:num w:numId="85" w16cid:durableId="892155442">
    <w:abstractNumId w:val="116"/>
  </w:num>
  <w:num w:numId="86" w16cid:durableId="269820158">
    <w:abstractNumId w:val="89"/>
  </w:num>
  <w:num w:numId="87" w16cid:durableId="261647351">
    <w:abstractNumId w:val="64"/>
  </w:num>
  <w:num w:numId="88" w16cid:durableId="240717879">
    <w:abstractNumId w:val="114"/>
  </w:num>
  <w:num w:numId="89" w16cid:durableId="1515535521">
    <w:abstractNumId w:val="42"/>
  </w:num>
  <w:num w:numId="90" w16cid:durableId="1622958191">
    <w:abstractNumId w:val="8"/>
  </w:num>
  <w:num w:numId="91" w16cid:durableId="1261572831">
    <w:abstractNumId w:val="28"/>
  </w:num>
  <w:num w:numId="92" w16cid:durableId="1957786797">
    <w:abstractNumId w:val="79"/>
  </w:num>
  <w:num w:numId="93" w16cid:durableId="1967350012">
    <w:abstractNumId w:val="78"/>
  </w:num>
  <w:num w:numId="94" w16cid:durableId="1290549748">
    <w:abstractNumId w:val="27"/>
  </w:num>
  <w:num w:numId="95" w16cid:durableId="1671592014">
    <w:abstractNumId w:val="105"/>
  </w:num>
  <w:num w:numId="96" w16cid:durableId="454376834">
    <w:abstractNumId w:val="98"/>
  </w:num>
  <w:num w:numId="97" w16cid:durableId="223613484">
    <w:abstractNumId w:val="85"/>
  </w:num>
  <w:num w:numId="98" w16cid:durableId="2119711330">
    <w:abstractNumId w:val="34"/>
  </w:num>
  <w:num w:numId="99" w16cid:durableId="1429153604">
    <w:abstractNumId w:val="43"/>
  </w:num>
  <w:num w:numId="100" w16cid:durableId="500196301">
    <w:abstractNumId w:val="18"/>
  </w:num>
  <w:num w:numId="101" w16cid:durableId="1152793797">
    <w:abstractNumId w:val="20"/>
  </w:num>
  <w:num w:numId="102" w16cid:durableId="379212660">
    <w:abstractNumId w:val="47"/>
  </w:num>
  <w:num w:numId="103" w16cid:durableId="1463961262">
    <w:abstractNumId w:val="103"/>
  </w:num>
  <w:num w:numId="104" w16cid:durableId="1680354112">
    <w:abstractNumId w:val="104"/>
  </w:num>
  <w:num w:numId="105" w16cid:durableId="1697848355">
    <w:abstractNumId w:val="33"/>
  </w:num>
  <w:num w:numId="106" w16cid:durableId="1073236329">
    <w:abstractNumId w:val="19"/>
  </w:num>
  <w:num w:numId="107" w16cid:durableId="243732597">
    <w:abstractNumId w:val="31"/>
  </w:num>
  <w:num w:numId="108" w16cid:durableId="423379755">
    <w:abstractNumId w:val="11"/>
  </w:num>
  <w:num w:numId="109" w16cid:durableId="159086417">
    <w:abstractNumId w:val="67"/>
  </w:num>
  <w:num w:numId="110" w16cid:durableId="2138989490">
    <w:abstractNumId w:val="17"/>
  </w:num>
  <w:num w:numId="111" w16cid:durableId="837580391">
    <w:abstractNumId w:val="29"/>
  </w:num>
  <w:num w:numId="112" w16cid:durableId="1079669670">
    <w:abstractNumId w:val="115"/>
  </w:num>
  <w:num w:numId="113" w16cid:durableId="729380827">
    <w:abstractNumId w:val="76"/>
  </w:num>
  <w:num w:numId="114" w16cid:durableId="1157500275">
    <w:abstractNumId w:val="58"/>
  </w:num>
  <w:num w:numId="115" w16cid:durableId="724448868">
    <w:abstractNumId w:val="101"/>
  </w:num>
  <w:num w:numId="116" w16cid:durableId="1928882454">
    <w:abstractNumId w:val="63"/>
  </w:num>
  <w:num w:numId="117" w16cid:durableId="913317363">
    <w:abstractNumId w:val="46"/>
  </w:num>
  <w:num w:numId="118" w16cid:durableId="2036535190">
    <w:abstractNumId w:val="62"/>
  </w:num>
  <w:num w:numId="119" w16cid:durableId="1632057020">
    <w:abstractNumId w:val="118"/>
  </w:num>
  <w:num w:numId="120" w16cid:durableId="1711415011">
    <w:abstractNumId w:val="57"/>
  </w:num>
  <w:num w:numId="121" w16cid:durableId="1334532183">
    <w:abstractNumId w:val="99"/>
  </w:num>
  <w:num w:numId="122" w16cid:durableId="1130443356">
    <w:abstractNumId w:val="38"/>
  </w:num>
  <w:num w:numId="123" w16cid:durableId="741487763">
    <w:abstractNumId w:val="44"/>
  </w:num>
  <w:num w:numId="124" w16cid:durableId="1511798722">
    <w:abstractNumId w:val="6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B8"/>
    <w:rsid w:val="00001BA9"/>
    <w:rsid w:val="000023CA"/>
    <w:rsid w:val="00003E59"/>
    <w:rsid w:val="000053B9"/>
    <w:rsid w:val="00005942"/>
    <w:rsid w:val="00007CB7"/>
    <w:rsid w:val="000103DC"/>
    <w:rsid w:val="000107E2"/>
    <w:rsid w:val="000155A6"/>
    <w:rsid w:val="00016036"/>
    <w:rsid w:val="000206D6"/>
    <w:rsid w:val="00020F9A"/>
    <w:rsid w:val="0002208E"/>
    <w:rsid w:val="0002282B"/>
    <w:rsid w:val="0002386A"/>
    <w:rsid w:val="00023BB7"/>
    <w:rsid w:val="00023BC3"/>
    <w:rsid w:val="000243B3"/>
    <w:rsid w:val="00024561"/>
    <w:rsid w:val="00026C24"/>
    <w:rsid w:val="00026F35"/>
    <w:rsid w:val="0002743D"/>
    <w:rsid w:val="00030CC1"/>
    <w:rsid w:val="000318F8"/>
    <w:rsid w:val="000324C4"/>
    <w:rsid w:val="000335A3"/>
    <w:rsid w:val="0003572A"/>
    <w:rsid w:val="00036D7E"/>
    <w:rsid w:val="00037FD5"/>
    <w:rsid w:val="0004008C"/>
    <w:rsid w:val="000400C9"/>
    <w:rsid w:val="0004195D"/>
    <w:rsid w:val="00041A19"/>
    <w:rsid w:val="00041F8D"/>
    <w:rsid w:val="00042425"/>
    <w:rsid w:val="00042A86"/>
    <w:rsid w:val="000430FD"/>
    <w:rsid w:val="000444F4"/>
    <w:rsid w:val="00044E90"/>
    <w:rsid w:val="00045FA1"/>
    <w:rsid w:val="000469B3"/>
    <w:rsid w:val="0004778D"/>
    <w:rsid w:val="00047C15"/>
    <w:rsid w:val="000500A2"/>
    <w:rsid w:val="00050FF2"/>
    <w:rsid w:val="00051592"/>
    <w:rsid w:val="00051BEC"/>
    <w:rsid w:val="00052060"/>
    <w:rsid w:val="0005237F"/>
    <w:rsid w:val="00052C90"/>
    <w:rsid w:val="0005410E"/>
    <w:rsid w:val="00054B8D"/>
    <w:rsid w:val="000556D7"/>
    <w:rsid w:val="00056D2D"/>
    <w:rsid w:val="0005769D"/>
    <w:rsid w:val="000577CE"/>
    <w:rsid w:val="00057B96"/>
    <w:rsid w:val="0006047C"/>
    <w:rsid w:val="00060481"/>
    <w:rsid w:val="000609C2"/>
    <w:rsid w:val="00061227"/>
    <w:rsid w:val="00061693"/>
    <w:rsid w:val="00061A83"/>
    <w:rsid w:val="0006707C"/>
    <w:rsid w:val="000700DE"/>
    <w:rsid w:val="00070BFA"/>
    <w:rsid w:val="00073EDB"/>
    <w:rsid w:val="00074149"/>
    <w:rsid w:val="00075633"/>
    <w:rsid w:val="00075A65"/>
    <w:rsid w:val="000767CE"/>
    <w:rsid w:val="0008013C"/>
    <w:rsid w:val="00080499"/>
    <w:rsid w:val="00080B9A"/>
    <w:rsid w:val="00081ECA"/>
    <w:rsid w:val="00081F40"/>
    <w:rsid w:val="00082060"/>
    <w:rsid w:val="000826CD"/>
    <w:rsid w:val="00082F77"/>
    <w:rsid w:val="000834CB"/>
    <w:rsid w:val="00083DBA"/>
    <w:rsid w:val="00086F92"/>
    <w:rsid w:val="00087526"/>
    <w:rsid w:val="0009041C"/>
    <w:rsid w:val="000905BB"/>
    <w:rsid w:val="00090982"/>
    <w:rsid w:val="00091069"/>
    <w:rsid w:val="0009147F"/>
    <w:rsid w:val="00092C18"/>
    <w:rsid w:val="000937B2"/>
    <w:rsid w:val="0009413B"/>
    <w:rsid w:val="000941E8"/>
    <w:rsid w:val="00094C79"/>
    <w:rsid w:val="00094CFD"/>
    <w:rsid w:val="000973D9"/>
    <w:rsid w:val="00097B43"/>
    <w:rsid w:val="00097C00"/>
    <w:rsid w:val="000A0786"/>
    <w:rsid w:val="000A0DCF"/>
    <w:rsid w:val="000A1704"/>
    <w:rsid w:val="000A286C"/>
    <w:rsid w:val="000A4D8B"/>
    <w:rsid w:val="000A4FDC"/>
    <w:rsid w:val="000A555D"/>
    <w:rsid w:val="000A569A"/>
    <w:rsid w:val="000A59F5"/>
    <w:rsid w:val="000A6547"/>
    <w:rsid w:val="000A6C84"/>
    <w:rsid w:val="000B006A"/>
    <w:rsid w:val="000B0165"/>
    <w:rsid w:val="000B0449"/>
    <w:rsid w:val="000B2870"/>
    <w:rsid w:val="000B2912"/>
    <w:rsid w:val="000B2FD5"/>
    <w:rsid w:val="000B2FF1"/>
    <w:rsid w:val="000B3002"/>
    <w:rsid w:val="000B3959"/>
    <w:rsid w:val="000B4C07"/>
    <w:rsid w:val="000B4D99"/>
    <w:rsid w:val="000B52C0"/>
    <w:rsid w:val="000B5568"/>
    <w:rsid w:val="000B5C6C"/>
    <w:rsid w:val="000B6286"/>
    <w:rsid w:val="000B6549"/>
    <w:rsid w:val="000B7182"/>
    <w:rsid w:val="000B74D6"/>
    <w:rsid w:val="000C00D7"/>
    <w:rsid w:val="000C1141"/>
    <w:rsid w:val="000C237B"/>
    <w:rsid w:val="000C255C"/>
    <w:rsid w:val="000C3C03"/>
    <w:rsid w:val="000C5B05"/>
    <w:rsid w:val="000C6146"/>
    <w:rsid w:val="000C6196"/>
    <w:rsid w:val="000C6DE1"/>
    <w:rsid w:val="000C7703"/>
    <w:rsid w:val="000C7984"/>
    <w:rsid w:val="000C7B71"/>
    <w:rsid w:val="000C7FD4"/>
    <w:rsid w:val="000D1006"/>
    <w:rsid w:val="000D15D5"/>
    <w:rsid w:val="000D47DB"/>
    <w:rsid w:val="000D4979"/>
    <w:rsid w:val="000D56AB"/>
    <w:rsid w:val="000D5C12"/>
    <w:rsid w:val="000D5E1A"/>
    <w:rsid w:val="000D6605"/>
    <w:rsid w:val="000D69D4"/>
    <w:rsid w:val="000D6B8E"/>
    <w:rsid w:val="000D7F01"/>
    <w:rsid w:val="000E01F4"/>
    <w:rsid w:val="000E0C4C"/>
    <w:rsid w:val="000E1119"/>
    <w:rsid w:val="000E159E"/>
    <w:rsid w:val="000E196B"/>
    <w:rsid w:val="000E2145"/>
    <w:rsid w:val="000E2AA1"/>
    <w:rsid w:val="000E345E"/>
    <w:rsid w:val="000E36E4"/>
    <w:rsid w:val="000E47E8"/>
    <w:rsid w:val="000E4B26"/>
    <w:rsid w:val="000E4E31"/>
    <w:rsid w:val="000E5390"/>
    <w:rsid w:val="000E64D1"/>
    <w:rsid w:val="000E6646"/>
    <w:rsid w:val="000E6B97"/>
    <w:rsid w:val="000E6C74"/>
    <w:rsid w:val="000F13AC"/>
    <w:rsid w:val="000F20F3"/>
    <w:rsid w:val="000F236E"/>
    <w:rsid w:val="000F33C6"/>
    <w:rsid w:val="000F6334"/>
    <w:rsid w:val="000F722A"/>
    <w:rsid w:val="000F7B34"/>
    <w:rsid w:val="000F7DDD"/>
    <w:rsid w:val="0010030F"/>
    <w:rsid w:val="00101FD4"/>
    <w:rsid w:val="00102645"/>
    <w:rsid w:val="00103BCD"/>
    <w:rsid w:val="0010456F"/>
    <w:rsid w:val="00104762"/>
    <w:rsid w:val="001053D4"/>
    <w:rsid w:val="001055A7"/>
    <w:rsid w:val="00106BE6"/>
    <w:rsid w:val="0011015E"/>
    <w:rsid w:val="00112210"/>
    <w:rsid w:val="00112B6D"/>
    <w:rsid w:val="00113168"/>
    <w:rsid w:val="0011353B"/>
    <w:rsid w:val="0011371A"/>
    <w:rsid w:val="001145AD"/>
    <w:rsid w:val="00114C50"/>
    <w:rsid w:val="00114E3D"/>
    <w:rsid w:val="0011542C"/>
    <w:rsid w:val="00115780"/>
    <w:rsid w:val="00116017"/>
    <w:rsid w:val="001162DE"/>
    <w:rsid w:val="00116332"/>
    <w:rsid w:val="00116C93"/>
    <w:rsid w:val="00116FE4"/>
    <w:rsid w:val="0011717C"/>
    <w:rsid w:val="0011741F"/>
    <w:rsid w:val="0012178E"/>
    <w:rsid w:val="00121E51"/>
    <w:rsid w:val="0012250D"/>
    <w:rsid w:val="00122615"/>
    <w:rsid w:val="00122939"/>
    <w:rsid w:val="00123B22"/>
    <w:rsid w:val="0012407F"/>
    <w:rsid w:val="00124D40"/>
    <w:rsid w:val="00124E67"/>
    <w:rsid w:val="00125166"/>
    <w:rsid w:val="001265B8"/>
    <w:rsid w:val="00126BFD"/>
    <w:rsid w:val="00126F9F"/>
    <w:rsid w:val="0013016F"/>
    <w:rsid w:val="001308B3"/>
    <w:rsid w:val="0013152E"/>
    <w:rsid w:val="0013245D"/>
    <w:rsid w:val="00134E3E"/>
    <w:rsid w:val="001358DC"/>
    <w:rsid w:val="00136AC0"/>
    <w:rsid w:val="0014058E"/>
    <w:rsid w:val="001408FC"/>
    <w:rsid w:val="001409B6"/>
    <w:rsid w:val="00140A0E"/>
    <w:rsid w:val="00140EF0"/>
    <w:rsid w:val="00141054"/>
    <w:rsid w:val="00141C04"/>
    <w:rsid w:val="00142584"/>
    <w:rsid w:val="0014266C"/>
    <w:rsid w:val="00142AFA"/>
    <w:rsid w:val="00143A86"/>
    <w:rsid w:val="001442B2"/>
    <w:rsid w:val="00144764"/>
    <w:rsid w:val="00144DB5"/>
    <w:rsid w:val="0014638F"/>
    <w:rsid w:val="0014641B"/>
    <w:rsid w:val="00147697"/>
    <w:rsid w:val="00147C44"/>
    <w:rsid w:val="00150599"/>
    <w:rsid w:val="00151809"/>
    <w:rsid w:val="00151951"/>
    <w:rsid w:val="00151C5E"/>
    <w:rsid w:val="001523F0"/>
    <w:rsid w:val="001524F5"/>
    <w:rsid w:val="00152673"/>
    <w:rsid w:val="00152797"/>
    <w:rsid w:val="0015312F"/>
    <w:rsid w:val="00153D2C"/>
    <w:rsid w:val="00153FEF"/>
    <w:rsid w:val="001542AA"/>
    <w:rsid w:val="001560F3"/>
    <w:rsid w:val="00156D2C"/>
    <w:rsid w:val="00157C35"/>
    <w:rsid w:val="001647E3"/>
    <w:rsid w:val="00164C11"/>
    <w:rsid w:val="00165898"/>
    <w:rsid w:val="00165A0D"/>
    <w:rsid w:val="00165D52"/>
    <w:rsid w:val="00166AC8"/>
    <w:rsid w:val="00167838"/>
    <w:rsid w:val="00170967"/>
    <w:rsid w:val="0017166B"/>
    <w:rsid w:val="00172893"/>
    <w:rsid w:val="00172BC3"/>
    <w:rsid w:val="001731A8"/>
    <w:rsid w:val="00173F05"/>
    <w:rsid w:val="001744C0"/>
    <w:rsid w:val="00175A49"/>
    <w:rsid w:val="00176453"/>
    <w:rsid w:val="001764CC"/>
    <w:rsid w:val="00180505"/>
    <w:rsid w:val="001810D0"/>
    <w:rsid w:val="00181912"/>
    <w:rsid w:val="00181A68"/>
    <w:rsid w:val="001821C6"/>
    <w:rsid w:val="001827AA"/>
    <w:rsid w:val="00182CD8"/>
    <w:rsid w:val="001837F8"/>
    <w:rsid w:val="00183863"/>
    <w:rsid w:val="00185957"/>
    <w:rsid w:val="001865B4"/>
    <w:rsid w:val="001866B2"/>
    <w:rsid w:val="0018747B"/>
    <w:rsid w:val="0018755C"/>
    <w:rsid w:val="00187B31"/>
    <w:rsid w:val="00190828"/>
    <w:rsid w:val="00192DB8"/>
    <w:rsid w:val="00193162"/>
    <w:rsid w:val="00194CC6"/>
    <w:rsid w:val="001950D1"/>
    <w:rsid w:val="00196951"/>
    <w:rsid w:val="00196954"/>
    <w:rsid w:val="00196A35"/>
    <w:rsid w:val="001970E2"/>
    <w:rsid w:val="0019749C"/>
    <w:rsid w:val="0019798C"/>
    <w:rsid w:val="00197A97"/>
    <w:rsid w:val="001A0751"/>
    <w:rsid w:val="001A1C96"/>
    <w:rsid w:val="001A1F57"/>
    <w:rsid w:val="001A2ABC"/>
    <w:rsid w:val="001A3554"/>
    <w:rsid w:val="001A3DA8"/>
    <w:rsid w:val="001A3EFE"/>
    <w:rsid w:val="001A3F52"/>
    <w:rsid w:val="001A4A55"/>
    <w:rsid w:val="001A53F7"/>
    <w:rsid w:val="001A5F32"/>
    <w:rsid w:val="001A66DA"/>
    <w:rsid w:val="001A7398"/>
    <w:rsid w:val="001A7CDF"/>
    <w:rsid w:val="001B098B"/>
    <w:rsid w:val="001B0C93"/>
    <w:rsid w:val="001B1582"/>
    <w:rsid w:val="001B1968"/>
    <w:rsid w:val="001B2F6F"/>
    <w:rsid w:val="001B34DE"/>
    <w:rsid w:val="001B357B"/>
    <w:rsid w:val="001B3C66"/>
    <w:rsid w:val="001B4AF6"/>
    <w:rsid w:val="001B5381"/>
    <w:rsid w:val="001B5F57"/>
    <w:rsid w:val="001B665F"/>
    <w:rsid w:val="001B69E4"/>
    <w:rsid w:val="001B6D1C"/>
    <w:rsid w:val="001C0CBD"/>
    <w:rsid w:val="001C1B4E"/>
    <w:rsid w:val="001C26C3"/>
    <w:rsid w:val="001C2714"/>
    <w:rsid w:val="001C36E7"/>
    <w:rsid w:val="001C517B"/>
    <w:rsid w:val="001C5A79"/>
    <w:rsid w:val="001C639B"/>
    <w:rsid w:val="001C63E0"/>
    <w:rsid w:val="001C6DAC"/>
    <w:rsid w:val="001C6E40"/>
    <w:rsid w:val="001D1DDD"/>
    <w:rsid w:val="001D2F2C"/>
    <w:rsid w:val="001D4ACA"/>
    <w:rsid w:val="001D59CD"/>
    <w:rsid w:val="001D5CA0"/>
    <w:rsid w:val="001D5E3D"/>
    <w:rsid w:val="001D699A"/>
    <w:rsid w:val="001D71B7"/>
    <w:rsid w:val="001D73FC"/>
    <w:rsid w:val="001E0A2B"/>
    <w:rsid w:val="001E3E6F"/>
    <w:rsid w:val="001E48DA"/>
    <w:rsid w:val="001E5110"/>
    <w:rsid w:val="001E6599"/>
    <w:rsid w:val="001E69EB"/>
    <w:rsid w:val="001E6C81"/>
    <w:rsid w:val="001E767D"/>
    <w:rsid w:val="001F05CD"/>
    <w:rsid w:val="001F078A"/>
    <w:rsid w:val="001F0A0C"/>
    <w:rsid w:val="001F1505"/>
    <w:rsid w:val="001F2191"/>
    <w:rsid w:val="001F223A"/>
    <w:rsid w:val="001F2F10"/>
    <w:rsid w:val="001F40E5"/>
    <w:rsid w:val="001F4190"/>
    <w:rsid w:val="001F464C"/>
    <w:rsid w:val="001F4D3C"/>
    <w:rsid w:val="001F5602"/>
    <w:rsid w:val="001F5FDD"/>
    <w:rsid w:val="001F682C"/>
    <w:rsid w:val="001F7114"/>
    <w:rsid w:val="001F76FE"/>
    <w:rsid w:val="0020023D"/>
    <w:rsid w:val="00201B60"/>
    <w:rsid w:val="00202883"/>
    <w:rsid w:val="00202E92"/>
    <w:rsid w:val="0020318B"/>
    <w:rsid w:val="002038C5"/>
    <w:rsid w:val="002039C5"/>
    <w:rsid w:val="00203B90"/>
    <w:rsid w:val="0020477E"/>
    <w:rsid w:val="002062B1"/>
    <w:rsid w:val="002067D0"/>
    <w:rsid w:val="00210200"/>
    <w:rsid w:val="0021112A"/>
    <w:rsid w:val="00211277"/>
    <w:rsid w:val="00211365"/>
    <w:rsid w:val="00211C39"/>
    <w:rsid w:val="00211C71"/>
    <w:rsid w:val="00211EF3"/>
    <w:rsid w:val="002121BF"/>
    <w:rsid w:val="00212E46"/>
    <w:rsid w:val="00215704"/>
    <w:rsid w:val="002164DE"/>
    <w:rsid w:val="002200CF"/>
    <w:rsid w:val="00220A06"/>
    <w:rsid w:val="0022188E"/>
    <w:rsid w:val="00221924"/>
    <w:rsid w:val="00221969"/>
    <w:rsid w:val="002235CA"/>
    <w:rsid w:val="00223652"/>
    <w:rsid w:val="00225338"/>
    <w:rsid w:val="00226B4F"/>
    <w:rsid w:val="00227541"/>
    <w:rsid w:val="002300A3"/>
    <w:rsid w:val="00230210"/>
    <w:rsid w:val="00230D59"/>
    <w:rsid w:val="00230E78"/>
    <w:rsid w:val="0023119D"/>
    <w:rsid w:val="00231401"/>
    <w:rsid w:val="002325AD"/>
    <w:rsid w:val="0023273F"/>
    <w:rsid w:val="00232833"/>
    <w:rsid w:val="0023315A"/>
    <w:rsid w:val="002331A6"/>
    <w:rsid w:val="00235002"/>
    <w:rsid w:val="00235BD4"/>
    <w:rsid w:val="00235D0D"/>
    <w:rsid w:val="00237185"/>
    <w:rsid w:val="002403F0"/>
    <w:rsid w:val="002411C1"/>
    <w:rsid w:val="002415A9"/>
    <w:rsid w:val="002421B0"/>
    <w:rsid w:val="002424F5"/>
    <w:rsid w:val="00245B36"/>
    <w:rsid w:val="002463C0"/>
    <w:rsid w:val="0024654D"/>
    <w:rsid w:val="00246AB2"/>
    <w:rsid w:val="00251A11"/>
    <w:rsid w:val="002556F1"/>
    <w:rsid w:val="00257A58"/>
    <w:rsid w:val="00257EFB"/>
    <w:rsid w:val="002605E4"/>
    <w:rsid w:val="00260BAD"/>
    <w:rsid w:val="00260D71"/>
    <w:rsid w:val="00261D29"/>
    <w:rsid w:val="00262126"/>
    <w:rsid w:val="002622FD"/>
    <w:rsid w:val="00262B4E"/>
    <w:rsid w:val="00262FD3"/>
    <w:rsid w:val="0026372D"/>
    <w:rsid w:val="00263B9B"/>
    <w:rsid w:val="00263FC7"/>
    <w:rsid w:val="00264375"/>
    <w:rsid w:val="00265485"/>
    <w:rsid w:val="002661A2"/>
    <w:rsid w:val="002672B5"/>
    <w:rsid w:val="00267B68"/>
    <w:rsid w:val="0027081A"/>
    <w:rsid w:val="002716CE"/>
    <w:rsid w:val="00271841"/>
    <w:rsid w:val="00272001"/>
    <w:rsid w:val="00272581"/>
    <w:rsid w:val="00272D75"/>
    <w:rsid w:val="00273450"/>
    <w:rsid w:val="00273855"/>
    <w:rsid w:val="00273FFE"/>
    <w:rsid w:val="002750AE"/>
    <w:rsid w:val="002769DD"/>
    <w:rsid w:val="00276EBC"/>
    <w:rsid w:val="00277DDB"/>
    <w:rsid w:val="00281A0C"/>
    <w:rsid w:val="00281C76"/>
    <w:rsid w:val="00281DD2"/>
    <w:rsid w:val="00282AC4"/>
    <w:rsid w:val="00283509"/>
    <w:rsid w:val="002837F7"/>
    <w:rsid w:val="00283A45"/>
    <w:rsid w:val="00283DF6"/>
    <w:rsid w:val="0028456D"/>
    <w:rsid w:val="00285191"/>
    <w:rsid w:val="00285619"/>
    <w:rsid w:val="002856FE"/>
    <w:rsid w:val="00286227"/>
    <w:rsid w:val="0028627E"/>
    <w:rsid w:val="002865A6"/>
    <w:rsid w:val="002868B9"/>
    <w:rsid w:val="00287038"/>
    <w:rsid w:val="002904CF"/>
    <w:rsid w:val="00290872"/>
    <w:rsid w:val="00290C2E"/>
    <w:rsid w:val="0029165D"/>
    <w:rsid w:val="00292125"/>
    <w:rsid w:val="0029299C"/>
    <w:rsid w:val="00292B15"/>
    <w:rsid w:val="00293F10"/>
    <w:rsid w:val="00295F54"/>
    <w:rsid w:val="002969FA"/>
    <w:rsid w:val="00297F81"/>
    <w:rsid w:val="002A0A38"/>
    <w:rsid w:val="002A0BE7"/>
    <w:rsid w:val="002A1336"/>
    <w:rsid w:val="002A173F"/>
    <w:rsid w:val="002A1970"/>
    <w:rsid w:val="002A2386"/>
    <w:rsid w:val="002A28A3"/>
    <w:rsid w:val="002A3056"/>
    <w:rsid w:val="002A54AF"/>
    <w:rsid w:val="002A6715"/>
    <w:rsid w:val="002A6E23"/>
    <w:rsid w:val="002A7E5C"/>
    <w:rsid w:val="002B59C6"/>
    <w:rsid w:val="002B6009"/>
    <w:rsid w:val="002B663B"/>
    <w:rsid w:val="002B7C8B"/>
    <w:rsid w:val="002C1E55"/>
    <w:rsid w:val="002C257A"/>
    <w:rsid w:val="002C4F41"/>
    <w:rsid w:val="002C7519"/>
    <w:rsid w:val="002D3BB4"/>
    <w:rsid w:val="002D543C"/>
    <w:rsid w:val="002D68B6"/>
    <w:rsid w:val="002D6AE8"/>
    <w:rsid w:val="002D7C0B"/>
    <w:rsid w:val="002E0A71"/>
    <w:rsid w:val="002E13CF"/>
    <w:rsid w:val="002E171E"/>
    <w:rsid w:val="002E1EAB"/>
    <w:rsid w:val="002E1FBF"/>
    <w:rsid w:val="002E2AAB"/>
    <w:rsid w:val="002E2FDC"/>
    <w:rsid w:val="002E3326"/>
    <w:rsid w:val="002E5715"/>
    <w:rsid w:val="002E7486"/>
    <w:rsid w:val="002E74E6"/>
    <w:rsid w:val="002F0AC5"/>
    <w:rsid w:val="002F2639"/>
    <w:rsid w:val="002F305D"/>
    <w:rsid w:val="002F3788"/>
    <w:rsid w:val="002F3F53"/>
    <w:rsid w:val="002F479B"/>
    <w:rsid w:val="002F4FD8"/>
    <w:rsid w:val="002F5E57"/>
    <w:rsid w:val="002F6B52"/>
    <w:rsid w:val="002F6FFB"/>
    <w:rsid w:val="002F712A"/>
    <w:rsid w:val="00300724"/>
    <w:rsid w:val="00301362"/>
    <w:rsid w:val="00302324"/>
    <w:rsid w:val="00302B1F"/>
    <w:rsid w:val="00304228"/>
    <w:rsid w:val="00305A2D"/>
    <w:rsid w:val="003061F1"/>
    <w:rsid w:val="00311EB6"/>
    <w:rsid w:val="00312469"/>
    <w:rsid w:val="003125F6"/>
    <w:rsid w:val="0031331A"/>
    <w:rsid w:val="00313B1F"/>
    <w:rsid w:val="00315342"/>
    <w:rsid w:val="003156C3"/>
    <w:rsid w:val="00316388"/>
    <w:rsid w:val="00317836"/>
    <w:rsid w:val="0032032B"/>
    <w:rsid w:val="0032067C"/>
    <w:rsid w:val="003206DF"/>
    <w:rsid w:val="0032138D"/>
    <w:rsid w:val="0032166C"/>
    <w:rsid w:val="0032173B"/>
    <w:rsid w:val="003220DF"/>
    <w:rsid w:val="00322508"/>
    <w:rsid w:val="00322DD2"/>
    <w:rsid w:val="00322EA2"/>
    <w:rsid w:val="00323C3B"/>
    <w:rsid w:val="0032402E"/>
    <w:rsid w:val="003240E4"/>
    <w:rsid w:val="0032410D"/>
    <w:rsid w:val="003250F0"/>
    <w:rsid w:val="00325E63"/>
    <w:rsid w:val="00326601"/>
    <w:rsid w:val="00326BFD"/>
    <w:rsid w:val="00326DD1"/>
    <w:rsid w:val="00326DF1"/>
    <w:rsid w:val="00327603"/>
    <w:rsid w:val="00330F61"/>
    <w:rsid w:val="0033175A"/>
    <w:rsid w:val="0033227D"/>
    <w:rsid w:val="00332BAD"/>
    <w:rsid w:val="00333DB5"/>
    <w:rsid w:val="0033404F"/>
    <w:rsid w:val="00334EDA"/>
    <w:rsid w:val="0033515A"/>
    <w:rsid w:val="003374E8"/>
    <w:rsid w:val="00337D0E"/>
    <w:rsid w:val="00337EC5"/>
    <w:rsid w:val="00341060"/>
    <w:rsid w:val="00341A27"/>
    <w:rsid w:val="00341C2C"/>
    <w:rsid w:val="003421CA"/>
    <w:rsid w:val="0034228C"/>
    <w:rsid w:val="0034284D"/>
    <w:rsid w:val="003429A8"/>
    <w:rsid w:val="00342B7B"/>
    <w:rsid w:val="00343530"/>
    <w:rsid w:val="003436EA"/>
    <w:rsid w:val="00344C4B"/>
    <w:rsid w:val="00345107"/>
    <w:rsid w:val="003458D4"/>
    <w:rsid w:val="00345B29"/>
    <w:rsid w:val="00345E9E"/>
    <w:rsid w:val="0034643C"/>
    <w:rsid w:val="00350118"/>
    <w:rsid w:val="003501E6"/>
    <w:rsid w:val="0035096B"/>
    <w:rsid w:val="00352247"/>
    <w:rsid w:val="003530EE"/>
    <w:rsid w:val="003532F3"/>
    <w:rsid w:val="00354933"/>
    <w:rsid w:val="00356D75"/>
    <w:rsid w:val="00357A84"/>
    <w:rsid w:val="00357DC7"/>
    <w:rsid w:val="00360A51"/>
    <w:rsid w:val="00361CCA"/>
    <w:rsid w:val="00362954"/>
    <w:rsid w:val="00362AA1"/>
    <w:rsid w:val="00363944"/>
    <w:rsid w:val="00364FD1"/>
    <w:rsid w:val="00370467"/>
    <w:rsid w:val="00370C0E"/>
    <w:rsid w:val="00371520"/>
    <w:rsid w:val="003715D1"/>
    <w:rsid w:val="00371F9F"/>
    <w:rsid w:val="0037306F"/>
    <w:rsid w:val="0037387A"/>
    <w:rsid w:val="003742A4"/>
    <w:rsid w:val="00374A35"/>
    <w:rsid w:val="00376171"/>
    <w:rsid w:val="00376CA7"/>
    <w:rsid w:val="0037752B"/>
    <w:rsid w:val="00380223"/>
    <w:rsid w:val="00381390"/>
    <w:rsid w:val="00383390"/>
    <w:rsid w:val="00385A51"/>
    <w:rsid w:val="00385CB2"/>
    <w:rsid w:val="00385E75"/>
    <w:rsid w:val="0038625E"/>
    <w:rsid w:val="003869CB"/>
    <w:rsid w:val="00387345"/>
    <w:rsid w:val="003877D3"/>
    <w:rsid w:val="00387F30"/>
    <w:rsid w:val="00390695"/>
    <w:rsid w:val="00391CDB"/>
    <w:rsid w:val="00392C4C"/>
    <w:rsid w:val="00393F80"/>
    <w:rsid w:val="00394161"/>
    <w:rsid w:val="003944DF"/>
    <w:rsid w:val="0039587E"/>
    <w:rsid w:val="00395D02"/>
    <w:rsid w:val="003960C2"/>
    <w:rsid w:val="00396155"/>
    <w:rsid w:val="00396470"/>
    <w:rsid w:val="0039729B"/>
    <w:rsid w:val="003978CE"/>
    <w:rsid w:val="00397C01"/>
    <w:rsid w:val="00397EDA"/>
    <w:rsid w:val="003A0002"/>
    <w:rsid w:val="003A0A1A"/>
    <w:rsid w:val="003A0A98"/>
    <w:rsid w:val="003A18C4"/>
    <w:rsid w:val="003A204D"/>
    <w:rsid w:val="003A2E63"/>
    <w:rsid w:val="003A39BD"/>
    <w:rsid w:val="003A3E04"/>
    <w:rsid w:val="003A4BBD"/>
    <w:rsid w:val="003B184D"/>
    <w:rsid w:val="003B240C"/>
    <w:rsid w:val="003B552F"/>
    <w:rsid w:val="003B566E"/>
    <w:rsid w:val="003B57C5"/>
    <w:rsid w:val="003C0476"/>
    <w:rsid w:val="003C0B7A"/>
    <w:rsid w:val="003C263A"/>
    <w:rsid w:val="003C2A02"/>
    <w:rsid w:val="003C3572"/>
    <w:rsid w:val="003C3627"/>
    <w:rsid w:val="003C489F"/>
    <w:rsid w:val="003C5428"/>
    <w:rsid w:val="003C558B"/>
    <w:rsid w:val="003C58E3"/>
    <w:rsid w:val="003C7E04"/>
    <w:rsid w:val="003D0DFF"/>
    <w:rsid w:val="003D1396"/>
    <w:rsid w:val="003D1B09"/>
    <w:rsid w:val="003D2384"/>
    <w:rsid w:val="003D2937"/>
    <w:rsid w:val="003D306A"/>
    <w:rsid w:val="003D353A"/>
    <w:rsid w:val="003D4A54"/>
    <w:rsid w:val="003D62C2"/>
    <w:rsid w:val="003D783E"/>
    <w:rsid w:val="003D78F0"/>
    <w:rsid w:val="003E021E"/>
    <w:rsid w:val="003E0507"/>
    <w:rsid w:val="003E177B"/>
    <w:rsid w:val="003E1C74"/>
    <w:rsid w:val="003E1C97"/>
    <w:rsid w:val="003E26C1"/>
    <w:rsid w:val="003E32C0"/>
    <w:rsid w:val="003E33B2"/>
    <w:rsid w:val="003E3EF5"/>
    <w:rsid w:val="003E46B9"/>
    <w:rsid w:val="003E49AC"/>
    <w:rsid w:val="003E6C76"/>
    <w:rsid w:val="003E7A0A"/>
    <w:rsid w:val="003E7BA5"/>
    <w:rsid w:val="003F00F1"/>
    <w:rsid w:val="003F08B4"/>
    <w:rsid w:val="003F09BB"/>
    <w:rsid w:val="003F1076"/>
    <w:rsid w:val="003F16E3"/>
    <w:rsid w:val="003F244C"/>
    <w:rsid w:val="003F37DB"/>
    <w:rsid w:val="003F4B0E"/>
    <w:rsid w:val="003F4B1B"/>
    <w:rsid w:val="003F5114"/>
    <w:rsid w:val="0040048F"/>
    <w:rsid w:val="0040119A"/>
    <w:rsid w:val="00401416"/>
    <w:rsid w:val="0040156E"/>
    <w:rsid w:val="00402521"/>
    <w:rsid w:val="004025C5"/>
    <w:rsid w:val="00402848"/>
    <w:rsid w:val="0040444C"/>
    <w:rsid w:val="004069D3"/>
    <w:rsid w:val="00407452"/>
    <w:rsid w:val="00411457"/>
    <w:rsid w:val="004119CE"/>
    <w:rsid w:val="00411BDC"/>
    <w:rsid w:val="0041232F"/>
    <w:rsid w:val="00412388"/>
    <w:rsid w:val="004129BF"/>
    <w:rsid w:val="00412E6D"/>
    <w:rsid w:val="004140D8"/>
    <w:rsid w:val="00414A63"/>
    <w:rsid w:val="00414C1C"/>
    <w:rsid w:val="00414F76"/>
    <w:rsid w:val="004155B9"/>
    <w:rsid w:val="00416221"/>
    <w:rsid w:val="00416A53"/>
    <w:rsid w:val="00416BF4"/>
    <w:rsid w:val="00420FA4"/>
    <w:rsid w:val="00422B52"/>
    <w:rsid w:val="00423166"/>
    <w:rsid w:val="00423276"/>
    <w:rsid w:val="004239D8"/>
    <w:rsid w:val="004249BA"/>
    <w:rsid w:val="00425858"/>
    <w:rsid w:val="00426912"/>
    <w:rsid w:val="00427460"/>
    <w:rsid w:val="00430BC5"/>
    <w:rsid w:val="00431523"/>
    <w:rsid w:val="00431854"/>
    <w:rsid w:val="004319A1"/>
    <w:rsid w:val="00431DC2"/>
    <w:rsid w:val="00432FC5"/>
    <w:rsid w:val="00432FD5"/>
    <w:rsid w:val="00434234"/>
    <w:rsid w:val="004344A5"/>
    <w:rsid w:val="00434C2F"/>
    <w:rsid w:val="00435064"/>
    <w:rsid w:val="00435121"/>
    <w:rsid w:val="00436920"/>
    <w:rsid w:val="0043724D"/>
    <w:rsid w:val="004379D5"/>
    <w:rsid w:val="004405E1"/>
    <w:rsid w:val="004412B8"/>
    <w:rsid w:val="00442DB5"/>
    <w:rsid w:val="00442E82"/>
    <w:rsid w:val="004435D5"/>
    <w:rsid w:val="00443868"/>
    <w:rsid w:val="00443D00"/>
    <w:rsid w:val="0044611E"/>
    <w:rsid w:val="0044734E"/>
    <w:rsid w:val="004479E5"/>
    <w:rsid w:val="0045081E"/>
    <w:rsid w:val="00450FEE"/>
    <w:rsid w:val="004526A2"/>
    <w:rsid w:val="00453990"/>
    <w:rsid w:val="00453A21"/>
    <w:rsid w:val="00453FFC"/>
    <w:rsid w:val="00454670"/>
    <w:rsid w:val="00455BF0"/>
    <w:rsid w:val="004567B3"/>
    <w:rsid w:val="0045754E"/>
    <w:rsid w:val="00457A76"/>
    <w:rsid w:val="00457C9B"/>
    <w:rsid w:val="00460A85"/>
    <w:rsid w:val="00460F0E"/>
    <w:rsid w:val="004616F2"/>
    <w:rsid w:val="0046249C"/>
    <w:rsid w:val="00462B81"/>
    <w:rsid w:val="004635D4"/>
    <w:rsid w:val="0046463D"/>
    <w:rsid w:val="00464788"/>
    <w:rsid w:val="00464A9E"/>
    <w:rsid w:val="00464DC2"/>
    <w:rsid w:val="0046721E"/>
    <w:rsid w:val="00470E62"/>
    <w:rsid w:val="0047439C"/>
    <w:rsid w:val="00475960"/>
    <w:rsid w:val="00475E4B"/>
    <w:rsid w:val="00480ABC"/>
    <w:rsid w:val="00481C9E"/>
    <w:rsid w:val="004827DB"/>
    <w:rsid w:val="00482CBE"/>
    <w:rsid w:val="00483083"/>
    <w:rsid w:val="00483722"/>
    <w:rsid w:val="00483B7A"/>
    <w:rsid w:val="00485292"/>
    <w:rsid w:val="0048590A"/>
    <w:rsid w:val="0048762D"/>
    <w:rsid w:val="0048763D"/>
    <w:rsid w:val="00487EA8"/>
    <w:rsid w:val="00490302"/>
    <w:rsid w:val="0049031A"/>
    <w:rsid w:val="00492192"/>
    <w:rsid w:val="004927B4"/>
    <w:rsid w:val="00493FF4"/>
    <w:rsid w:val="00494FA5"/>
    <w:rsid w:val="00495563"/>
    <w:rsid w:val="004959F8"/>
    <w:rsid w:val="0049607D"/>
    <w:rsid w:val="004963BF"/>
    <w:rsid w:val="004967E0"/>
    <w:rsid w:val="00496C82"/>
    <w:rsid w:val="00496D04"/>
    <w:rsid w:val="004970E3"/>
    <w:rsid w:val="004A09B1"/>
    <w:rsid w:val="004A16EC"/>
    <w:rsid w:val="004A195C"/>
    <w:rsid w:val="004A1B30"/>
    <w:rsid w:val="004A2230"/>
    <w:rsid w:val="004A40FC"/>
    <w:rsid w:val="004A432E"/>
    <w:rsid w:val="004A4F96"/>
    <w:rsid w:val="004A5209"/>
    <w:rsid w:val="004A597F"/>
    <w:rsid w:val="004A5EBD"/>
    <w:rsid w:val="004A6E4C"/>
    <w:rsid w:val="004A75AE"/>
    <w:rsid w:val="004A7E10"/>
    <w:rsid w:val="004B0D49"/>
    <w:rsid w:val="004B1344"/>
    <w:rsid w:val="004B1F1D"/>
    <w:rsid w:val="004B24F4"/>
    <w:rsid w:val="004B3048"/>
    <w:rsid w:val="004B33A6"/>
    <w:rsid w:val="004B45BF"/>
    <w:rsid w:val="004B5A46"/>
    <w:rsid w:val="004B5C26"/>
    <w:rsid w:val="004B7548"/>
    <w:rsid w:val="004B75AD"/>
    <w:rsid w:val="004B772D"/>
    <w:rsid w:val="004C05F1"/>
    <w:rsid w:val="004C0607"/>
    <w:rsid w:val="004C1A01"/>
    <w:rsid w:val="004C227E"/>
    <w:rsid w:val="004C3429"/>
    <w:rsid w:val="004C3485"/>
    <w:rsid w:val="004C3DDB"/>
    <w:rsid w:val="004C4643"/>
    <w:rsid w:val="004C6890"/>
    <w:rsid w:val="004C74D2"/>
    <w:rsid w:val="004D0565"/>
    <w:rsid w:val="004D094A"/>
    <w:rsid w:val="004D1C4D"/>
    <w:rsid w:val="004D61B4"/>
    <w:rsid w:val="004D61D4"/>
    <w:rsid w:val="004D662C"/>
    <w:rsid w:val="004D795D"/>
    <w:rsid w:val="004D7E82"/>
    <w:rsid w:val="004E0204"/>
    <w:rsid w:val="004E03B7"/>
    <w:rsid w:val="004E07E0"/>
    <w:rsid w:val="004E2224"/>
    <w:rsid w:val="004E4A79"/>
    <w:rsid w:val="004E7301"/>
    <w:rsid w:val="004F093C"/>
    <w:rsid w:val="004F0DD4"/>
    <w:rsid w:val="004F0F9E"/>
    <w:rsid w:val="004F2653"/>
    <w:rsid w:val="004F2960"/>
    <w:rsid w:val="004F29CB"/>
    <w:rsid w:val="004F2C16"/>
    <w:rsid w:val="004F47B6"/>
    <w:rsid w:val="004F4A53"/>
    <w:rsid w:val="004F543F"/>
    <w:rsid w:val="004F589A"/>
    <w:rsid w:val="004F5ABF"/>
    <w:rsid w:val="004F5D9C"/>
    <w:rsid w:val="004F64F9"/>
    <w:rsid w:val="004F667D"/>
    <w:rsid w:val="004F6B4B"/>
    <w:rsid w:val="004F6BD4"/>
    <w:rsid w:val="004F7212"/>
    <w:rsid w:val="00500247"/>
    <w:rsid w:val="00500334"/>
    <w:rsid w:val="00500E3D"/>
    <w:rsid w:val="005017BC"/>
    <w:rsid w:val="00501B81"/>
    <w:rsid w:val="00501C0C"/>
    <w:rsid w:val="00502FBB"/>
    <w:rsid w:val="0050303F"/>
    <w:rsid w:val="00504392"/>
    <w:rsid w:val="005067FB"/>
    <w:rsid w:val="00506966"/>
    <w:rsid w:val="00506A89"/>
    <w:rsid w:val="00506FD3"/>
    <w:rsid w:val="00507448"/>
    <w:rsid w:val="005075B8"/>
    <w:rsid w:val="00507BB6"/>
    <w:rsid w:val="00510331"/>
    <w:rsid w:val="00510FA9"/>
    <w:rsid w:val="00511118"/>
    <w:rsid w:val="005118B2"/>
    <w:rsid w:val="00511AED"/>
    <w:rsid w:val="00511BC1"/>
    <w:rsid w:val="00512144"/>
    <w:rsid w:val="005123ED"/>
    <w:rsid w:val="005134EF"/>
    <w:rsid w:val="00513A1F"/>
    <w:rsid w:val="00515226"/>
    <w:rsid w:val="00516E9F"/>
    <w:rsid w:val="00516FB8"/>
    <w:rsid w:val="0051775D"/>
    <w:rsid w:val="0052029E"/>
    <w:rsid w:val="005204D4"/>
    <w:rsid w:val="00520555"/>
    <w:rsid w:val="005207E6"/>
    <w:rsid w:val="0052234C"/>
    <w:rsid w:val="0052297A"/>
    <w:rsid w:val="00523C99"/>
    <w:rsid w:val="00523EAC"/>
    <w:rsid w:val="00524BC9"/>
    <w:rsid w:val="00527C4A"/>
    <w:rsid w:val="0053088F"/>
    <w:rsid w:val="005309A4"/>
    <w:rsid w:val="00533F2E"/>
    <w:rsid w:val="005359D3"/>
    <w:rsid w:val="00536530"/>
    <w:rsid w:val="005378B4"/>
    <w:rsid w:val="00537DB5"/>
    <w:rsid w:val="0054040F"/>
    <w:rsid w:val="00542B5A"/>
    <w:rsid w:val="00542F11"/>
    <w:rsid w:val="005433F2"/>
    <w:rsid w:val="00543416"/>
    <w:rsid w:val="00543445"/>
    <w:rsid w:val="005448C7"/>
    <w:rsid w:val="00544CE0"/>
    <w:rsid w:val="00546836"/>
    <w:rsid w:val="00546853"/>
    <w:rsid w:val="00547DEC"/>
    <w:rsid w:val="00550E84"/>
    <w:rsid w:val="00550EB6"/>
    <w:rsid w:val="00551546"/>
    <w:rsid w:val="005517D7"/>
    <w:rsid w:val="00551D66"/>
    <w:rsid w:val="00553DC2"/>
    <w:rsid w:val="00555305"/>
    <w:rsid w:val="0055572F"/>
    <w:rsid w:val="00555C65"/>
    <w:rsid w:val="00556154"/>
    <w:rsid w:val="00556450"/>
    <w:rsid w:val="00556A68"/>
    <w:rsid w:val="005575F8"/>
    <w:rsid w:val="005608A4"/>
    <w:rsid w:val="00560A7E"/>
    <w:rsid w:val="00560E9F"/>
    <w:rsid w:val="005615FC"/>
    <w:rsid w:val="0056176E"/>
    <w:rsid w:val="005618A1"/>
    <w:rsid w:val="00561A22"/>
    <w:rsid w:val="00561E09"/>
    <w:rsid w:val="00562C86"/>
    <w:rsid w:val="005633D3"/>
    <w:rsid w:val="00565527"/>
    <w:rsid w:val="00565A07"/>
    <w:rsid w:val="00565ED0"/>
    <w:rsid w:val="0056691A"/>
    <w:rsid w:val="00567958"/>
    <w:rsid w:val="00567AB2"/>
    <w:rsid w:val="00567E3E"/>
    <w:rsid w:val="0057099C"/>
    <w:rsid w:val="00571071"/>
    <w:rsid w:val="00571B46"/>
    <w:rsid w:val="00571D9D"/>
    <w:rsid w:val="00571FCB"/>
    <w:rsid w:val="00572924"/>
    <w:rsid w:val="00573862"/>
    <w:rsid w:val="005739A8"/>
    <w:rsid w:val="00573B0D"/>
    <w:rsid w:val="00574534"/>
    <w:rsid w:val="005749E6"/>
    <w:rsid w:val="00576C95"/>
    <w:rsid w:val="005771DD"/>
    <w:rsid w:val="0057720E"/>
    <w:rsid w:val="00577B7A"/>
    <w:rsid w:val="00581193"/>
    <w:rsid w:val="0058166C"/>
    <w:rsid w:val="00582905"/>
    <w:rsid w:val="005846D4"/>
    <w:rsid w:val="00586619"/>
    <w:rsid w:val="005868EF"/>
    <w:rsid w:val="00586A2C"/>
    <w:rsid w:val="00587C1A"/>
    <w:rsid w:val="005906DE"/>
    <w:rsid w:val="00591714"/>
    <w:rsid w:val="00592184"/>
    <w:rsid w:val="005923D4"/>
    <w:rsid w:val="00593807"/>
    <w:rsid w:val="005945F1"/>
    <w:rsid w:val="00595CA0"/>
    <w:rsid w:val="00596353"/>
    <w:rsid w:val="0059644B"/>
    <w:rsid w:val="00596CFD"/>
    <w:rsid w:val="00596D8E"/>
    <w:rsid w:val="005A06FB"/>
    <w:rsid w:val="005A0A12"/>
    <w:rsid w:val="005A0DE2"/>
    <w:rsid w:val="005A1EEB"/>
    <w:rsid w:val="005A2B0A"/>
    <w:rsid w:val="005A32F8"/>
    <w:rsid w:val="005A405D"/>
    <w:rsid w:val="005A436A"/>
    <w:rsid w:val="005A6235"/>
    <w:rsid w:val="005A742A"/>
    <w:rsid w:val="005A7975"/>
    <w:rsid w:val="005B00AD"/>
    <w:rsid w:val="005B0792"/>
    <w:rsid w:val="005B0B77"/>
    <w:rsid w:val="005B12F1"/>
    <w:rsid w:val="005B14B5"/>
    <w:rsid w:val="005B1653"/>
    <w:rsid w:val="005B1E2A"/>
    <w:rsid w:val="005B26CF"/>
    <w:rsid w:val="005B3313"/>
    <w:rsid w:val="005B3BF4"/>
    <w:rsid w:val="005B4120"/>
    <w:rsid w:val="005B435B"/>
    <w:rsid w:val="005B4BD2"/>
    <w:rsid w:val="005B64E6"/>
    <w:rsid w:val="005B7A2B"/>
    <w:rsid w:val="005B7E6D"/>
    <w:rsid w:val="005B7FAA"/>
    <w:rsid w:val="005C1AA7"/>
    <w:rsid w:val="005C1FBC"/>
    <w:rsid w:val="005C27E7"/>
    <w:rsid w:val="005C2DA7"/>
    <w:rsid w:val="005C3FD4"/>
    <w:rsid w:val="005C41C1"/>
    <w:rsid w:val="005C4537"/>
    <w:rsid w:val="005C5ED1"/>
    <w:rsid w:val="005C6573"/>
    <w:rsid w:val="005C69C1"/>
    <w:rsid w:val="005C751F"/>
    <w:rsid w:val="005C7825"/>
    <w:rsid w:val="005C7852"/>
    <w:rsid w:val="005D0672"/>
    <w:rsid w:val="005D1207"/>
    <w:rsid w:val="005D1EB1"/>
    <w:rsid w:val="005D243D"/>
    <w:rsid w:val="005D297D"/>
    <w:rsid w:val="005D2FA1"/>
    <w:rsid w:val="005D30C1"/>
    <w:rsid w:val="005D34AE"/>
    <w:rsid w:val="005D6DC7"/>
    <w:rsid w:val="005D763D"/>
    <w:rsid w:val="005D76B7"/>
    <w:rsid w:val="005E0019"/>
    <w:rsid w:val="005E0D54"/>
    <w:rsid w:val="005E115E"/>
    <w:rsid w:val="005E1A60"/>
    <w:rsid w:val="005E288D"/>
    <w:rsid w:val="005E2B69"/>
    <w:rsid w:val="005E3E18"/>
    <w:rsid w:val="005E51AA"/>
    <w:rsid w:val="005E5D80"/>
    <w:rsid w:val="005E61D1"/>
    <w:rsid w:val="005E73BB"/>
    <w:rsid w:val="005E7562"/>
    <w:rsid w:val="005F0557"/>
    <w:rsid w:val="005F0FF4"/>
    <w:rsid w:val="005F2083"/>
    <w:rsid w:val="005F22D0"/>
    <w:rsid w:val="005F2519"/>
    <w:rsid w:val="005F295D"/>
    <w:rsid w:val="005F2E1C"/>
    <w:rsid w:val="005F3AFF"/>
    <w:rsid w:val="005F505B"/>
    <w:rsid w:val="005F6155"/>
    <w:rsid w:val="005F6635"/>
    <w:rsid w:val="005F66CF"/>
    <w:rsid w:val="005F6D99"/>
    <w:rsid w:val="005F74C5"/>
    <w:rsid w:val="006027A6"/>
    <w:rsid w:val="00602D55"/>
    <w:rsid w:val="006030F7"/>
    <w:rsid w:val="0060370A"/>
    <w:rsid w:val="00604442"/>
    <w:rsid w:val="00604566"/>
    <w:rsid w:val="0060564B"/>
    <w:rsid w:val="00605B3D"/>
    <w:rsid w:val="00605D21"/>
    <w:rsid w:val="0061165D"/>
    <w:rsid w:val="00612740"/>
    <w:rsid w:val="00612F62"/>
    <w:rsid w:val="006131CA"/>
    <w:rsid w:val="00613951"/>
    <w:rsid w:val="00614214"/>
    <w:rsid w:val="0061427A"/>
    <w:rsid w:val="0061444E"/>
    <w:rsid w:val="006146CC"/>
    <w:rsid w:val="00614B95"/>
    <w:rsid w:val="00614BCB"/>
    <w:rsid w:val="00614E09"/>
    <w:rsid w:val="00614F25"/>
    <w:rsid w:val="00614F29"/>
    <w:rsid w:val="0061571C"/>
    <w:rsid w:val="00615F4D"/>
    <w:rsid w:val="0061617D"/>
    <w:rsid w:val="00616267"/>
    <w:rsid w:val="00616924"/>
    <w:rsid w:val="006170B1"/>
    <w:rsid w:val="006173D8"/>
    <w:rsid w:val="00620833"/>
    <w:rsid w:val="006211F2"/>
    <w:rsid w:val="00621907"/>
    <w:rsid w:val="006220B0"/>
    <w:rsid w:val="00622D27"/>
    <w:rsid w:val="00623D58"/>
    <w:rsid w:val="0062406E"/>
    <w:rsid w:val="00626565"/>
    <w:rsid w:val="006272CA"/>
    <w:rsid w:val="00627835"/>
    <w:rsid w:val="00630847"/>
    <w:rsid w:val="00630FD2"/>
    <w:rsid w:val="00631953"/>
    <w:rsid w:val="00631C40"/>
    <w:rsid w:val="00632CC4"/>
    <w:rsid w:val="00633621"/>
    <w:rsid w:val="006337C3"/>
    <w:rsid w:val="00633ED3"/>
    <w:rsid w:val="0063478F"/>
    <w:rsid w:val="00636266"/>
    <w:rsid w:val="00636FAF"/>
    <w:rsid w:val="006370D7"/>
    <w:rsid w:val="006371CE"/>
    <w:rsid w:val="00637556"/>
    <w:rsid w:val="006400B7"/>
    <w:rsid w:val="00640125"/>
    <w:rsid w:val="00640E5F"/>
    <w:rsid w:val="00641685"/>
    <w:rsid w:val="00641933"/>
    <w:rsid w:val="00642AA5"/>
    <w:rsid w:val="006432B0"/>
    <w:rsid w:val="006433C7"/>
    <w:rsid w:val="00643518"/>
    <w:rsid w:val="00643613"/>
    <w:rsid w:val="006452A8"/>
    <w:rsid w:val="006458D8"/>
    <w:rsid w:val="006473E8"/>
    <w:rsid w:val="00647881"/>
    <w:rsid w:val="006505AF"/>
    <w:rsid w:val="00650B4B"/>
    <w:rsid w:val="00650D36"/>
    <w:rsid w:val="00651FBB"/>
    <w:rsid w:val="0065264D"/>
    <w:rsid w:val="00653229"/>
    <w:rsid w:val="006536E2"/>
    <w:rsid w:val="0065379F"/>
    <w:rsid w:val="00653C12"/>
    <w:rsid w:val="006541C6"/>
    <w:rsid w:val="00655272"/>
    <w:rsid w:val="006558FE"/>
    <w:rsid w:val="00655A71"/>
    <w:rsid w:val="00656E11"/>
    <w:rsid w:val="00656EA8"/>
    <w:rsid w:val="0066075A"/>
    <w:rsid w:val="00661973"/>
    <w:rsid w:val="00662328"/>
    <w:rsid w:val="00663296"/>
    <w:rsid w:val="0066377B"/>
    <w:rsid w:val="00663F5F"/>
    <w:rsid w:val="006641A5"/>
    <w:rsid w:val="006643BC"/>
    <w:rsid w:val="00664688"/>
    <w:rsid w:val="00664BA5"/>
    <w:rsid w:val="00664C47"/>
    <w:rsid w:val="00664E41"/>
    <w:rsid w:val="006654A5"/>
    <w:rsid w:val="00666767"/>
    <w:rsid w:val="00667B58"/>
    <w:rsid w:val="00667D2A"/>
    <w:rsid w:val="0067008E"/>
    <w:rsid w:val="00670198"/>
    <w:rsid w:val="006704D1"/>
    <w:rsid w:val="00670C1F"/>
    <w:rsid w:val="00672480"/>
    <w:rsid w:val="0067375A"/>
    <w:rsid w:val="00673E47"/>
    <w:rsid w:val="0067510E"/>
    <w:rsid w:val="00676451"/>
    <w:rsid w:val="006767FB"/>
    <w:rsid w:val="00676926"/>
    <w:rsid w:val="00676A9C"/>
    <w:rsid w:val="006804D6"/>
    <w:rsid w:val="006807CD"/>
    <w:rsid w:val="00680895"/>
    <w:rsid w:val="00680F0B"/>
    <w:rsid w:val="00681E5F"/>
    <w:rsid w:val="00682B8F"/>
    <w:rsid w:val="00682C7C"/>
    <w:rsid w:val="00683AE6"/>
    <w:rsid w:val="00683CBB"/>
    <w:rsid w:val="00684860"/>
    <w:rsid w:val="00685C8C"/>
    <w:rsid w:val="00690911"/>
    <w:rsid w:val="00690E1A"/>
    <w:rsid w:val="00692D57"/>
    <w:rsid w:val="006933F6"/>
    <w:rsid w:val="0069351D"/>
    <w:rsid w:val="006937C1"/>
    <w:rsid w:val="00694C83"/>
    <w:rsid w:val="006971EA"/>
    <w:rsid w:val="00697D6A"/>
    <w:rsid w:val="006A0678"/>
    <w:rsid w:val="006A1D52"/>
    <w:rsid w:val="006A248A"/>
    <w:rsid w:val="006A27D2"/>
    <w:rsid w:val="006A2C83"/>
    <w:rsid w:val="006A2DE3"/>
    <w:rsid w:val="006A30B1"/>
    <w:rsid w:val="006A3BB4"/>
    <w:rsid w:val="006A4270"/>
    <w:rsid w:val="006A59F8"/>
    <w:rsid w:val="006A6143"/>
    <w:rsid w:val="006A6A53"/>
    <w:rsid w:val="006A7ADE"/>
    <w:rsid w:val="006B0974"/>
    <w:rsid w:val="006B2466"/>
    <w:rsid w:val="006B2A6B"/>
    <w:rsid w:val="006B3423"/>
    <w:rsid w:val="006B3EAB"/>
    <w:rsid w:val="006B483A"/>
    <w:rsid w:val="006B5C97"/>
    <w:rsid w:val="006C035E"/>
    <w:rsid w:val="006C0743"/>
    <w:rsid w:val="006C085B"/>
    <w:rsid w:val="006C0C69"/>
    <w:rsid w:val="006C25C5"/>
    <w:rsid w:val="006C272A"/>
    <w:rsid w:val="006C3A2C"/>
    <w:rsid w:val="006C3B41"/>
    <w:rsid w:val="006C3E27"/>
    <w:rsid w:val="006C426C"/>
    <w:rsid w:val="006C4339"/>
    <w:rsid w:val="006C4EFF"/>
    <w:rsid w:val="006C5278"/>
    <w:rsid w:val="006C608F"/>
    <w:rsid w:val="006C6963"/>
    <w:rsid w:val="006D07E7"/>
    <w:rsid w:val="006D0898"/>
    <w:rsid w:val="006D2D4E"/>
    <w:rsid w:val="006D3237"/>
    <w:rsid w:val="006D32D0"/>
    <w:rsid w:val="006D3B64"/>
    <w:rsid w:val="006D52C5"/>
    <w:rsid w:val="006D5365"/>
    <w:rsid w:val="006D5A66"/>
    <w:rsid w:val="006D65DA"/>
    <w:rsid w:val="006D7700"/>
    <w:rsid w:val="006E0007"/>
    <w:rsid w:val="006E095D"/>
    <w:rsid w:val="006E29E9"/>
    <w:rsid w:val="006E2AC4"/>
    <w:rsid w:val="006E572C"/>
    <w:rsid w:val="006E5F4A"/>
    <w:rsid w:val="006E6B7B"/>
    <w:rsid w:val="006E6C04"/>
    <w:rsid w:val="006E6F9B"/>
    <w:rsid w:val="006E7CA5"/>
    <w:rsid w:val="006F0D13"/>
    <w:rsid w:val="006F0EFD"/>
    <w:rsid w:val="006F12EB"/>
    <w:rsid w:val="006F247A"/>
    <w:rsid w:val="006F2769"/>
    <w:rsid w:val="006F4E42"/>
    <w:rsid w:val="006F4F74"/>
    <w:rsid w:val="006F5EB9"/>
    <w:rsid w:val="006F649A"/>
    <w:rsid w:val="006F6D44"/>
    <w:rsid w:val="006F6DB0"/>
    <w:rsid w:val="006F71F5"/>
    <w:rsid w:val="00700310"/>
    <w:rsid w:val="00702467"/>
    <w:rsid w:val="00703CD6"/>
    <w:rsid w:val="0070434D"/>
    <w:rsid w:val="007059A1"/>
    <w:rsid w:val="0070635C"/>
    <w:rsid w:val="00706903"/>
    <w:rsid w:val="00707874"/>
    <w:rsid w:val="00710CA7"/>
    <w:rsid w:val="00711D1E"/>
    <w:rsid w:val="00712E45"/>
    <w:rsid w:val="00712E7B"/>
    <w:rsid w:val="007136B5"/>
    <w:rsid w:val="007136D9"/>
    <w:rsid w:val="00713BA4"/>
    <w:rsid w:val="00713EA0"/>
    <w:rsid w:val="00714856"/>
    <w:rsid w:val="007160E3"/>
    <w:rsid w:val="007169CF"/>
    <w:rsid w:val="00717394"/>
    <w:rsid w:val="0071785B"/>
    <w:rsid w:val="00717F2B"/>
    <w:rsid w:val="00720B6E"/>
    <w:rsid w:val="007212EE"/>
    <w:rsid w:val="00721BBC"/>
    <w:rsid w:val="00722CC9"/>
    <w:rsid w:val="00726BC4"/>
    <w:rsid w:val="00726DE0"/>
    <w:rsid w:val="00726E86"/>
    <w:rsid w:val="00726EA8"/>
    <w:rsid w:val="00726F8A"/>
    <w:rsid w:val="007271DB"/>
    <w:rsid w:val="00727E70"/>
    <w:rsid w:val="00730851"/>
    <w:rsid w:val="007312F7"/>
    <w:rsid w:val="00733AE8"/>
    <w:rsid w:val="00733FC9"/>
    <w:rsid w:val="00735304"/>
    <w:rsid w:val="00735566"/>
    <w:rsid w:val="007355DB"/>
    <w:rsid w:val="0073617C"/>
    <w:rsid w:val="00736217"/>
    <w:rsid w:val="0073788E"/>
    <w:rsid w:val="00740852"/>
    <w:rsid w:val="00741B48"/>
    <w:rsid w:val="0074259C"/>
    <w:rsid w:val="00744FC7"/>
    <w:rsid w:val="007456F5"/>
    <w:rsid w:val="00746286"/>
    <w:rsid w:val="00747B0F"/>
    <w:rsid w:val="00747CE8"/>
    <w:rsid w:val="00750008"/>
    <w:rsid w:val="00750AA6"/>
    <w:rsid w:val="00750FBF"/>
    <w:rsid w:val="00751783"/>
    <w:rsid w:val="00751A80"/>
    <w:rsid w:val="00752A92"/>
    <w:rsid w:val="007537B1"/>
    <w:rsid w:val="00753D78"/>
    <w:rsid w:val="0075494B"/>
    <w:rsid w:val="0075523D"/>
    <w:rsid w:val="00755390"/>
    <w:rsid w:val="007558EA"/>
    <w:rsid w:val="00755AC1"/>
    <w:rsid w:val="00756A3C"/>
    <w:rsid w:val="00756A99"/>
    <w:rsid w:val="00757BC6"/>
    <w:rsid w:val="00757D69"/>
    <w:rsid w:val="00760218"/>
    <w:rsid w:val="00760F44"/>
    <w:rsid w:val="007610A8"/>
    <w:rsid w:val="00761A00"/>
    <w:rsid w:val="00762526"/>
    <w:rsid w:val="007628F8"/>
    <w:rsid w:val="0076323A"/>
    <w:rsid w:val="00763FF6"/>
    <w:rsid w:val="007644B2"/>
    <w:rsid w:val="00764A2B"/>
    <w:rsid w:val="00765294"/>
    <w:rsid w:val="00765C1A"/>
    <w:rsid w:val="007664C4"/>
    <w:rsid w:val="00766CD6"/>
    <w:rsid w:val="00767850"/>
    <w:rsid w:val="00767992"/>
    <w:rsid w:val="00767EE6"/>
    <w:rsid w:val="00767FB6"/>
    <w:rsid w:val="00770C1A"/>
    <w:rsid w:val="00770E60"/>
    <w:rsid w:val="00772B0E"/>
    <w:rsid w:val="007744DF"/>
    <w:rsid w:val="00774845"/>
    <w:rsid w:val="0077496C"/>
    <w:rsid w:val="00775325"/>
    <w:rsid w:val="00775879"/>
    <w:rsid w:val="007767E7"/>
    <w:rsid w:val="0077736D"/>
    <w:rsid w:val="007804F2"/>
    <w:rsid w:val="00782465"/>
    <w:rsid w:val="00784356"/>
    <w:rsid w:val="00785808"/>
    <w:rsid w:val="0078632E"/>
    <w:rsid w:val="00796083"/>
    <w:rsid w:val="0079675F"/>
    <w:rsid w:val="00797B13"/>
    <w:rsid w:val="007A1082"/>
    <w:rsid w:val="007A1A5F"/>
    <w:rsid w:val="007A1BED"/>
    <w:rsid w:val="007A3243"/>
    <w:rsid w:val="007A3260"/>
    <w:rsid w:val="007A3574"/>
    <w:rsid w:val="007A3C70"/>
    <w:rsid w:val="007A5584"/>
    <w:rsid w:val="007A6B51"/>
    <w:rsid w:val="007A733D"/>
    <w:rsid w:val="007A7B04"/>
    <w:rsid w:val="007B0134"/>
    <w:rsid w:val="007B09C3"/>
    <w:rsid w:val="007B28C0"/>
    <w:rsid w:val="007B471F"/>
    <w:rsid w:val="007B4941"/>
    <w:rsid w:val="007B4E01"/>
    <w:rsid w:val="007B5DB3"/>
    <w:rsid w:val="007B76B9"/>
    <w:rsid w:val="007C03FA"/>
    <w:rsid w:val="007C0C17"/>
    <w:rsid w:val="007C23AB"/>
    <w:rsid w:val="007C2E99"/>
    <w:rsid w:val="007C30A0"/>
    <w:rsid w:val="007C4345"/>
    <w:rsid w:val="007C478C"/>
    <w:rsid w:val="007C486C"/>
    <w:rsid w:val="007C699F"/>
    <w:rsid w:val="007C6D93"/>
    <w:rsid w:val="007C6E38"/>
    <w:rsid w:val="007C6FDA"/>
    <w:rsid w:val="007C734F"/>
    <w:rsid w:val="007D02A8"/>
    <w:rsid w:val="007D0DFC"/>
    <w:rsid w:val="007D1E05"/>
    <w:rsid w:val="007D2DAA"/>
    <w:rsid w:val="007D4830"/>
    <w:rsid w:val="007D4D47"/>
    <w:rsid w:val="007D4EDF"/>
    <w:rsid w:val="007D5A07"/>
    <w:rsid w:val="007D5F8B"/>
    <w:rsid w:val="007D631C"/>
    <w:rsid w:val="007D63F0"/>
    <w:rsid w:val="007D6FB5"/>
    <w:rsid w:val="007D711D"/>
    <w:rsid w:val="007D7171"/>
    <w:rsid w:val="007E17F4"/>
    <w:rsid w:val="007E1FD2"/>
    <w:rsid w:val="007E3312"/>
    <w:rsid w:val="007E4982"/>
    <w:rsid w:val="007E570F"/>
    <w:rsid w:val="007E6876"/>
    <w:rsid w:val="007E6E87"/>
    <w:rsid w:val="007E7885"/>
    <w:rsid w:val="007E7975"/>
    <w:rsid w:val="007F0A34"/>
    <w:rsid w:val="007F158B"/>
    <w:rsid w:val="007F16CF"/>
    <w:rsid w:val="007F26A3"/>
    <w:rsid w:val="007F2967"/>
    <w:rsid w:val="007F2B15"/>
    <w:rsid w:val="007F33DF"/>
    <w:rsid w:val="007F3AEB"/>
    <w:rsid w:val="007F4015"/>
    <w:rsid w:val="007F427A"/>
    <w:rsid w:val="007F4F63"/>
    <w:rsid w:val="007F5227"/>
    <w:rsid w:val="007F6ACD"/>
    <w:rsid w:val="007F71D0"/>
    <w:rsid w:val="007F7428"/>
    <w:rsid w:val="007F7A81"/>
    <w:rsid w:val="008020F4"/>
    <w:rsid w:val="00802325"/>
    <w:rsid w:val="00802BB0"/>
    <w:rsid w:val="00802F0A"/>
    <w:rsid w:val="00803B3B"/>
    <w:rsid w:val="00803D03"/>
    <w:rsid w:val="00806CA1"/>
    <w:rsid w:val="008072E4"/>
    <w:rsid w:val="0080757B"/>
    <w:rsid w:val="008078C5"/>
    <w:rsid w:val="00810510"/>
    <w:rsid w:val="00811B64"/>
    <w:rsid w:val="00811D2F"/>
    <w:rsid w:val="008123C3"/>
    <w:rsid w:val="008125DE"/>
    <w:rsid w:val="00812AC1"/>
    <w:rsid w:val="00813692"/>
    <w:rsid w:val="00813EEB"/>
    <w:rsid w:val="00814B60"/>
    <w:rsid w:val="00814EAB"/>
    <w:rsid w:val="0081585E"/>
    <w:rsid w:val="00815C64"/>
    <w:rsid w:val="008179FE"/>
    <w:rsid w:val="00820D38"/>
    <w:rsid w:val="0082120B"/>
    <w:rsid w:val="008219F2"/>
    <w:rsid w:val="00821ED9"/>
    <w:rsid w:val="0082250E"/>
    <w:rsid w:val="008227AE"/>
    <w:rsid w:val="008227F2"/>
    <w:rsid w:val="00823185"/>
    <w:rsid w:val="00823CCF"/>
    <w:rsid w:val="008240F1"/>
    <w:rsid w:val="0082499F"/>
    <w:rsid w:val="00825423"/>
    <w:rsid w:val="00825474"/>
    <w:rsid w:val="00826183"/>
    <w:rsid w:val="00826366"/>
    <w:rsid w:val="008266FD"/>
    <w:rsid w:val="008268B7"/>
    <w:rsid w:val="00826BB4"/>
    <w:rsid w:val="00826C2C"/>
    <w:rsid w:val="00827084"/>
    <w:rsid w:val="00827D7C"/>
    <w:rsid w:val="00827DA8"/>
    <w:rsid w:val="008305AD"/>
    <w:rsid w:val="00830F5D"/>
    <w:rsid w:val="008324E0"/>
    <w:rsid w:val="00833557"/>
    <w:rsid w:val="0083459B"/>
    <w:rsid w:val="00835637"/>
    <w:rsid w:val="008415FB"/>
    <w:rsid w:val="00845215"/>
    <w:rsid w:val="00845275"/>
    <w:rsid w:val="008454F0"/>
    <w:rsid w:val="00845711"/>
    <w:rsid w:val="00845747"/>
    <w:rsid w:val="00845D3C"/>
    <w:rsid w:val="0084707B"/>
    <w:rsid w:val="00850353"/>
    <w:rsid w:val="00851594"/>
    <w:rsid w:val="00852010"/>
    <w:rsid w:val="008539D5"/>
    <w:rsid w:val="00853C20"/>
    <w:rsid w:val="00853FC3"/>
    <w:rsid w:val="0085480C"/>
    <w:rsid w:val="00854943"/>
    <w:rsid w:val="00854B05"/>
    <w:rsid w:val="00856AF5"/>
    <w:rsid w:val="0085761B"/>
    <w:rsid w:val="00857C90"/>
    <w:rsid w:val="00857F90"/>
    <w:rsid w:val="00860CA1"/>
    <w:rsid w:val="0086104E"/>
    <w:rsid w:val="00861102"/>
    <w:rsid w:val="00861DD8"/>
    <w:rsid w:val="00864160"/>
    <w:rsid w:val="00864427"/>
    <w:rsid w:val="008705D5"/>
    <w:rsid w:val="00870D93"/>
    <w:rsid w:val="0087213D"/>
    <w:rsid w:val="008728C5"/>
    <w:rsid w:val="00873D37"/>
    <w:rsid w:val="00873F12"/>
    <w:rsid w:val="00874844"/>
    <w:rsid w:val="00874B1E"/>
    <w:rsid w:val="00874B63"/>
    <w:rsid w:val="00875731"/>
    <w:rsid w:val="00875AF7"/>
    <w:rsid w:val="00876878"/>
    <w:rsid w:val="008771B6"/>
    <w:rsid w:val="00877D6C"/>
    <w:rsid w:val="00877E14"/>
    <w:rsid w:val="0088071C"/>
    <w:rsid w:val="00882225"/>
    <w:rsid w:val="0088291A"/>
    <w:rsid w:val="00882920"/>
    <w:rsid w:val="00883780"/>
    <w:rsid w:val="00883B3D"/>
    <w:rsid w:val="008845FA"/>
    <w:rsid w:val="008851C5"/>
    <w:rsid w:val="00887762"/>
    <w:rsid w:val="00890335"/>
    <w:rsid w:val="00891845"/>
    <w:rsid w:val="008918D7"/>
    <w:rsid w:val="00891A61"/>
    <w:rsid w:val="00892285"/>
    <w:rsid w:val="00892665"/>
    <w:rsid w:val="00892825"/>
    <w:rsid w:val="00893546"/>
    <w:rsid w:val="00894049"/>
    <w:rsid w:val="0089411D"/>
    <w:rsid w:val="0089766E"/>
    <w:rsid w:val="008976D7"/>
    <w:rsid w:val="008A078F"/>
    <w:rsid w:val="008A0CF2"/>
    <w:rsid w:val="008A0D02"/>
    <w:rsid w:val="008A2CD6"/>
    <w:rsid w:val="008A3949"/>
    <w:rsid w:val="008A47C1"/>
    <w:rsid w:val="008A6316"/>
    <w:rsid w:val="008A6AAB"/>
    <w:rsid w:val="008A7BA1"/>
    <w:rsid w:val="008B1487"/>
    <w:rsid w:val="008B3340"/>
    <w:rsid w:val="008B34B0"/>
    <w:rsid w:val="008B34EF"/>
    <w:rsid w:val="008B3640"/>
    <w:rsid w:val="008B4D9F"/>
    <w:rsid w:val="008B4F0F"/>
    <w:rsid w:val="008B534E"/>
    <w:rsid w:val="008B5CDA"/>
    <w:rsid w:val="008B5FFB"/>
    <w:rsid w:val="008B7379"/>
    <w:rsid w:val="008C0F46"/>
    <w:rsid w:val="008C15A8"/>
    <w:rsid w:val="008C217A"/>
    <w:rsid w:val="008C3E0D"/>
    <w:rsid w:val="008C3E2C"/>
    <w:rsid w:val="008C40E9"/>
    <w:rsid w:val="008C4E0C"/>
    <w:rsid w:val="008D19A8"/>
    <w:rsid w:val="008D290E"/>
    <w:rsid w:val="008D2F3B"/>
    <w:rsid w:val="008D33E2"/>
    <w:rsid w:val="008D428C"/>
    <w:rsid w:val="008D4FF1"/>
    <w:rsid w:val="008D5143"/>
    <w:rsid w:val="008D5C0C"/>
    <w:rsid w:val="008D6C57"/>
    <w:rsid w:val="008D7979"/>
    <w:rsid w:val="008E0137"/>
    <w:rsid w:val="008E0981"/>
    <w:rsid w:val="008E09C2"/>
    <w:rsid w:val="008E0E98"/>
    <w:rsid w:val="008E1120"/>
    <w:rsid w:val="008E12AA"/>
    <w:rsid w:val="008E5834"/>
    <w:rsid w:val="008E6274"/>
    <w:rsid w:val="008E6788"/>
    <w:rsid w:val="008E71EC"/>
    <w:rsid w:val="008E7874"/>
    <w:rsid w:val="008F022E"/>
    <w:rsid w:val="008F0802"/>
    <w:rsid w:val="008F153E"/>
    <w:rsid w:val="008F15A7"/>
    <w:rsid w:val="008F16C2"/>
    <w:rsid w:val="008F1A5C"/>
    <w:rsid w:val="008F1C71"/>
    <w:rsid w:val="008F65F0"/>
    <w:rsid w:val="008F76AA"/>
    <w:rsid w:val="008F78E9"/>
    <w:rsid w:val="008F7C1D"/>
    <w:rsid w:val="008F7C72"/>
    <w:rsid w:val="009005D3"/>
    <w:rsid w:val="00902455"/>
    <w:rsid w:val="00902B0D"/>
    <w:rsid w:val="00902B40"/>
    <w:rsid w:val="00902BFA"/>
    <w:rsid w:val="00903119"/>
    <w:rsid w:val="00904039"/>
    <w:rsid w:val="009042F2"/>
    <w:rsid w:val="00905283"/>
    <w:rsid w:val="009058C5"/>
    <w:rsid w:val="00905C1F"/>
    <w:rsid w:val="00906F8F"/>
    <w:rsid w:val="009105A8"/>
    <w:rsid w:val="0091137F"/>
    <w:rsid w:val="00912EDF"/>
    <w:rsid w:val="009135FD"/>
    <w:rsid w:val="009137B5"/>
    <w:rsid w:val="00913D27"/>
    <w:rsid w:val="00913DFF"/>
    <w:rsid w:val="00914746"/>
    <w:rsid w:val="0091685D"/>
    <w:rsid w:val="00916E81"/>
    <w:rsid w:val="00917588"/>
    <w:rsid w:val="00917594"/>
    <w:rsid w:val="009208BA"/>
    <w:rsid w:val="0092146B"/>
    <w:rsid w:val="0092242C"/>
    <w:rsid w:val="0092264F"/>
    <w:rsid w:val="009228E6"/>
    <w:rsid w:val="00922CB7"/>
    <w:rsid w:val="00923729"/>
    <w:rsid w:val="009248F5"/>
    <w:rsid w:val="00925620"/>
    <w:rsid w:val="00925C55"/>
    <w:rsid w:val="009262B1"/>
    <w:rsid w:val="00930178"/>
    <w:rsid w:val="00931B69"/>
    <w:rsid w:val="0093354B"/>
    <w:rsid w:val="009349DA"/>
    <w:rsid w:val="0093571A"/>
    <w:rsid w:val="009374EF"/>
    <w:rsid w:val="009378B7"/>
    <w:rsid w:val="00937AAD"/>
    <w:rsid w:val="00937D6F"/>
    <w:rsid w:val="00940BFF"/>
    <w:rsid w:val="00942559"/>
    <w:rsid w:val="00942BB5"/>
    <w:rsid w:val="00942BC9"/>
    <w:rsid w:val="00943524"/>
    <w:rsid w:val="00943D0F"/>
    <w:rsid w:val="00944BB7"/>
    <w:rsid w:val="00944C32"/>
    <w:rsid w:val="009453E5"/>
    <w:rsid w:val="00945642"/>
    <w:rsid w:val="0094621E"/>
    <w:rsid w:val="00946615"/>
    <w:rsid w:val="00946983"/>
    <w:rsid w:val="00946BD3"/>
    <w:rsid w:val="009475DB"/>
    <w:rsid w:val="00947CD6"/>
    <w:rsid w:val="009508AD"/>
    <w:rsid w:val="00951590"/>
    <w:rsid w:val="00951B35"/>
    <w:rsid w:val="00951FD1"/>
    <w:rsid w:val="00951FE8"/>
    <w:rsid w:val="009521A0"/>
    <w:rsid w:val="009528AF"/>
    <w:rsid w:val="00952CA6"/>
    <w:rsid w:val="009537D5"/>
    <w:rsid w:val="00953811"/>
    <w:rsid w:val="00953EE8"/>
    <w:rsid w:val="00955813"/>
    <w:rsid w:val="009563FE"/>
    <w:rsid w:val="0095746C"/>
    <w:rsid w:val="00960846"/>
    <w:rsid w:val="00960FDD"/>
    <w:rsid w:val="0096126F"/>
    <w:rsid w:val="009620A7"/>
    <w:rsid w:val="00963540"/>
    <w:rsid w:val="0096450C"/>
    <w:rsid w:val="009661C3"/>
    <w:rsid w:val="00966495"/>
    <w:rsid w:val="00966A2A"/>
    <w:rsid w:val="00967185"/>
    <w:rsid w:val="00967D83"/>
    <w:rsid w:val="00971DFC"/>
    <w:rsid w:val="0097372A"/>
    <w:rsid w:val="009738AD"/>
    <w:rsid w:val="00973B26"/>
    <w:rsid w:val="00973B9F"/>
    <w:rsid w:val="0097575D"/>
    <w:rsid w:val="0097672A"/>
    <w:rsid w:val="00976976"/>
    <w:rsid w:val="009776B2"/>
    <w:rsid w:val="009814EA"/>
    <w:rsid w:val="00981F3D"/>
    <w:rsid w:val="009821C4"/>
    <w:rsid w:val="0098228A"/>
    <w:rsid w:val="0098270A"/>
    <w:rsid w:val="00982980"/>
    <w:rsid w:val="00983106"/>
    <w:rsid w:val="00983CE5"/>
    <w:rsid w:val="00983EC6"/>
    <w:rsid w:val="00983F49"/>
    <w:rsid w:val="009863BC"/>
    <w:rsid w:val="00986F7D"/>
    <w:rsid w:val="00987E64"/>
    <w:rsid w:val="00990B97"/>
    <w:rsid w:val="0099304B"/>
    <w:rsid w:val="00993B25"/>
    <w:rsid w:val="0099488E"/>
    <w:rsid w:val="00994DE6"/>
    <w:rsid w:val="00995188"/>
    <w:rsid w:val="00995AF5"/>
    <w:rsid w:val="009969EE"/>
    <w:rsid w:val="00997394"/>
    <w:rsid w:val="0099794B"/>
    <w:rsid w:val="00997CF3"/>
    <w:rsid w:val="00997E92"/>
    <w:rsid w:val="009A0DF7"/>
    <w:rsid w:val="009A0E6A"/>
    <w:rsid w:val="009A19A7"/>
    <w:rsid w:val="009A1A40"/>
    <w:rsid w:val="009A1BBD"/>
    <w:rsid w:val="009A20F9"/>
    <w:rsid w:val="009A2163"/>
    <w:rsid w:val="009A3A55"/>
    <w:rsid w:val="009A40DB"/>
    <w:rsid w:val="009A4506"/>
    <w:rsid w:val="009A50CF"/>
    <w:rsid w:val="009A753A"/>
    <w:rsid w:val="009A7D23"/>
    <w:rsid w:val="009B010F"/>
    <w:rsid w:val="009B0601"/>
    <w:rsid w:val="009B0831"/>
    <w:rsid w:val="009B0B28"/>
    <w:rsid w:val="009B0BE7"/>
    <w:rsid w:val="009B3EC1"/>
    <w:rsid w:val="009B51B1"/>
    <w:rsid w:val="009B568B"/>
    <w:rsid w:val="009C0AFC"/>
    <w:rsid w:val="009C0B64"/>
    <w:rsid w:val="009C2969"/>
    <w:rsid w:val="009C2D32"/>
    <w:rsid w:val="009C45F5"/>
    <w:rsid w:val="009C4A04"/>
    <w:rsid w:val="009C4A26"/>
    <w:rsid w:val="009C4B49"/>
    <w:rsid w:val="009C56DB"/>
    <w:rsid w:val="009C598A"/>
    <w:rsid w:val="009C5A64"/>
    <w:rsid w:val="009C63F9"/>
    <w:rsid w:val="009C6DBB"/>
    <w:rsid w:val="009C7E01"/>
    <w:rsid w:val="009D05C1"/>
    <w:rsid w:val="009D0C13"/>
    <w:rsid w:val="009D17F9"/>
    <w:rsid w:val="009D19CD"/>
    <w:rsid w:val="009D1E0C"/>
    <w:rsid w:val="009D238D"/>
    <w:rsid w:val="009D24B2"/>
    <w:rsid w:val="009D28AB"/>
    <w:rsid w:val="009D4734"/>
    <w:rsid w:val="009D597E"/>
    <w:rsid w:val="009D60C9"/>
    <w:rsid w:val="009D6716"/>
    <w:rsid w:val="009D7C70"/>
    <w:rsid w:val="009E0661"/>
    <w:rsid w:val="009E0A1C"/>
    <w:rsid w:val="009E1481"/>
    <w:rsid w:val="009E15F5"/>
    <w:rsid w:val="009E162D"/>
    <w:rsid w:val="009E2477"/>
    <w:rsid w:val="009E2C90"/>
    <w:rsid w:val="009E369D"/>
    <w:rsid w:val="009E36CD"/>
    <w:rsid w:val="009E55F1"/>
    <w:rsid w:val="009E566F"/>
    <w:rsid w:val="009E58E0"/>
    <w:rsid w:val="009E6EF5"/>
    <w:rsid w:val="009E6F54"/>
    <w:rsid w:val="009E70F9"/>
    <w:rsid w:val="009F03E0"/>
    <w:rsid w:val="009F14D9"/>
    <w:rsid w:val="009F1574"/>
    <w:rsid w:val="009F2941"/>
    <w:rsid w:val="009F2F7E"/>
    <w:rsid w:val="009F3EF3"/>
    <w:rsid w:val="009F493A"/>
    <w:rsid w:val="009F49BB"/>
    <w:rsid w:val="009F5E62"/>
    <w:rsid w:val="009F5ECF"/>
    <w:rsid w:val="009F631B"/>
    <w:rsid w:val="009F6F16"/>
    <w:rsid w:val="009F73BE"/>
    <w:rsid w:val="009F7B85"/>
    <w:rsid w:val="00A00453"/>
    <w:rsid w:val="00A00ABA"/>
    <w:rsid w:val="00A01EA8"/>
    <w:rsid w:val="00A02EC3"/>
    <w:rsid w:val="00A04271"/>
    <w:rsid w:val="00A04561"/>
    <w:rsid w:val="00A04FD6"/>
    <w:rsid w:val="00A0661F"/>
    <w:rsid w:val="00A07710"/>
    <w:rsid w:val="00A07839"/>
    <w:rsid w:val="00A07922"/>
    <w:rsid w:val="00A079D6"/>
    <w:rsid w:val="00A109CB"/>
    <w:rsid w:val="00A10E64"/>
    <w:rsid w:val="00A116FC"/>
    <w:rsid w:val="00A11F59"/>
    <w:rsid w:val="00A120C9"/>
    <w:rsid w:val="00A12903"/>
    <w:rsid w:val="00A12AD3"/>
    <w:rsid w:val="00A14317"/>
    <w:rsid w:val="00A14A3B"/>
    <w:rsid w:val="00A1511B"/>
    <w:rsid w:val="00A1535C"/>
    <w:rsid w:val="00A1786D"/>
    <w:rsid w:val="00A20B8F"/>
    <w:rsid w:val="00A231E5"/>
    <w:rsid w:val="00A2455D"/>
    <w:rsid w:val="00A24B0C"/>
    <w:rsid w:val="00A25286"/>
    <w:rsid w:val="00A2538B"/>
    <w:rsid w:val="00A2660F"/>
    <w:rsid w:val="00A26AB7"/>
    <w:rsid w:val="00A26D45"/>
    <w:rsid w:val="00A279D3"/>
    <w:rsid w:val="00A30AF4"/>
    <w:rsid w:val="00A30DBD"/>
    <w:rsid w:val="00A3187F"/>
    <w:rsid w:val="00A325D8"/>
    <w:rsid w:val="00A3415E"/>
    <w:rsid w:val="00A34F7E"/>
    <w:rsid w:val="00A36AE7"/>
    <w:rsid w:val="00A36C64"/>
    <w:rsid w:val="00A36D8F"/>
    <w:rsid w:val="00A371C8"/>
    <w:rsid w:val="00A37D24"/>
    <w:rsid w:val="00A37F3C"/>
    <w:rsid w:val="00A410A3"/>
    <w:rsid w:val="00A4177F"/>
    <w:rsid w:val="00A41B2E"/>
    <w:rsid w:val="00A41CB2"/>
    <w:rsid w:val="00A43463"/>
    <w:rsid w:val="00A43C21"/>
    <w:rsid w:val="00A44050"/>
    <w:rsid w:val="00A44B22"/>
    <w:rsid w:val="00A45711"/>
    <w:rsid w:val="00A46028"/>
    <w:rsid w:val="00A46D03"/>
    <w:rsid w:val="00A47A17"/>
    <w:rsid w:val="00A47C4D"/>
    <w:rsid w:val="00A47DF0"/>
    <w:rsid w:val="00A50492"/>
    <w:rsid w:val="00A5052C"/>
    <w:rsid w:val="00A5093E"/>
    <w:rsid w:val="00A50D83"/>
    <w:rsid w:val="00A51399"/>
    <w:rsid w:val="00A51B59"/>
    <w:rsid w:val="00A51C4D"/>
    <w:rsid w:val="00A52297"/>
    <w:rsid w:val="00A53571"/>
    <w:rsid w:val="00A55006"/>
    <w:rsid w:val="00A558E1"/>
    <w:rsid w:val="00A55CC3"/>
    <w:rsid w:val="00A57C85"/>
    <w:rsid w:val="00A600BF"/>
    <w:rsid w:val="00A60602"/>
    <w:rsid w:val="00A610C8"/>
    <w:rsid w:val="00A614D1"/>
    <w:rsid w:val="00A614DD"/>
    <w:rsid w:val="00A61BDD"/>
    <w:rsid w:val="00A61EBB"/>
    <w:rsid w:val="00A6299A"/>
    <w:rsid w:val="00A62ED8"/>
    <w:rsid w:val="00A631AD"/>
    <w:rsid w:val="00A63FC5"/>
    <w:rsid w:val="00A64343"/>
    <w:rsid w:val="00A643DC"/>
    <w:rsid w:val="00A64563"/>
    <w:rsid w:val="00A65092"/>
    <w:rsid w:val="00A655DE"/>
    <w:rsid w:val="00A65AEC"/>
    <w:rsid w:val="00A663BD"/>
    <w:rsid w:val="00A6689E"/>
    <w:rsid w:val="00A6728F"/>
    <w:rsid w:val="00A67510"/>
    <w:rsid w:val="00A67920"/>
    <w:rsid w:val="00A679F4"/>
    <w:rsid w:val="00A67C1F"/>
    <w:rsid w:val="00A67F36"/>
    <w:rsid w:val="00A70DE1"/>
    <w:rsid w:val="00A720BF"/>
    <w:rsid w:val="00A727CB"/>
    <w:rsid w:val="00A72910"/>
    <w:rsid w:val="00A72D86"/>
    <w:rsid w:val="00A73576"/>
    <w:rsid w:val="00A76197"/>
    <w:rsid w:val="00A76AAF"/>
    <w:rsid w:val="00A8126A"/>
    <w:rsid w:val="00A83EC0"/>
    <w:rsid w:val="00A83F30"/>
    <w:rsid w:val="00A84067"/>
    <w:rsid w:val="00A843D1"/>
    <w:rsid w:val="00A84C86"/>
    <w:rsid w:val="00A84DF1"/>
    <w:rsid w:val="00A85A60"/>
    <w:rsid w:val="00A86DE1"/>
    <w:rsid w:val="00A86EF8"/>
    <w:rsid w:val="00A90916"/>
    <w:rsid w:val="00A9102D"/>
    <w:rsid w:val="00A919F7"/>
    <w:rsid w:val="00A92736"/>
    <w:rsid w:val="00A93EE7"/>
    <w:rsid w:val="00A94E34"/>
    <w:rsid w:val="00A962C2"/>
    <w:rsid w:val="00A967C0"/>
    <w:rsid w:val="00AA04EC"/>
    <w:rsid w:val="00AA09AD"/>
    <w:rsid w:val="00AA0F9D"/>
    <w:rsid w:val="00AA0FEB"/>
    <w:rsid w:val="00AA2587"/>
    <w:rsid w:val="00AA2CAF"/>
    <w:rsid w:val="00AA326A"/>
    <w:rsid w:val="00AA44D8"/>
    <w:rsid w:val="00AA48B2"/>
    <w:rsid w:val="00AA68E2"/>
    <w:rsid w:val="00AB101B"/>
    <w:rsid w:val="00AB37A4"/>
    <w:rsid w:val="00AB4046"/>
    <w:rsid w:val="00AB65A8"/>
    <w:rsid w:val="00AB7AFB"/>
    <w:rsid w:val="00AB7F36"/>
    <w:rsid w:val="00AC04D4"/>
    <w:rsid w:val="00AC0B74"/>
    <w:rsid w:val="00AC1A8C"/>
    <w:rsid w:val="00AC247F"/>
    <w:rsid w:val="00AC360D"/>
    <w:rsid w:val="00AC3B60"/>
    <w:rsid w:val="00AC4A49"/>
    <w:rsid w:val="00AC5EC7"/>
    <w:rsid w:val="00AC79BD"/>
    <w:rsid w:val="00AC79F4"/>
    <w:rsid w:val="00AD2383"/>
    <w:rsid w:val="00AD2A18"/>
    <w:rsid w:val="00AD3AA0"/>
    <w:rsid w:val="00AD3F5B"/>
    <w:rsid w:val="00AD4108"/>
    <w:rsid w:val="00AD4375"/>
    <w:rsid w:val="00AD4717"/>
    <w:rsid w:val="00AD5B0F"/>
    <w:rsid w:val="00AD5E86"/>
    <w:rsid w:val="00AD61D6"/>
    <w:rsid w:val="00AD6336"/>
    <w:rsid w:val="00AD7B97"/>
    <w:rsid w:val="00AD7F52"/>
    <w:rsid w:val="00AE0C5C"/>
    <w:rsid w:val="00AE2075"/>
    <w:rsid w:val="00AE31A5"/>
    <w:rsid w:val="00AE3735"/>
    <w:rsid w:val="00AE44F6"/>
    <w:rsid w:val="00AE4E76"/>
    <w:rsid w:val="00AE54DC"/>
    <w:rsid w:val="00AE5919"/>
    <w:rsid w:val="00AE60AE"/>
    <w:rsid w:val="00AE61B6"/>
    <w:rsid w:val="00AE6257"/>
    <w:rsid w:val="00AE6C9A"/>
    <w:rsid w:val="00AE6E4C"/>
    <w:rsid w:val="00AE760E"/>
    <w:rsid w:val="00AE7D42"/>
    <w:rsid w:val="00AF030C"/>
    <w:rsid w:val="00AF0345"/>
    <w:rsid w:val="00AF0899"/>
    <w:rsid w:val="00AF0AD3"/>
    <w:rsid w:val="00AF11C9"/>
    <w:rsid w:val="00AF172E"/>
    <w:rsid w:val="00AF2741"/>
    <w:rsid w:val="00AF2DF2"/>
    <w:rsid w:val="00AF2EE0"/>
    <w:rsid w:val="00AF4C80"/>
    <w:rsid w:val="00AF5DDA"/>
    <w:rsid w:val="00AF64AE"/>
    <w:rsid w:val="00AF72FD"/>
    <w:rsid w:val="00AF77A8"/>
    <w:rsid w:val="00B00974"/>
    <w:rsid w:val="00B014E9"/>
    <w:rsid w:val="00B0152B"/>
    <w:rsid w:val="00B01575"/>
    <w:rsid w:val="00B019C4"/>
    <w:rsid w:val="00B02508"/>
    <w:rsid w:val="00B02943"/>
    <w:rsid w:val="00B02D59"/>
    <w:rsid w:val="00B039B6"/>
    <w:rsid w:val="00B03FA0"/>
    <w:rsid w:val="00B0403B"/>
    <w:rsid w:val="00B04224"/>
    <w:rsid w:val="00B05762"/>
    <w:rsid w:val="00B05FD2"/>
    <w:rsid w:val="00B06553"/>
    <w:rsid w:val="00B067F8"/>
    <w:rsid w:val="00B070CB"/>
    <w:rsid w:val="00B10036"/>
    <w:rsid w:val="00B100B0"/>
    <w:rsid w:val="00B11E98"/>
    <w:rsid w:val="00B11ED3"/>
    <w:rsid w:val="00B12B0A"/>
    <w:rsid w:val="00B12BE2"/>
    <w:rsid w:val="00B12F3B"/>
    <w:rsid w:val="00B14DF0"/>
    <w:rsid w:val="00B1689C"/>
    <w:rsid w:val="00B172ED"/>
    <w:rsid w:val="00B17568"/>
    <w:rsid w:val="00B17592"/>
    <w:rsid w:val="00B17EDA"/>
    <w:rsid w:val="00B17FBB"/>
    <w:rsid w:val="00B20430"/>
    <w:rsid w:val="00B20D47"/>
    <w:rsid w:val="00B242C3"/>
    <w:rsid w:val="00B246F9"/>
    <w:rsid w:val="00B260C5"/>
    <w:rsid w:val="00B267E9"/>
    <w:rsid w:val="00B27A88"/>
    <w:rsid w:val="00B309E4"/>
    <w:rsid w:val="00B31911"/>
    <w:rsid w:val="00B3265D"/>
    <w:rsid w:val="00B32A54"/>
    <w:rsid w:val="00B40500"/>
    <w:rsid w:val="00B409E1"/>
    <w:rsid w:val="00B41CCD"/>
    <w:rsid w:val="00B41D3D"/>
    <w:rsid w:val="00B45443"/>
    <w:rsid w:val="00B46125"/>
    <w:rsid w:val="00B464E5"/>
    <w:rsid w:val="00B46567"/>
    <w:rsid w:val="00B46D0F"/>
    <w:rsid w:val="00B4762E"/>
    <w:rsid w:val="00B502A3"/>
    <w:rsid w:val="00B50718"/>
    <w:rsid w:val="00B50D60"/>
    <w:rsid w:val="00B51190"/>
    <w:rsid w:val="00B51459"/>
    <w:rsid w:val="00B52D53"/>
    <w:rsid w:val="00B53C22"/>
    <w:rsid w:val="00B54604"/>
    <w:rsid w:val="00B551D8"/>
    <w:rsid w:val="00B55C96"/>
    <w:rsid w:val="00B55CFF"/>
    <w:rsid w:val="00B560BE"/>
    <w:rsid w:val="00B56295"/>
    <w:rsid w:val="00B600D1"/>
    <w:rsid w:val="00B60169"/>
    <w:rsid w:val="00B629F7"/>
    <w:rsid w:val="00B63100"/>
    <w:rsid w:val="00B64C27"/>
    <w:rsid w:val="00B6701F"/>
    <w:rsid w:val="00B6730A"/>
    <w:rsid w:val="00B70F96"/>
    <w:rsid w:val="00B7154E"/>
    <w:rsid w:val="00B719A9"/>
    <w:rsid w:val="00B71F8D"/>
    <w:rsid w:val="00B72D51"/>
    <w:rsid w:val="00B734EC"/>
    <w:rsid w:val="00B736E1"/>
    <w:rsid w:val="00B74194"/>
    <w:rsid w:val="00B74E32"/>
    <w:rsid w:val="00B7579C"/>
    <w:rsid w:val="00B7616A"/>
    <w:rsid w:val="00B775AA"/>
    <w:rsid w:val="00B77948"/>
    <w:rsid w:val="00B80341"/>
    <w:rsid w:val="00B803F4"/>
    <w:rsid w:val="00B83693"/>
    <w:rsid w:val="00B84CC6"/>
    <w:rsid w:val="00B854A4"/>
    <w:rsid w:val="00B8658F"/>
    <w:rsid w:val="00B86E76"/>
    <w:rsid w:val="00B87281"/>
    <w:rsid w:val="00B924F1"/>
    <w:rsid w:val="00B92B03"/>
    <w:rsid w:val="00B93E4A"/>
    <w:rsid w:val="00B93FAA"/>
    <w:rsid w:val="00B94B44"/>
    <w:rsid w:val="00B95725"/>
    <w:rsid w:val="00B974F2"/>
    <w:rsid w:val="00B97F12"/>
    <w:rsid w:val="00BA0002"/>
    <w:rsid w:val="00BA0993"/>
    <w:rsid w:val="00BA1105"/>
    <w:rsid w:val="00BA14DC"/>
    <w:rsid w:val="00BA1CE2"/>
    <w:rsid w:val="00BA23E5"/>
    <w:rsid w:val="00BA26F8"/>
    <w:rsid w:val="00BA2C70"/>
    <w:rsid w:val="00BA2C8D"/>
    <w:rsid w:val="00BA3434"/>
    <w:rsid w:val="00BA391F"/>
    <w:rsid w:val="00BA3C32"/>
    <w:rsid w:val="00BA414F"/>
    <w:rsid w:val="00BA55B7"/>
    <w:rsid w:val="00BA6272"/>
    <w:rsid w:val="00BB0207"/>
    <w:rsid w:val="00BB026F"/>
    <w:rsid w:val="00BB02DD"/>
    <w:rsid w:val="00BB0B93"/>
    <w:rsid w:val="00BB1BD8"/>
    <w:rsid w:val="00BB1CCB"/>
    <w:rsid w:val="00BB20F6"/>
    <w:rsid w:val="00BB2D39"/>
    <w:rsid w:val="00BB3289"/>
    <w:rsid w:val="00BB3903"/>
    <w:rsid w:val="00BB4213"/>
    <w:rsid w:val="00BB4863"/>
    <w:rsid w:val="00BB5224"/>
    <w:rsid w:val="00BB6F98"/>
    <w:rsid w:val="00BC19AE"/>
    <w:rsid w:val="00BC2530"/>
    <w:rsid w:val="00BC2F9D"/>
    <w:rsid w:val="00BC4ABD"/>
    <w:rsid w:val="00BC4DFE"/>
    <w:rsid w:val="00BC4E35"/>
    <w:rsid w:val="00BC57DC"/>
    <w:rsid w:val="00BC5A7F"/>
    <w:rsid w:val="00BC680C"/>
    <w:rsid w:val="00BC699A"/>
    <w:rsid w:val="00BC6CCA"/>
    <w:rsid w:val="00BC7188"/>
    <w:rsid w:val="00BC72A1"/>
    <w:rsid w:val="00BC7855"/>
    <w:rsid w:val="00BC7DFA"/>
    <w:rsid w:val="00BD0E43"/>
    <w:rsid w:val="00BD1240"/>
    <w:rsid w:val="00BD3FEC"/>
    <w:rsid w:val="00BD4256"/>
    <w:rsid w:val="00BD4835"/>
    <w:rsid w:val="00BD52DE"/>
    <w:rsid w:val="00BD5DCB"/>
    <w:rsid w:val="00BD694A"/>
    <w:rsid w:val="00BD6F7C"/>
    <w:rsid w:val="00BD756D"/>
    <w:rsid w:val="00BE0DFB"/>
    <w:rsid w:val="00BE2566"/>
    <w:rsid w:val="00BE34F6"/>
    <w:rsid w:val="00BE3909"/>
    <w:rsid w:val="00BE3C9D"/>
    <w:rsid w:val="00BE3EC2"/>
    <w:rsid w:val="00BE44FA"/>
    <w:rsid w:val="00BE4665"/>
    <w:rsid w:val="00BE5E7B"/>
    <w:rsid w:val="00BF0407"/>
    <w:rsid w:val="00BF0C6B"/>
    <w:rsid w:val="00BF182C"/>
    <w:rsid w:val="00BF3B07"/>
    <w:rsid w:val="00BF4789"/>
    <w:rsid w:val="00BF492D"/>
    <w:rsid w:val="00BF4941"/>
    <w:rsid w:val="00BF49CF"/>
    <w:rsid w:val="00BF4E19"/>
    <w:rsid w:val="00BF6837"/>
    <w:rsid w:val="00BF6B24"/>
    <w:rsid w:val="00BF70D0"/>
    <w:rsid w:val="00BF7332"/>
    <w:rsid w:val="00BF7F85"/>
    <w:rsid w:val="00C0061D"/>
    <w:rsid w:val="00C00664"/>
    <w:rsid w:val="00C006A5"/>
    <w:rsid w:val="00C016B4"/>
    <w:rsid w:val="00C02790"/>
    <w:rsid w:val="00C03EC0"/>
    <w:rsid w:val="00C0481F"/>
    <w:rsid w:val="00C06A5A"/>
    <w:rsid w:val="00C06F80"/>
    <w:rsid w:val="00C07190"/>
    <w:rsid w:val="00C07CD9"/>
    <w:rsid w:val="00C109EE"/>
    <w:rsid w:val="00C113FF"/>
    <w:rsid w:val="00C13E43"/>
    <w:rsid w:val="00C15D8D"/>
    <w:rsid w:val="00C165ED"/>
    <w:rsid w:val="00C2053F"/>
    <w:rsid w:val="00C20CE0"/>
    <w:rsid w:val="00C20F2D"/>
    <w:rsid w:val="00C21DF0"/>
    <w:rsid w:val="00C23127"/>
    <w:rsid w:val="00C24328"/>
    <w:rsid w:val="00C26240"/>
    <w:rsid w:val="00C262F8"/>
    <w:rsid w:val="00C2700E"/>
    <w:rsid w:val="00C279D4"/>
    <w:rsid w:val="00C30AFF"/>
    <w:rsid w:val="00C30EF5"/>
    <w:rsid w:val="00C3212E"/>
    <w:rsid w:val="00C32773"/>
    <w:rsid w:val="00C32B8F"/>
    <w:rsid w:val="00C33325"/>
    <w:rsid w:val="00C339B6"/>
    <w:rsid w:val="00C35FFF"/>
    <w:rsid w:val="00C361E6"/>
    <w:rsid w:val="00C36594"/>
    <w:rsid w:val="00C36841"/>
    <w:rsid w:val="00C36AD3"/>
    <w:rsid w:val="00C36C6E"/>
    <w:rsid w:val="00C37D5C"/>
    <w:rsid w:val="00C4188D"/>
    <w:rsid w:val="00C41B10"/>
    <w:rsid w:val="00C44109"/>
    <w:rsid w:val="00C4415E"/>
    <w:rsid w:val="00C44FDB"/>
    <w:rsid w:val="00C46D70"/>
    <w:rsid w:val="00C470D5"/>
    <w:rsid w:val="00C47409"/>
    <w:rsid w:val="00C511C9"/>
    <w:rsid w:val="00C5169B"/>
    <w:rsid w:val="00C51749"/>
    <w:rsid w:val="00C520B2"/>
    <w:rsid w:val="00C52248"/>
    <w:rsid w:val="00C525F6"/>
    <w:rsid w:val="00C527DE"/>
    <w:rsid w:val="00C53DAC"/>
    <w:rsid w:val="00C53F48"/>
    <w:rsid w:val="00C5420D"/>
    <w:rsid w:val="00C54460"/>
    <w:rsid w:val="00C54998"/>
    <w:rsid w:val="00C54D93"/>
    <w:rsid w:val="00C56DE0"/>
    <w:rsid w:val="00C6078A"/>
    <w:rsid w:val="00C60E44"/>
    <w:rsid w:val="00C61963"/>
    <w:rsid w:val="00C6198C"/>
    <w:rsid w:val="00C61EC4"/>
    <w:rsid w:val="00C6252E"/>
    <w:rsid w:val="00C62776"/>
    <w:rsid w:val="00C6307B"/>
    <w:rsid w:val="00C63445"/>
    <w:rsid w:val="00C6393B"/>
    <w:rsid w:val="00C63A22"/>
    <w:rsid w:val="00C64280"/>
    <w:rsid w:val="00C64324"/>
    <w:rsid w:val="00C64DE6"/>
    <w:rsid w:val="00C65AE7"/>
    <w:rsid w:val="00C66847"/>
    <w:rsid w:val="00C67B74"/>
    <w:rsid w:val="00C7011E"/>
    <w:rsid w:val="00C71140"/>
    <w:rsid w:val="00C7161A"/>
    <w:rsid w:val="00C71761"/>
    <w:rsid w:val="00C722E8"/>
    <w:rsid w:val="00C74416"/>
    <w:rsid w:val="00C74A5F"/>
    <w:rsid w:val="00C74F11"/>
    <w:rsid w:val="00C76AE8"/>
    <w:rsid w:val="00C778A8"/>
    <w:rsid w:val="00C80FDB"/>
    <w:rsid w:val="00C8160C"/>
    <w:rsid w:val="00C81A15"/>
    <w:rsid w:val="00C82541"/>
    <w:rsid w:val="00C83353"/>
    <w:rsid w:val="00C84006"/>
    <w:rsid w:val="00C84C0A"/>
    <w:rsid w:val="00C853A7"/>
    <w:rsid w:val="00C8607B"/>
    <w:rsid w:val="00C86E6C"/>
    <w:rsid w:val="00C87F5A"/>
    <w:rsid w:val="00C9041F"/>
    <w:rsid w:val="00C92B49"/>
    <w:rsid w:val="00C9332A"/>
    <w:rsid w:val="00C95D39"/>
    <w:rsid w:val="00C96092"/>
    <w:rsid w:val="00C97556"/>
    <w:rsid w:val="00CA00BD"/>
    <w:rsid w:val="00CA030E"/>
    <w:rsid w:val="00CA0F21"/>
    <w:rsid w:val="00CA1660"/>
    <w:rsid w:val="00CA169E"/>
    <w:rsid w:val="00CA1C66"/>
    <w:rsid w:val="00CA2C0E"/>
    <w:rsid w:val="00CA38E9"/>
    <w:rsid w:val="00CA455F"/>
    <w:rsid w:val="00CA4DBD"/>
    <w:rsid w:val="00CA5131"/>
    <w:rsid w:val="00CA6D3C"/>
    <w:rsid w:val="00CA717C"/>
    <w:rsid w:val="00CB0097"/>
    <w:rsid w:val="00CB07A1"/>
    <w:rsid w:val="00CB1808"/>
    <w:rsid w:val="00CB2D8F"/>
    <w:rsid w:val="00CB4E56"/>
    <w:rsid w:val="00CB524F"/>
    <w:rsid w:val="00CB7C57"/>
    <w:rsid w:val="00CB7D07"/>
    <w:rsid w:val="00CC06DC"/>
    <w:rsid w:val="00CC07DA"/>
    <w:rsid w:val="00CC0972"/>
    <w:rsid w:val="00CC0F0D"/>
    <w:rsid w:val="00CC10B6"/>
    <w:rsid w:val="00CC19F3"/>
    <w:rsid w:val="00CC1EA3"/>
    <w:rsid w:val="00CC21FE"/>
    <w:rsid w:val="00CC2939"/>
    <w:rsid w:val="00CC3443"/>
    <w:rsid w:val="00CC4917"/>
    <w:rsid w:val="00CC496C"/>
    <w:rsid w:val="00CC49E6"/>
    <w:rsid w:val="00CC5248"/>
    <w:rsid w:val="00CC5BE4"/>
    <w:rsid w:val="00CC60D3"/>
    <w:rsid w:val="00CC6604"/>
    <w:rsid w:val="00CC6759"/>
    <w:rsid w:val="00CC6FDA"/>
    <w:rsid w:val="00CC702D"/>
    <w:rsid w:val="00CC75AD"/>
    <w:rsid w:val="00CD06EE"/>
    <w:rsid w:val="00CD1174"/>
    <w:rsid w:val="00CD11AA"/>
    <w:rsid w:val="00CD1365"/>
    <w:rsid w:val="00CD1997"/>
    <w:rsid w:val="00CD23FA"/>
    <w:rsid w:val="00CD3CCD"/>
    <w:rsid w:val="00CD5821"/>
    <w:rsid w:val="00CD7FAD"/>
    <w:rsid w:val="00CE0432"/>
    <w:rsid w:val="00CE08D8"/>
    <w:rsid w:val="00CE2A83"/>
    <w:rsid w:val="00CE2A84"/>
    <w:rsid w:val="00CE2FBA"/>
    <w:rsid w:val="00CE395D"/>
    <w:rsid w:val="00CE3E40"/>
    <w:rsid w:val="00CE579D"/>
    <w:rsid w:val="00CE5EC9"/>
    <w:rsid w:val="00CE6B72"/>
    <w:rsid w:val="00CE761D"/>
    <w:rsid w:val="00CE7787"/>
    <w:rsid w:val="00CF00E7"/>
    <w:rsid w:val="00CF0283"/>
    <w:rsid w:val="00CF03C1"/>
    <w:rsid w:val="00CF0D85"/>
    <w:rsid w:val="00CF0FEF"/>
    <w:rsid w:val="00CF1DBB"/>
    <w:rsid w:val="00CF25DD"/>
    <w:rsid w:val="00CF300A"/>
    <w:rsid w:val="00CF32FB"/>
    <w:rsid w:val="00CF3AC4"/>
    <w:rsid w:val="00CF4BF9"/>
    <w:rsid w:val="00CF50EB"/>
    <w:rsid w:val="00CF5C9C"/>
    <w:rsid w:val="00CF69EC"/>
    <w:rsid w:val="00D02B05"/>
    <w:rsid w:val="00D032C7"/>
    <w:rsid w:val="00D03349"/>
    <w:rsid w:val="00D03E30"/>
    <w:rsid w:val="00D04514"/>
    <w:rsid w:val="00D04A59"/>
    <w:rsid w:val="00D04B2E"/>
    <w:rsid w:val="00D04C0D"/>
    <w:rsid w:val="00D05130"/>
    <w:rsid w:val="00D067B0"/>
    <w:rsid w:val="00D073A6"/>
    <w:rsid w:val="00D07836"/>
    <w:rsid w:val="00D07925"/>
    <w:rsid w:val="00D07A1D"/>
    <w:rsid w:val="00D107B0"/>
    <w:rsid w:val="00D108DE"/>
    <w:rsid w:val="00D111C7"/>
    <w:rsid w:val="00D113E9"/>
    <w:rsid w:val="00D12C37"/>
    <w:rsid w:val="00D130E8"/>
    <w:rsid w:val="00D13C4A"/>
    <w:rsid w:val="00D14AB8"/>
    <w:rsid w:val="00D15F13"/>
    <w:rsid w:val="00D16E9F"/>
    <w:rsid w:val="00D17084"/>
    <w:rsid w:val="00D17469"/>
    <w:rsid w:val="00D17DD0"/>
    <w:rsid w:val="00D20E5D"/>
    <w:rsid w:val="00D229DE"/>
    <w:rsid w:val="00D23B37"/>
    <w:rsid w:val="00D25130"/>
    <w:rsid w:val="00D25390"/>
    <w:rsid w:val="00D26525"/>
    <w:rsid w:val="00D26622"/>
    <w:rsid w:val="00D27D0E"/>
    <w:rsid w:val="00D309CF"/>
    <w:rsid w:val="00D31132"/>
    <w:rsid w:val="00D3143F"/>
    <w:rsid w:val="00D31844"/>
    <w:rsid w:val="00D31E75"/>
    <w:rsid w:val="00D32638"/>
    <w:rsid w:val="00D32A5B"/>
    <w:rsid w:val="00D33570"/>
    <w:rsid w:val="00D33E1E"/>
    <w:rsid w:val="00D3597A"/>
    <w:rsid w:val="00D35D75"/>
    <w:rsid w:val="00D36537"/>
    <w:rsid w:val="00D3723B"/>
    <w:rsid w:val="00D3726B"/>
    <w:rsid w:val="00D40D31"/>
    <w:rsid w:val="00D40E1F"/>
    <w:rsid w:val="00D4259F"/>
    <w:rsid w:val="00D42765"/>
    <w:rsid w:val="00D42DA6"/>
    <w:rsid w:val="00D437DA"/>
    <w:rsid w:val="00D45C1D"/>
    <w:rsid w:val="00D464B2"/>
    <w:rsid w:val="00D466EE"/>
    <w:rsid w:val="00D4697E"/>
    <w:rsid w:val="00D47F4C"/>
    <w:rsid w:val="00D50472"/>
    <w:rsid w:val="00D5047F"/>
    <w:rsid w:val="00D51162"/>
    <w:rsid w:val="00D51B8B"/>
    <w:rsid w:val="00D51D86"/>
    <w:rsid w:val="00D526D7"/>
    <w:rsid w:val="00D5318C"/>
    <w:rsid w:val="00D533A2"/>
    <w:rsid w:val="00D53A08"/>
    <w:rsid w:val="00D54462"/>
    <w:rsid w:val="00D550EB"/>
    <w:rsid w:val="00D55198"/>
    <w:rsid w:val="00D55964"/>
    <w:rsid w:val="00D55B80"/>
    <w:rsid w:val="00D56B07"/>
    <w:rsid w:val="00D578D7"/>
    <w:rsid w:val="00D579E4"/>
    <w:rsid w:val="00D57E84"/>
    <w:rsid w:val="00D60BBD"/>
    <w:rsid w:val="00D61220"/>
    <w:rsid w:val="00D6149C"/>
    <w:rsid w:val="00D6208C"/>
    <w:rsid w:val="00D64D0E"/>
    <w:rsid w:val="00D6565E"/>
    <w:rsid w:val="00D667B4"/>
    <w:rsid w:val="00D67E69"/>
    <w:rsid w:val="00D718AF"/>
    <w:rsid w:val="00D72B17"/>
    <w:rsid w:val="00D72EDC"/>
    <w:rsid w:val="00D72EF1"/>
    <w:rsid w:val="00D739D0"/>
    <w:rsid w:val="00D73EE1"/>
    <w:rsid w:val="00D74D18"/>
    <w:rsid w:val="00D74DEA"/>
    <w:rsid w:val="00D7615A"/>
    <w:rsid w:val="00D76E10"/>
    <w:rsid w:val="00D77237"/>
    <w:rsid w:val="00D81575"/>
    <w:rsid w:val="00D81921"/>
    <w:rsid w:val="00D82AB6"/>
    <w:rsid w:val="00D83312"/>
    <w:rsid w:val="00D84779"/>
    <w:rsid w:val="00D8566D"/>
    <w:rsid w:val="00D86AC2"/>
    <w:rsid w:val="00D87D20"/>
    <w:rsid w:val="00D87DA4"/>
    <w:rsid w:val="00D87E9D"/>
    <w:rsid w:val="00D91115"/>
    <w:rsid w:val="00D9170C"/>
    <w:rsid w:val="00D91A32"/>
    <w:rsid w:val="00D9222C"/>
    <w:rsid w:val="00D9226C"/>
    <w:rsid w:val="00D9277E"/>
    <w:rsid w:val="00D92CEC"/>
    <w:rsid w:val="00D931BD"/>
    <w:rsid w:val="00D94324"/>
    <w:rsid w:val="00D94CDB"/>
    <w:rsid w:val="00D951BA"/>
    <w:rsid w:val="00D95D05"/>
    <w:rsid w:val="00D9697F"/>
    <w:rsid w:val="00D96E2C"/>
    <w:rsid w:val="00DA0F50"/>
    <w:rsid w:val="00DA1812"/>
    <w:rsid w:val="00DA1B9D"/>
    <w:rsid w:val="00DA3B90"/>
    <w:rsid w:val="00DA459B"/>
    <w:rsid w:val="00DA483D"/>
    <w:rsid w:val="00DA491A"/>
    <w:rsid w:val="00DA4B3A"/>
    <w:rsid w:val="00DA4BC9"/>
    <w:rsid w:val="00DA5122"/>
    <w:rsid w:val="00DA5443"/>
    <w:rsid w:val="00DA56A8"/>
    <w:rsid w:val="00DA5D65"/>
    <w:rsid w:val="00DA6280"/>
    <w:rsid w:val="00DA74F4"/>
    <w:rsid w:val="00DA7F5B"/>
    <w:rsid w:val="00DB123D"/>
    <w:rsid w:val="00DB139C"/>
    <w:rsid w:val="00DB17CB"/>
    <w:rsid w:val="00DB341F"/>
    <w:rsid w:val="00DB388D"/>
    <w:rsid w:val="00DB4725"/>
    <w:rsid w:val="00DB6138"/>
    <w:rsid w:val="00DB6BE0"/>
    <w:rsid w:val="00DC1638"/>
    <w:rsid w:val="00DC18AC"/>
    <w:rsid w:val="00DC1FFA"/>
    <w:rsid w:val="00DC23A4"/>
    <w:rsid w:val="00DC316B"/>
    <w:rsid w:val="00DC3AEB"/>
    <w:rsid w:val="00DC6901"/>
    <w:rsid w:val="00DC6F3D"/>
    <w:rsid w:val="00DC7159"/>
    <w:rsid w:val="00DC7976"/>
    <w:rsid w:val="00DC7E14"/>
    <w:rsid w:val="00DD0B49"/>
    <w:rsid w:val="00DD223B"/>
    <w:rsid w:val="00DD40C9"/>
    <w:rsid w:val="00DD4183"/>
    <w:rsid w:val="00DD48B6"/>
    <w:rsid w:val="00DD6BEA"/>
    <w:rsid w:val="00DE04D0"/>
    <w:rsid w:val="00DE0D7F"/>
    <w:rsid w:val="00DE266C"/>
    <w:rsid w:val="00DE37F9"/>
    <w:rsid w:val="00DE3AF8"/>
    <w:rsid w:val="00DE5223"/>
    <w:rsid w:val="00DE53DF"/>
    <w:rsid w:val="00DE55EC"/>
    <w:rsid w:val="00DE5C31"/>
    <w:rsid w:val="00DE678C"/>
    <w:rsid w:val="00DF138C"/>
    <w:rsid w:val="00DF2EA5"/>
    <w:rsid w:val="00DF3DBF"/>
    <w:rsid w:val="00DF4694"/>
    <w:rsid w:val="00DF4A67"/>
    <w:rsid w:val="00DF542E"/>
    <w:rsid w:val="00DF5CDB"/>
    <w:rsid w:val="00DF6A34"/>
    <w:rsid w:val="00DF6F0D"/>
    <w:rsid w:val="00E0072D"/>
    <w:rsid w:val="00E022C7"/>
    <w:rsid w:val="00E0333F"/>
    <w:rsid w:val="00E04829"/>
    <w:rsid w:val="00E04A8B"/>
    <w:rsid w:val="00E0572A"/>
    <w:rsid w:val="00E05775"/>
    <w:rsid w:val="00E05890"/>
    <w:rsid w:val="00E05D41"/>
    <w:rsid w:val="00E05FAD"/>
    <w:rsid w:val="00E06E98"/>
    <w:rsid w:val="00E12904"/>
    <w:rsid w:val="00E133AF"/>
    <w:rsid w:val="00E13E82"/>
    <w:rsid w:val="00E13E8F"/>
    <w:rsid w:val="00E15BFF"/>
    <w:rsid w:val="00E16C48"/>
    <w:rsid w:val="00E2323F"/>
    <w:rsid w:val="00E238D9"/>
    <w:rsid w:val="00E239CC"/>
    <w:rsid w:val="00E241C6"/>
    <w:rsid w:val="00E2532C"/>
    <w:rsid w:val="00E254B7"/>
    <w:rsid w:val="00E2614C"/>
    <w:rsid w:val="00E314BB"/>
    <w:rsid w:val="00E31662"/>
    <w:rsid w:val="00E322AB"/>
    <w:rsid w:val="00E325D6"/>
    <w:rsid w:val="00E331FA"/>
    <w:rsid w:val="00E33472"/>
    <w:rsid w:val="00E33796"/>
    <w:rsid w:val="00E34EA1"/>
    <w:rsid w:val="00E37AF4"/>
    <w:rsid w:val="00E402A0"/>
    <w:rsid w:val="00E40372"/>
    <w:rsid w:val="00E40F90"/>
    <w:rsid w:val="00E41BF5"/>
    <w:rsid w:val="00E4212A"/>
    <w:rsid w:val="00E431F4"/>
    <w:rsid w:val="00E449C3"/>
    <w:rsid w:val="00E4535C"/>
    <w:rsid w:val="00E475EF"/>
    <w:rsid w:val="00E47A28"/>
    <w:rsid w:val="00E50035"/>
    <w:rsid w:val="00E503DB"/>
    <w:rsid w:val="00E5063B"/>
    <w:rsid w:val="00E50D3E"/>
    <w:rsid w:val="00E51100"/>
    <w:rsid w:val="00E513E3"/>
    <w:rsid w:val="00E51E6A"/>
    <w:rsid w:val="00E524C8"/>
    <w:rsid w:val="00E52B75"/>
    <w:rsid w:val="00E5351D"/>
    <w:rsid w:val="00E539F8"/>
    <w:rsid w:val="00E547B3"/>
    <w:rsid w:val="00E55876"/>
    <w:rsid w:val="00E55970"/>
    <w:rsid w:val="00E5597A"/>
    <w:rsid w:val="00E576F0"/>
    <w:rsid w:val="00E577C4"/>
    <w:rsid w:val="00E57E4A"/>
    <w:rsid w:val="00E6133F"/>
    <w:rsid w:val="00E62459"/>
    <w:rsid w:val="00E62DD5"/>
    <w:rsid w:val="00E6452C"/>
    <w:rsid w:val="00E64B1D"/>
    <w:rsid w:val="00E64D09"/>
    <w:rsid w:val="00E65783"/>
    <w:rsid w:val="00E665AA"/>
    <w:rsid w:val="00E672DD"/>
    <w:rsid w:val="00E675CB"/>
    <w:rsid w:val="00E70220"/>
    <w:rsid w:val="00E703EF"/>
    <w:rsid w:val="00E705B4"/>
    <w:rsid w:val="00E708FF"/>
    <w:rsid w:val="00E71502"/>
    <w:rsid w:val="00E71816"/>
    <w:rsid w:val="00E71D11"/>
    <w:rsid w:val="00E72262"/>
    <w:rsid w:val="00E72D72"/>
    <w:rsid w:val="00E72E0F"/>
    <w:rsid w:val="00E73074"/>
    <w:rsid w:val="00E73591"/>
    <w:rsid w:val="00E80893"/>
    <w:rsid w:val="00E808F3"/>
    <w:rsid w:val="00E81800"/>
    <w:rsid w:val="00E81B5A"/>
    <w:rsid w:val="00E81D72"/>
    <w:rsid w:val="00E8321D"/>
    <w:rsid w:val="00E841BC"/>
    <w:rsid w:val="00E85F59"/>
    <w:rsid w:val="00E866E2"/>
    <w:rsid w:val="00E87EB5"/>
    <w:rsid w:val="00E911A8"/>
    <w:rsid w:val="00E91277"/>
    <w:rsid w:val="00E91487"/>
    <w:rsid w:val="00E91635"/>
    <w:rsid w:val="00E91896"/>
    <w:rsid w:val="00E91BFF"/>
    <w:rsid w:val="00E934DF"/>
    <w:rsid w:val="00E939FF"/>
    <w:rsid w:val="00E94541"/>
    <w:rsid w:val="00E94B11"/>
    <w:rsid w:val="00E958DD"/>
    <w:rsid w:val="00EA04BB"/>
    <w:rsid w:val="00EA0E68"/>
    <w:rsid w:val="00EA2ABE"/>
    <w:rsid w:val="00EA2DBD"/>
    <w:rsid w:val="00EA2FEC"/>
    <w:rsid w:val="00EA3B15"/>
    <w:rsid w:val="00EA3E14"/>
    <w:rsid w:val="00EA3F33"/>
    <w:rsid w:val="00EA4283"/>
    <w:rsid w:val="00EA50C0"/>
    <w:rsid w:val="00EA601B"/>
    <w:rsid w:val="00EB09F4"/>
    <w:rsid w:val="00EB13CE"/>
    <w:rsid w:val="00EB15FD"/>
    <w:rsid w:val="00EB1C89"/>
    <w:rsid w:val="00EB3268"/>
    <w:rsid w:val="00EB32A9"/>
    <w:rsid w:val="00EB356C"/>
    <w:rsid w:val="00EB39AD"/>
    <w:rsid w:val="00EB39BA"/>
    <w:rsid w:val="00EB3A73"/>
    <w:rsid w:val="00EB3E44"/>
    <w:rsid w:val="00EB4028"/>
    <w:rsid w:val="00EB497A"/>
    <w:rsid w:val="00EB4C55"/>
    <w:rsid w:val="00EB4C8A"/>
    <w:rsid w:val="00EB4E30"/>
    <w:rsid w:val="00EB5993"/>
    <w:rsid w:val="00EB5D01"/>
    <w:rsid w:val="00EB6A56"/>
    <w:rsid w:val="00EB6F9B"/>
    <w:rsid w:val="00EB70DD"/>
    <w:rsid w:val="00EB725E"/>
    <w:rsid w:val="00EB7B95"/>
    <w:rsid w:val="00EB7FBC"/>
    <w:rsid w:val="00EC0728"/>
    <w:rsid w:val="00EC0DFC"/>
    <w:rsid w:val="00EC0FF1"/>
    <w:rsid w:val="00EC2BE7"/>
    <w:rsid w:val="00EC4016"/>
    <w:rsid w:val="00EC40D0"/>
    <w:rsid w:val="00EC4DD5"/>
    <w:rsid w:val="00EC65E0"/>
    <w:rsid w:val="00EC6AEB"/>
    <w:rsid w:val="00EC7730"/>
    <w:rsid w:val="00ED04BC"/>
    <w:rsid w:val="00ED17D7"/>
    <w:rsid w:val="00ED26AA"/>
    <w:rsid w:val="00ED3DDA"/>
    <w:rsid w:val="00ED5658"/>
    <w:rsid w:val="00ED6505"/>
    <w:rsid w:val="00ED7849"/>
    <w:rsid w:val="00EE048D"/>
    <w:rsid w:val="00EE33BA"/>
    <w:rsid w:val="00EE5014"/>
    <w:rsid w:val="00EE6DA6"/>
    <w:rsid w:val="00EF15DE"/>
    <w:rsid w:val="00EF1C34"/>
    <w:rsid w:val="00EF1D07"/>
    <w:rsid w:val="00EF1D31"/>
    <w:rsid w:val="00EF1DF0"/>
    <w:rsid w:val="00EF2FFD"/>
    <w:rsid w:val="00EF457E"/>
    <w:rsid w:val="00EF5CBE"/>
    <w:rsid w:val="00EF648A"/>
    <w:rsid w:val="00EF649C"/>
    <w:rsid w:val="00EF6584"/>
    <w:rsid w:val="00EF68BD"/>
    <w:rsid w:val="00EF6BA1"/>
    <w:rsid w:val="00EF75DF"/>
    <w:rsid w:val="00EF7BDC"/>
    <w:rsid w:val="00F01003"/>
    <w:rsid w:val="00F02DB9"/>
    <w:rsid w:val="00F03FAF"/>
    <w:rsid w:val="00F0444A"/>
    <w:rsid w:val="00F049A8"/>
    <w:rsid w:val="00F04ECF"/>
    <w:rsid w:val="00F05114"/>
    <w:rsid w:val="00F05A2E"/>
    <w:rsid w:val="00F05AD9"/>
    <w:rsid w:val="00F07981"/>
    <w:rsid w:val="00F10234"/>
    <w:rsid w:val="00F1137C"/>
    <w:rsid w:val="00F117F9"/>
    <w:rsid w:val="00F13423"/>
    <w:rsid w:val="00F138AE"/>
    <w:rsid w:val="00F13D8B"/>
    <w:rsid w:val="00F144D2"/>
    <w:rsid w:val="00F146CB"/>
    <w:rsid w:val="00F147A9"/>
    <w:rsid w:val="00F14F3B"/>
    <w:rsid w:val="00F15467"/>
    <w:rsid w:val="00F15BB0"/>
    <w:rsid w:val="00F15C4D"/>
    <w:rsid w:val="00F163FA"/>
    <w:rsid w:val="00F16CAC"/>
    <w:rsid w:val="00F17CE4"/>
    <w:rsid w:val="00F2087F"/>
    <w:rsid w:val="00F21778"/>
    <w:rsid w:val="00F21C41"/>
    <w:rsid w:val="00F225C4"/>
    <w:rsid w:val="00F2382D"/>
    <w:rsid w:val="00F24253"/>
    <w:rsid w:val="00F24344"/>
    <w:rsid w:val="00F244F3"/>
    <w:rsid w:val="00F248B4"/>
    <w:rsid w:val="00F2617B"/>
    <w:rsid w:val="00F269A8"/>
    <w:rsid w:val="00F26B07"/>
    <w:rsid w:val="00F26C62"/>
    <w:rsid w:val="00F30D34"/>
    <w:rsid w:val="00F3239E"/>
    <w:rsid w:val="00F327D4"/>
    <w:rsid w:val="00F32B1A"/>
    <w:rsid w:val="00F32DE4"/>
    <w:rsid w:val="00F333D2"/>
    <w:rsid w:val="00F334CF"/>
    <w:rsid w:val="00F3466B"/>
    <w:rsid w:val="00F361A0"/>
    <w:rsid w:val="00F36F57"/>
    <w:rsid w:val="00F37523"/>
    <w:rsid w:val="00F41083"/>
    <w:rsid w:val="00F420E0"/>
    <w:rsid w:val="00F42672"/>
    <w:rsid w:val="00F429AE"/>
    <w:rsid w:val="00F42B13"/>
    <w:rsid w:val="00F431F6"/>
    <w:rsid w:val="00F435A3"/>
    <w:rsid w:val="00F44694"/>
    <w:rsid w:val="00F45319"/>
    <w:rsid w:val="00F4614E"/>
    <w:rsid w:val="00F465E9"/>
    <w:rsid w:val="00F4665D"/>
    <w:rsid w:val="00F4726F"/>
    <w:rsid w:val="00F500D9"/>
    <w:rsid w:val="00F50720"/>
    <w:rsid w:val="00F50D49"/>
    <w:rsid w:val="00F517D2"/>
    <w:rsid w:val="00F51B1A"/>
    <w:rsid w:val="00F51EC4"/>
    <w:rsid w:val="00F52088"/>
    <w:rsid w:val="00F52BDD"/>
    <w:rsid w:val="00F52FFA"/>
    <w:rsid w:val="00F53401"/>
    <w:rsid w:val="00F557F3"/>
    <w:rsid w:val="00F569E7"/>
    <w:rsid w:val="00F573BB"/>
    <w:rsid w:val="00F574A1"/>
    <w:rsid w:val="00F61E88"/>
    <w:rsid w:val="00F61F32"/>
    <w:rsid w:val="00F62428"/>
    <w:rsid w:val="00F63C52"/>
    <w:rsid w:val="00F63E23"/>
    <w:rsid w:val="00F7185A"/>
    <w:rsid w:val="00F71ED9"/>
    <w:rsid w:val="00F727C8"/>
    <w:rsid w:val="00F73E17"/>
    <w:rsid w:val="00F74CF7"/>
    <w:rsid w:val="00F75268"/>
    <w:rsid w:val="00F77CA8"/>
    <w:rsid w:val="00F80B14"/>
    <w:rsid w:val="00F80E0D"/>
    <w:rsid w:val="00F8147B"/>
    <w:rsid w:val="00F81D6A"/>
    <w:rsid w:val="00F83296"/>
    <w:rsid w:val="00F84294"/>
    <w:rsid w:val="00F855C8"/>
    <w:rsid w:val="00F85C6D"/>
    <w:rsid w:val="00F8759C"/>
    <w:rsid w:val="00F87960"/>
    <w:rsid w:val="00F902ED"/>
    <w:rsid w:val="00F9032E"/>
    <w:rsid w:val="00F90972"/>
    <w:rsid w:val="00F9128F"/>
    <w:rsid w:val="00F92B0A"/>
    <w:rsid w:val="00F92EC1"/>
    <w:rsid w:val="00F93969"/>
    <w:rsid w:val="00F93BF6"/>
    <w:rsid w:val="00F93D5B"/>
    <w:rsid w:val="00F94E30"/>
    <w:rsid w:val="00F95A60"/>
    <w:rsid w:val="00F95D3E"/>
    <w:rsid w:val="00FA033B"/>
    <w:rsid w:val="00FA0537"/>
    <w:rsid w:val="00FA064C"/>
    <w:rsid w:val="00FA07E2"/>
    <w:rsid w:val="00FA0ADA"/>
    <w:rsid w:val="00FA0DB4"/>
    <w:rsid w:val="00FA1D3B"/>
    <w:rsid w:val="00FA1F6D"/>
    <w:rsid w:val="00FA2332"/>
    <w:rsid w:val="00FA2608"/>
    <w:rsid w:val="00FA4848"/>
    <w:rsid w:val="00FA4BA7"/>
    <w:rsid w:val="00FA5B3B"/>
    <w:rsid w:val="00FB0043"/>
    <w:rsid w:val="00FB0AA0"/>
    <w:rsid w:val="00FB138B"/>
    <w:rsid w:val="00FB25F1"/>
    <w:rsid w:val="00FB3E37"/>
    <w:rsid w:val="00FB41F0"/>
    <w:rsid w:val="00FB60BE"/>
    <w:rsid w:val="00FB6567"/>
    <w:rsid w:val="00FB6671"/>
    <w:rsid w:val="00FB6869"/>
    <w:rsid w:val="00FC074B"/>
    <w:rsid w:val="00FC2402"/>
    <w:rsid w:val="00FC2819"/>
    <w:rsid w:val="00FC3E76"/>
    <w:rsid w:val="00FC6A6D"/>
    <w:rsid w:val="00FC6CB6"/>
    <w:rsid w:val="00FC6F5B"/>
    <w:rsid w:val="00FC6F79"/>
    <w:rsid w:val="00FC741C"/>
    <w:rsid w:val="00FC7755"/>
    <w:rsid w:val="00FD0B5C"/>
    <w:rsid w:val="00FD1B26"/>
    <w:rsid w:val="00FD2348"/>
    <w:rsid w:val="00FD46A8"/>
    <w:rsid w:val="00FD4C9C"/>
    <w:rsid w:val="00FD67BF"/>
    <w:rsid w:val="00FD69E9"/>
    <w:rsid w:val="00FE2A05"/>
    <w:rsid w:val="00FE3E47"/>
    <w:rsid w:val="00FE4276"/>
    <w:rsid w:val="00FE46CA"/>
    <w:rsid w:val="00FE58C8"/>
    <w:rsid w:val="00FE59E5"/>
    <w:rsid w:val="00FE643E"/>
    <w:rsid w:val="00FE6C92"/>
    <w:rsid w:val="00FF037C"/>
    <w:rsid w:val="00FF0D69"/>
    <w:rsid w:val="00FF0DE7"/>
    <w:rsid w:val="00FF1890"/>
    <w:rsid w:val="00FF3265"/>
    <w:rsid w:val="00FF4D01"/>
    <w:rsid w:val="00FF7064"/>
    <w:rsid w:val="00FF7743"/>
    <w:rsid w:val="00FF78A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AFFED"/>
  <w15:docId w15:val="{C8815B58-6310-475A-B3B0-7552EECF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 w:qFormat="1"/>
    <w:lsdException w:name="Closing" w:semiHidden="1" w:unhideWhenUsed="1"/>
    <w:lsdException w:name="Signature" w:semiHidden="1" w:unhideWhenUsed="1"/>
    <w:lsdException w:name="Default Paragraph Font" w:semiHidden="1" w:uiPriority="1" w:unhideWhenUsed="1"/>
    <w:lsdException w:name="Body Text" w:semiHidden="1" w:uiPriority="1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6" w:qFormat="1"/>
    <w:lsdException w:name="Salutation" w:semiHidden="1" w:unhideWhenUsed="1"/>
    <w:lsdException w:name="Date" w:semiHidden="1" w:uiPriority="27"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8"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8" w:qFormat="1"/>
    <w:lsdException w:name="Intense Emphasis" w:uiPriority="28"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3E33B2"/>
    <w:rPr>
      <w:color w:val="5D6D78" w:themeColor="text1"/>
      <w:sz w:val="20"/>
    </w:rPr>
  </w:style>
  <w:style w:type="paragraph" w:styleId="Heading1">
    <w:name w:val="heading 1"/>
    <w:basedOn w:val="BaseHeading"/>
    <w:next w:val="BodyText"/>
    <w:link w:val="Heading1Char"/>
    <w:uiPriority w:val="9"/>
    <w:qFormat/>
    <w:rsid w:val="00CC5BE4"/>
    <w:pPr>
      <w:spacing w:after="240" w:line="216" w:lineRule="auto"/>
      <w:outlineLvl w:val="0"/>
    </w:pPr>
    <w:rPr>
      <w:rFonts w:eastAsiaTheme="majorEastAsia" w:cstheme="majorBidi"/>
      <w:b/>
      <w:bCs/>
      <w:sz w:val="40"/>
      <w:szCs w:val="28"/>
    </w:rPr>
  </w:style>
  <w:style w:type="paragraph" w:styleId="Heading2">
    <w:name w:val="heading 2"/>
    <w:basedOn w:val="BaseHeading"/>
    <w:next w:val="BodyText"/>
    <w:link w:val="Heading2Char"/>
    <w:uiPriority w:val="9"/>
    <w:qFormat/>
    <w:rsid w:val="0075494B"/>
    <w:pPr>
      <w:spacing w:before="240" w:after="60"/>
      <w:outlineLvl w:val="1"/>
    </w:pPr>
    <w:rPr>
      <w:rFonts w:eastAsiaTheme="majorEastAsia" w:cstheme="majorBidi"/>
      <w:b/>
      <w:bCs/>
      <w:color w:val="46535E"/>
      <w:sz w:val="28"/>
      <w:szCs w:val="26"/>
    </w:rPr>
  </w:style>
  <w:style w:type="paragraph" w:styleId="Heading3">
    <w:name w:val="heading 3"/>
    <w:basedOn w:val="BaseHeading"/>
    <w:next w:val="BodyText"/>
    <w:link w:val="Heading3Char"/>
    <w:uiPriority w:val="9"/>
    <w:qFormat/>
    <w:rsid w:val="0075494B"/>
    <w:pPr>
      <w:spacing w:before="240" w:after="60"/>
      <w:outlineLvl w:val="2"/>
    </w:pPr>
    <w:rPr>
      <w:rFonts w:eastAsiaTheme="majorEastAsia" w:cstheme="majorBidi"/>
      <w:b/>
      <w:bCs/>
      <w:color w:val="46535E"/>
      <w:sz w:val="22"/>
      <w:szCs w:val="20"/>
    </w:rPr>
  </w:style>
  <w:style w:type="paragraph" w:styleId="Heading4">
    <w:name w:val="heading 4"/>
    <w:basedOn w:val="BaseHeading"/>
    <w:next w:val="BodyText"/>
    <w:link w:val="Heading4Char"/>
    <w:uiPriority w:val="9"/>
    <w:qFormat/>
    <w:rsid w:val="0075494B"/>
    <w:pPr>
      <w:spacing w:before="240" w:after="40"/>
      <w:outlineLvl w:val="3"/>
    </w:pPr>
    <w:rPr>
      <w:rFonts w:eastAsiaTheme="majorEastAsia" w:cstheme="majorBidi"/>
      <w:b/>
      <w:bCs/>
      <w:iCs/>
      <w:color w:val="46535E"/>
    </w:rPr>
  </w:style>
  <w:style w:type="paragraph" w:styleId="Heading5">
    <w:name w:val="heading 5"/>
    <w:basedOn w:val="Normal"/>
    <w:next w:val="Normal"/>
    <w:link w:val="Heading5Char"/>
    <w:uiPriority w:val="9"/>
    <w:semiHidden/>
    <w:qFormat/>
    <w:rsid w:val="00C5169B"/>
    <w:pPr>
      <w:keepNext/>
      <w:keepLines/>
      <w:spacing w:before="200" w:after="0"/>
      <w:outlineLvl w:val="4"/>
    </w:pPr>
    <w:rPr>
      <w:rFonts w:asciiTheme="majorHAnsi" w:eastAsiaTheme="majorEastAsia" w:hAnsiTheme="majorHAnsi" w:cstheme="majorBidi"/>
      <w:color w:val="75000B" w:themeColor="accent1" w:themeShade="7F"/>
    </w:rPr>
  </w:style>
  <w:style w:type="paragraph" w:styleId="Heading6">
    <w:name w:val="heading 6"/>
    <w:basedOn w:val="Normal"/>
    <w:next w:val="Normal"/>
    <w:link w:val="Heading6Char"/>
    <w:uiPriority w:val="9"/>
    <w:semiHidden/>
    <w:unhideWhenUsed/>
    <w:qFormat/>
    <w:rsid w:val="00C5169B"/>
    <w:pPr>
      <w:keepNext/>
      <w:keepLines/>
      <w:spacing w:before="200" w:after="0"/>
      <w:outlineLvl w:val="5"/>
    </w:pPr>
    <w:rPr>
      <w:rFonts w:asciiTheme="majorHAnsi" w:eastAsiaTheme="majorEastAsia" w:hAnsiTheme="majorHAnsi" w:cstheme="majorBidi"/>
      <w:i/>
      <w:iCs/>
      <w:color w:val="75000B" w:themeColor="accent1" w:themeShade="7F"/>
    </w:rPr>
  </w:style>
  <w:style w:type="paragraph" w:styleId="Heading7">
    <w:name w:val="heading 7"/>
    <w:basedOn w:val="Normal"/>
    <w:next w:val="Normal"/>
    <w:link w:val="Heading7Char"/>
    <w:uiPriority w:val="9"/>
    <w:semiHidden/>
    <w:unhideWhenUsed/>
    <w:qFormat/>
    <w:rsid w:val="00C5169B"/>
    <w:pPr>
      <w:keepNext/>
      <w:keepLines/>
      <w:spacing w:before="200" w:after="0"/>
      <w:outlineLvl w:val="6"/>
    </w:pPr>
    <w:rPr>
      <w:rFonts w:asciiTheme="majorHAnsi" w:eastAsiaTheme="majorEastAsia" w:hAnsiTheme="majorHAnsi" w:cstheme="majorBidi"/>
      <w:i/>
      <w:iCs/>
      <w:color w:val="81929D" w:themeColor="text1" w:themeTint="BF"/>
    </w:rPr>
  </w:style>
  <w:style w:type="paragraph" w:styleId="Heading8">
    <w:name w:val="heading 8"/>
    <w:basedOn w:val="Normal"/>
    <w:next w:val="Normal"/>
    <w:link w:val="Heading8Char"/>
    <w:uiPriority w:val="9"/>
    <w:semiHidden/>
    <w:unhideWhenUsed/>
    <w:qFormat/>
    <w:rsid w:val="00C5169B"/>
    <w:pPr>
      <w:keepNext/>
      <w:keepLines/>
      <w:spacing w:before="200" w:after="0"/>
      <w:outlineLvl w:val="7"/>
    </w:pPr>
    <w:rPr>
      <w:rFonts w:asciiTheme="majorHAnsi" w:eastAsiaTheme="majorEastAsia" w:hAnsiTheme="majorHAnsi" w:cstheme="majorBidi"/>
      <w:color w:val="81929D" w:themeColor="text1" w:themeTint="BF"/>
      <w:szCs w:val="20"/>
    </w:rPr>
  </w:style>
  <w:style w:type="paragraph" w:styleId="Heading9">
    <w:name w:val="heading 9"/>
    <w:basedOn w:val="Normal"/>
    <w:next w:val="Normal"/>
    <w:link w:val="Heading9Char"/>
    <w:uiPriority w:val="9"/>
    <w:semiHidden/>
    <w:unhideWhenUsed/>
    <w:qFormat/>
    <w:rsid w:val="00C5169B"/>
    <w:pPr>
      <w:keepNext/>
      <w:keepLines/>
      <w:spacing w:before="200" w:after="0"/>
      <w:outlineLvl w:val="8"/>
    </w:pPr>
    <w:rPr>
      <w:rFonts w:asciiTheme="majorHAnsi" w:eastAsiaTheme="majorEastAsia" w:hAnsiTheme="majorHAnsi" w:cstheme="majorBidi"/>
      <w:i/>
      <w:iCs/>
      <w:color w:val="81929D"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C5169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C5169B"/>
    <w:rPr>
      <w:rFonts w:ascii="Consolas" w:eastAsia="Times New Roman" w:hAnsi="Consolas" w:cs="Times New Roman"/>
      <w:sz w:val="20"/>
      <w:szCs w:val="20"/>
      <w:lang w:val="en-GB"/>
    </w:rPr>
  </w:style>
  <w:style w:type="paragraph" w:styleId="Header">
    <w:name w:val="header"/>
    <w:basedOn w:val="BaseText"/>
    <w:link w:val="HeaderChar"/>
    <w:uiPriority w:val="99"/>
    <w:rsid w:val="00C5169B"/>
    <w:pPr>
      <w:tabs>
        <w:tab w:val="right" w:pos="10206"/>
      </w:tabs>
      <w:spacing w:after="0" w:line="240" w:lineRule="auto"/>
    </w:pPr>
    <w:rPr>
      <w:sz w:val="16"/>
    </w:rPr>
  </w:style>
  <w:style w:type="character" w:customStyle="1" w:styleId="HeaderChar">
    <w:name w:val="Header Char"/>
    <w:basedOn w:val="DefaultParagraphFont"/>
    <w:link w:val="Header"/>
    <w:uiPriority w:val="99"/>
    <w:rsid w:val="003E33B2"/>
    <w:rPr>
      <w:color w:val="5D6D78" w:themeColor="text1"/>
      <w:sz w:val="16"/>
      <w:lang w:val="en-GB"/>
    </w:rPr>
  </w:style>
  <w:style w:type="paragraph" w:styleId="Footer">
    <w:name w:val="footer"/>
    <w:basedOn w:val="Header"/>
    <w:link w:val="FooterChar"/>
    <w:uiPriority w:val="99"/>
    <w:rsid w:val="00C5169B"/>
    <w:pPr>
      <w:tabs>
        <w:tab w:val="center" w:pos="5103"/>
      </w:tabs>
      <w:spacing w:line="240" w:lineRule="exact"/>
    </w:pPr>
  </w:style>
  <w:style w:type="character" w:customStyle="1" w:styleId="FooterChar">
    <w:name w:val="Footer Char"/>
    <w:basedOn w:val="DefaultParagraphFont"/>
    <w:link w:val="Footer"/>
    <w:uiPriority w:val="99"/>
    <w:rsid w:val="003E33B2"/>
    <w:rPr>
      <w:color w:val="5D6D78" w:themeColor="text1"/>
      <w:sz w:val="16"/>
      <w:lang w:val="en-GB"/>
    </w:rPr>
  </w:style>
  <w:style w:type="table" w:styleId="TableGrid">
    <w:name w:val="Table Grid"/>
    <w:basedOn w:val="TableNormal"/>
    <w:uiPriority w:val="59"/>
    <w:rsid w:val="00C5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
    <w:name w:val="Plain"/>
    <w:basedOn w:val="TableNormal"/>
    <w:uiPriority w:val="99"/>
    <w:rsid w:val="00272001"/>
    <w:pPr>
      <w:spacing w:after="0" w:line="240" w:lineRule="auto"/>
    </w:pPr>
    <w:rPr>
      <w:sz w:val="18"/>
    </w:rPr>
    <w:tblPr>
      <w:tblCellMar>
        <w:left w:w="0" w:type="dxa"/>
        <w:right w:w="0" w:type="dxa"/>
      </w:tblCellMar>
    </w:tblPr>
  </w:style>
  <w:style w:type="paragraph" w:styleId="BodyText">
    <w:name w:val="Body Text"/>
    <w:basedOn w:val="BaseText"/>
    <w:link w:val="BodyTextChar"/>
    <w:uiPriority w:val="11"/>
    <w:qFormat/>
    <w:rsid w:val="000E1119"/>
  </w:style>
  <w:style w:type="character" w:customStyle="1" w:styleId="BodyTextChar">
    <w:name w:val="Body Text Char"/>
    <w:basedOn w:val="DefaultParagraphFont"/>
    <w:link w:val="BodyText"/>
    <w:uiPriority w:val="11"/>
    <w:rsid w:val="000E1119"/>
    <w:rPr>
      <w:color w:val="5D6D78" w:themeColor="text1"/>
      <w:sz w:val="20"/>
      <w:lang w:val="en-GB"/>
    </w:rPr>
  </w:style>
  <w:style w:type="character" w:customStyle="1" w:styleId="Heading1Char">
    <w:name w:val="Heading 1 Char"/>
    <w:basedOn w:val="DefaultParagraphFont"/>
    <w:link w:val="Heading1"/>
    <w:uiPriority w:val="9"/>
    <w:rsid w:val="00CC5BE4"/>
    <w:rPr>
      <w:rFonts w:asciiTheme="majorHAnsi" w:eastAsiaTheme="majorEastAsia" w:hAnsiTheme="majorHAnsi" w:cstheme="majorBidi"/>
      <w:b/>
      <w:bCs/>
      <w:color w:val="262836" w:themeColor="text2"/>
      <w:sz w:val="40"/>
      <w:szCs w:val="28"/>
      <w:lang w:val="en-GB"/>
    </w:rPr>
  </w:style>
  <w:style w:type="character" w:customStyle="1" w:styleId="Heading2Char">
    <w:name w:val="Heading 2 Char"/>
    <w:basedOn w:val="DefaultParagraphFont"/>
    <w:link w:val="Heading2"/>
    <w:uiPriority w:val="9"/>
    <w:rsid w:val="0075494B"/>
    <w:rPr>
      <w:rFonts w:asciiTheme="majorHAnsi" w:eastAsiaTheme="majorEastAsia" w:hAnsiTheme="majorHAnsi" w:cstheme="majorBidi"/>
      <w:b/>
      <w:bCs/>
      <w:color w:val="46535E"/>
      <w:sz w:val="28"/>
      <w:szCs w:val="26"/>
      <w:lang w:val="en-GB"/>
    </w:rPr>
  </w:style>
  <w:style w:type="character" w:customStyle="1" w:styleId="Heading3Char">
    <w:name w:val="Heading 3 Char"/>
    <w:basedOn w:val="DefaultParagraphFont"/>
    <w:link w:val="Heading3"/>
    <w:uiPriority w:val="9"/>
    <w:rsid w:val="0075494B"/>
    <w:rPr>
      <w:rFonts w:asciiTheme="majorHAnsi" w:eastAsiaTheme="majorEastAsia" w:hAnsiTheme="majorHAnsi" w:cstheme="majorBidi"/>
      <w:b/>
      <w:bCs/>
      <w:color w:val="46535E"/>
      <w:szCs w:val="20"/>
      <w:lang w:val="en-GB"/>
    </w:rPr>
  </w:style>
  <w:style w:type="character" w:customStyle="1" w:styleId="Heading4Char">
    <w:name w:val="Heading 4 Char"/>
    <w:basedOn w:val="DefaultParagraphFont"/>
    <w:link w:val="Heading4"/>
    <w:uiPriority w:val="9"/>
    <w:rsid w:val="0075494B"/>
    <w:rPr>
      <w:rFonts w:asciiTheme="majorHAnsi" w:eastAsiaTheme="majorEastAsia" w:hAnsiTheme="majorHAnsi" w:cstheme="majorBidi"/>
      <w:b/>
      <w:bCs/>
      <w:iCs/>
      <w:color w:val="46535E"/>
      <w:sz w:val="20"/>
      <w:lang w:val="en-GB"/>
    </w:rPr>
  </w:style>
  <w:style w:type="paragraph" w:styleId="Title">
    <w:name w:val="Title"/>
    <w:aliases w:val="Aon Title"/>
    <w:basedOn w:val="BaseHeading"/>
    <w:next w:val="Subtitle"/>
    <w:link w:val="TitleChar"/>
    <w:uiPriority w:val="25"/>
    <w:qFormat/>
    <w:rsid w:val="00283509"/>
    <w:pPr>
      <w:spacing w:after="60" w:line="204" w:lineRule="auto"/>
    </w:pPr>
    <w:rPr>
      <w:rFonts w:eastAsiaTheme="majorEastAsia" w:cstheme="majorBidi"/>
      <w:sz w:val="80"/>
      <w:szCs w:val="72"/>
    </w:rPr>
  </w:style>
  <w:style w:type="character" w:customStyle="1" w:styleId="TitleChar">
    <w:name w:val="Title Char"/>
    <w:aliases w:val="Aon Title Char"/>
    <w:basedOn w:val="DefaultParagraphFont"/>
    <w:link w:val="Title"/>
    <w:uiPriority w:val="25"/>
    <w:rsid w:val="00283509"/>
    <w:rPr>
      <w:rFonts w:asciiTheme="majorHAnsi" w:eastAsiaTheme="majorEastAsia" w:hAnsiTheme="majorHAnsi" w:cstheme="majorBidi"/>
      <w:color w:val="262836" w:themeColor="text2"/>
      <w:sz w:val="80"/>
      <w:szCs w:val="72"/>
      <w:lang w:val="en-GB"/>
    </w:rPr>
  </w:style>
  <w:style w:type="paragraph" w:styleId="Subtitle">
    <w:name w:val="Subtitle"/>
    <w:basedOn w:val="BaseHeading"/>
    <w:next w:val="BodyText"/>
    <w:link w:val="SubtitleChar"/>
    <w:uiPriority w:val="26"/>
    <w:qFormat/>
    <w:rsid w:val="00283509"/>
    <w:pPr>
      <w:keepNext w:val="0"/>
      <w:numPr>
        <w:ilvl w:val="1"/>
      </w:numPr>
      <w:spacing w:after="600" w:line="204" w:lineRule="auto"/>
    </w:pPr>
    <w:rPr>
      <w:iCs/>
      <w:color w:val="5D6D78" w:themeColor="text1"/>
      <w:sz w:val="40"/>
      <w:szCs w:val="32"/>
    </w:rPr>
  </w:style>
  <w:style w:type="character" w:customStyle="1" w:styleId="SubtitleChar">
    <w:name w:val="Subtitle Char"/>
    <w:basedOn w:val="DefaultParagraphFont"/>
    <w:link w:val="Subtitle"/>
    <w:uiPriority w:val="26"/>
    <w:rsid w:val="00283509"/>
    <w:rPr>
      <w:rFonts w:asciiTheme="majorHAnsi" w:hAnsiTheme="majorHAnsi"/>
      <w:iCs/>
      <w:color w:val="5D6D78" w:themeColor="text1"/>
      <w:sz w:val="40"/>
      <w:szCs w:val="32"/>
      <w:lang w:val="en-GB"/>
    </w:rPr>
  </w:style>
  <w:style w:type="paragraph" w:customStyle="1" w:styleId="BaseStyle">
    <w:name w:val="___Base Style"/>
    <w:semiHidden/>
    <w:rsid w:val="00C5169B"/>
    <w:pPr>
      <w:spacing w:after="0" w:line="240" w:lineRule="auto"/>
    </w:pPr>
    <w:rPr>
      <w:color w:val="5D6D78" w:themeColor="text1"/>
    </w:rPr>
  </w:style>
  <w:style w:type="paragraph" w:customStyle="1" w:styleId="BaseTable">
    <w:name w:val="___Base Table"/>
    <w:semiHidden/>
    <w:rsid w:val="00C5169B"/>
  </w:style>
  <w:style w:type="paragraph" w:customStyle="1" w:styleId="BaseText">
    <w:name w:val="__Base Text"/>
    <w:basedOn w:val="BaseStyle"/>
    <w:semiHidden/>
    <w:rsid w:val="000E1119"/>
    <w:pPr>
      <w:spacing w:after="120" w:line="216" w:lineRule="auto"/>
    </w:pPr>
    <w:rPr>
      <w:sz w:val="20"/>
    </w:rPr>
  </w:style>
  <w:style w:type="paragraph" w:customStyle="1" w:styleId="BaseHeading">
    <w:name w:val="__Base Heading"/>
    <w:basedOn w:val="BaseStyle"/>
    <w:next w:val="BodyText"/>
    <w:semiHidden/>
    <w:rsid w:val="00C5169B"/>
    <w:pPr>
      <w:keepNext/>
      <w:keepLines/>
      <w:spacing w:after="120" w:line="228" w:lineRule="auto"/>
    </w:pPr>
    <w:rPr>
      <w:rFonts w:asciiTheme="majorHAnsi" w:hAnsiTheme="majorHAnsi"/>
      <w:color w:val="262836" w:themeColor="text2"/>
      <w:sz w:val="20"/>
    </w:rPr>
  </w:style>
  <w:style w:type="paragraph" w:customStyle="1" w:styleId="1ptspacer">
    <w:name w:val="__1pt spacer"/>
    <w:basedOn w:val="BaseStyle"/>
    <w:next w:val="BodyText"/>
    <w:semiHidden/>
    <w:rsid w:val="00C5169B"/>
    <w:pPr>
      <w:spacing w:line="20" w:lineRule="exact"/>
    </w:pPr>
    <w:rPr>
      <w:color w:val="auto"/>
      <w:sz w:val="2"/>
    </w:rPr>
  </w:style>
  <w:style w:type="paragraph" w:customStyle="1" w:styleId="BaseSECTION">
    <w:name w:val="__Base SECTION"/>
    <w:basedOn w:val="BaseText"/>
    <w:next w:val="BodyText"/>
    <w:semiHidden/>
    <w:rsid w:val="00C5169B"/>
    <w:pPr>
      <w:spacing w:after="0" w:line="160" w:lineRule="exact"/>
    </w:pPr>
    <w:rPr>
      <w:color w:val="0000FF"/>
      <w:sz w:val="16"/>
    </w:rPr>
  </w:style>
  <w:style w:type="paragraph" w:customStyle="1" w:styleId="Placeholder">
    <w:name w:val="__Placeholder"/>
    <w:basedOn w:val="BaseText"/>
    <w:next w:val="BodyText"/>
    <w:semiHidden/>
    <w:rsid w:val="00C5169B"/>
    <w:pPr>
      <w:spacing w:line="240" w:lineRule="auto"/>
      <w:jc w:val="center"/>
    </w:pPr>
  </w:style>
  <w:style w:type="paragraph" w:customStyle="1" w:styleId="TableSpaceAfter">
    <w:name w:val="__TableSpaceAfter"/>
    <w:basedOn w:val="BaseStyle"/>
    <w:next w:val="BodyText"/>
    <w:semiHidden/>
    <w:rsid w:val="00C5169B"/>
    <w:pPr>
      <w:spacing w:line="20" w:lineRule="exact"/>
    </w:pPr>
    <w:rPr>
      <w:color w:val="auto"/>
      <w:sz w:val="2"/>
    </w:rPr>
  </w:style>
  <w:style w:type="paragraph" w:styleId="ListBullet">
    <w:name w:val="List Bullet"/>
    <w:basedOn w:val="BodyText"/>
    <w:uiPriority w:val="11"/>
    <w:qFormat/>
    <w:rsid w:val="00C5169B"/>
    <w:pPr>
      <w:numPr>
        <w:numId w:val="14"/>
      </w:numPr>
    </w:pPr>
  </w:style>
  <w:style w:type="paragraph" w:customStyle="1" w:styleId="TableText">
    <w:name w:val="Table Text"/>
    <w:basedOn w:val="BaseTable"/>
    <w:uiPriority w:val="14"/>
    <w:qFormat/>
    <w:rsid w:val="00C5169B"/>
    <w:pPr>
      <w:spacing w:line="228" w:lineRule="auto"/>
    </w:pPr>
  </w:style>
  <w:style w:type="character" w:styleId="BookTitle">
    <w:name w:val="Book Title"/>
    <w:basedOn w:val="DefaultParagraphFont"/>
    <w:uiPriority w:val="33"/>
    <w:semiHidden/>
    <w:qFormat/>
    <w:rsid w:val="00C5169B"/>
    <w:rPr>
      <w:b/>
      <w:bCs/>
      <w:smallCaps/>
      <w:spacing w:val="5"/>
      <w:lang w:val="en-GB"/>
    </w:rPr>
  </w:style>
  <w:style w:type="character" w:styleId="Emphasis">
    <w:name w:val="Emphasis"/>
    <w:basedOn w:val="DefaultParagraphFont"/>
    <w:uiPriority w:val="12"/>
    <w:qFormat/>
    <w:rsid w:val="000E1119"/>
    <w:rPr>
      <w:b w:val="0"/>
      <w:i w:val="0"/>
      <w:iCs/>
      <w:color w:val="EB0017" w:themeColor="accent1"/>
      <w:lang w:val="en-GB"/>
    </w:rPr>
  </w:style>
  <w:style w:type="character" w:styleId="IntenseEmphasis">
    <w:name w:val="Intense Emphasis"/>
    <w:basedOn w:val="DefaultParagraphFont"/>
    <w:uiPriority w:val="28"/>
    <w:semiHidden/>
    <w:qFormat/>
    <w:rsid w:val="00C5169B"/>
    <w:rPr>
      <w:b/>
      <w:bCs/>
      <w:i/>
      <w:iCs/>
      <w:color w:val="EB0017" w:themeColor="accent1"/>
      <w:lang w:val="en-GB"/>
    </w:rPr>
  </w:style>
  <w:style w:type="paragraph" w:styleId="IntenseQuote">
    <w:name w:val="Intense Quote"/>
    <w:basedOn w:val="Normal"/>
    <w:next w:val="Normal"/>
    <w:link w:val="IntenseQuoteChar"/>
    <w:uiPriority w:val="30"/>
    <w:semiHidden/>
    <w:qFormat/>
    <w:rsid w:val="00C5169B"/>
    <w:pPr>
      <w:pBdr>
        <w:bottom w:val="single" w:sz="4" w:space="4" w:color="EB0017" w:themeColor="accent1"/>
      </w:pBdr>
      <w:spacing w:before="200" w:after="280"/>
      <w:ind w:left="936" w:right="936"/>
    </w:pPr>
    <w:rPr>
      <w:b/>
      <w:bCs/>
      <w:i/>
      <w:iCs/>
      <w:color w:val="EB0017" w:themeColor="accent1"/>
    </w:rPr>
  </w:style>
  <w:style w:type="character" w:customStyle="1" w:styleId="IntenseQuoteChar">
    <w:name w:val="Intense Quote Char"/>
    <w:basedOn w:val="DefaultParagraphFont"/>
    <w:link w:val="IntenseQuote"/>
    <w:uiPriority w:val="30"/>
    <w:semiHidden/>
    <w:rsid w:val="00C5169B"/>
    <w:rPr>
      <w:b/>
      <w:bCs/>
      <w:i/>
      <w:iCs/>
      <w:color w:val="EB0017" w:themeColor="accent1"/>
      <w:sz w:val="20"/>
      <w:lang w:val="en-GB"/>
    </w:rPr>
  </w:style>
  <w:style w:type="character" w:styleId="IntenseReference">
    <w:name w:val="Intense Reference"/>
    <w:basedOn w:val="DefaultParagraphFont"/>
    <w:uiPriority w:val="32"/>
    <w:semiHidden/>
    <w:qFormat/>
    <w:rsid w:val="00C5169B"/>
    <w:rPr>
      <w:b/>
      <w:bCs/>
      <w:smallCaps/>
      <w:color w:val="82939A" w:themeColor="accent2"/>
      <w:spacing w:val="5"/>
      <w:u w:val="single"/>
      <w:lang w:val="en-GB"/>
    </w:rPr>
  </w:style>
  <w:style w:type="paragraph" w:styleId="ListParagraph">
    <w:name w:val="List Paragraph"/>
    <w:basedOn w:val="Normal"/>
    <w:uiPriority w:val="34"/>
    <w:qFormat/>
    <w:rsid w:val="00C5169B"/>
    <w:pPr>
      <w:ind w:left="720"/>
      <w:contextualSpacing/>
    </w:pPr>
  </w:style>
  <w:style w:type="paragraph" w:styleId="NoSpacing">
    <w:name w:val="No Spacing"/>
    <w:uiPriority w:val="11"/>
    <w:qFormat/>
    <w:rsid w:val="0002386A"/>
    <w:pPr>
      <w:spacing w:after="0" w:line="216" w:lineRule="auto"/>
    </w:pPr>
    <w:rPr>
      <w:color w:val="5D6D78" w:themeColor="text1"/>
      <w:sz w:val="20"/>
    </w:rPr>
  </w:style>
  <w:style w:type="paragraph" w:styleId="Quote">
    <w:name w:val="Quote"/>
    <w:basedOn w:val="Normal"/>
    <w:next w:val="Normal"/>
    <w:link w:val="QuoteChar"/>
    <w:uiPriority w:val="29"/>
    <w:semiHidden/>
    <w:qFormat/>
    <w:rsid w:val="00C5169B"/>
    <w:rPr>
      <w:i/>
      <w:iCs/>
    </w:rPr>
  </w:style>
  <w:style w:type="character" w:customStyle="1" w:styleId="QuoteChar">
    <w:name w:val="Quote Char"/>
    <w:basedOn w:val="DefaultParagraphFont"/>
    <w:link w:val="Quote"/>
    <w:uiPriority w:val="29"/>
    <w:semiHidden/>
    <w:rsid w:val="00C5169B"/>
    <w:rPr>
      <w:i/>
      <w:iCs/>
      <w:color w:val="5D6D78" w:themeColor="text1"/>
      <w:sz w:val="20"/>
      <w:lang w:val="en-GB"/>
    </w:rPr>
  </w:style>
  <w:style w:type="character" w:styleId="Strong">
    <w:name w:val="Strong"/>
    <w:basedOn w:val="DefaultParagraphFont"/>
    <w:uiPriority w:val="28"/>
    <w:semiHidden/>
    <w:qFormat/>
    <w:rsid w:val="00C5169B"/>
    <w:rPr>
      <w:b/>
      <w:bCs/>
      <w:lang w:val="en-GB"/>
    </w:rPr>
  </w:style>
  <w:style w:type="character" w:styleId="SubtleEmphasis">
    <w:name w:val="Subtle Emphasis"/>
    <w:basedOn w:val="DefaultParagraphFont"/>
    <w:uiPriority w:val="28"/>
    <w:semiHidden/>
    <w:qFormat/>
    <w:rsid w:val="00C5169B"/>
    <w:rPr>
      <w:i/>
      <w:iCs/>
      <w:color w:val="ABB6BE" w:themeColor="text1" w:themeTint="7F"/>
      <w:lang w:val="en-GB"/>
    </w:rPr>
  </w:style>
  <w:style w:type="character" w:styleId="SubtleReference">
    <w:name w:val="Subtle Reference"/>
    <w:basedOn w:val="DefaultParagraphFont"/>
    <w:uiPriority w:val="31"/>
    <w:semiHidden/>
    <w:qFormat/>
    <w:rsid w:val="00C5169B"/>
    <w:rPr>
      <w:smallCaps/>
      <w:color w:val="82939A" w:themeColor="accent2"/>
      <w:u w:val="single"/>
      <w:lang w:val="en-GB"/>
    </w:rPr>
  </w:style>
  <w:style w:type="paragraph" w:customStyle="1" w:styleId="DocumentStatus">
    <w:name w:val="Document Status"/>
    <w:basedOn w:val="Footer"/>
    <w:link w:val="DocumentStatusChar"/>
    <w:uiPriority w:val="41"/>
    <w:semiHidden/>
    <w:rsid w:val="00E16C48"/>
    <w:pPr>
      <w:spacing w:line="228" w:lineRule="auto"/>
      <w:jc w:val="center"/>
    </w:pPr>
    <w:rPr>
      <w:b/>
      <w:bCs/>
      <w:caps/>
      <w:color w:val="EB0017" w:themeColor="accent1"/>
      <w:sz w:val="20"/>
      <w:szCs w:val="20"/>
    </w:rPr>
  </w:style>
  <w:style w:type="paragraph" w:styleId="BalloonText">
    <w:name w:val="Balloon Text"/>
    <w:basedOn w:val="Normal"/>
    <w:link w:val="BalloonTextChar"/>
    <w:uiPriority w:val="99"/>
    <w:semiHidden/>
    <w:unhideWhenUsed/>
    <w:rsid w:val="00C51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9B"/>
    <w:rPr>
      <w:rFonts w:ascii="Tahoma" w:hAnsi="Tahoma" w:cs="Tahoma"/>
      <w:sz w:val="16"/>
      <w:szCs w:val="16"/>
      <w:lang w:val="en-GB"/>
    </w:rPr>
  </w:style>
  <w:style w:type="paragraph" w:customStyle="1" w:styleId="QuoteText">
    <w:name w:val="Quote Text"/>
    <w:basedOn w:val="BodyText"/>
    <w:uiPriority w:val="19"/>
    <w:qFormat/>
    <w:rsid w:val="00C5169B"/>
    <w:pPr>
      <w:ind w:left="96" w:hanging="96"/>
    </w:pPr>
    <w:rPr>
      <w:iCs/>
      <w:sz w:val="24"/>
      <w:szCs w:val="24"/>
    </w:rPr>
  </w:style>
  <w:style w:type="table" w:customStyle="1" w:styleId="DataBandedColumns">
    <w:name w:val="Data Banded Columns"/>
    <w:basedOn w:val="TableNormal"/>
    <w:uiPriority w:val="99"/>
    <w:rsid w:val="00C61EC4"/>
    <w:pPr>
      <w:spacing w:before="40" w:after="40" w:line="240" w:lineRule="auto"/>
      <w:ind w:left="79" w:right="79"/>
      <w:jc w:val="right"/>
    </w:pPr>
    <w:rPr>
      <w:color w:val="262836" w:themeColor="text2"/>
      <w:sz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nil"/>
          <w:left w:val="nil"/>
          <w:bottom w:val="nil"/>
          <w:right w:val="nil"/>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2Horz">
      <w:tblPr/>
      <w:tcPr>
        <w:tcBorders>
          <w:top w:val="nil"/>
          <w:left w:val="nil"/>
          <w:bottom w:val="nil"/>
          <w:right w:val="nil"/>
          <w:insideH w:val="nil"/>
          <w:insideV w:val="nil"/>
          <w:tl2br w:val="nil"/>
          <w:tr2bl w:val="nil"/>
        </w:tcBorders>
        <w:shd w:val="clear" w:color="auto" w:fill="F9FCFC"/>
      </w:tcPr>
    </w:tblStylePr>
  </w:style>
  <w:style w:type="paragraph" w:customStyle="1" w:styleId="ContactName">
    <w:name w:val="Contact Name"/>
    <w:basedOn w:val="BodyText"/>
    <w:next w:val="ContactRole"/>
    <w:uiPriority w:val="21"/>
    <w:rsid w:val="00C5169B"/>
    <w:pPr>
      <w:spacing w:before="120" w:after="0"/>
    </w:pPr>
    <w:rPr>
      <w:sz w:val="18"/>
      <w:szCs w:val="16"/>
    </w:rPr>
  </w:style>
  <w:style w:type="paragraph" w:customStyle="1" w:styleId="ContactDetails">
    <w:name w:val="Contact Details"/>
    <w:basedOn w:val="BodyText"/>
    <w:uiPriority w:val="22"/>
    <w:rsid w:val="0052297A"/>
    <w:pPr>
      <w:contextualSpacing/>
    </w:pPr>
    <w:rPr>
      <w:sz w:val="16"/>
      <w:szCs w:val="16"/>
    </w:rPr>
  </w:style>
  <w:style w:type="paragraph" w:customStyle="1" w:styleId="AppendixDivider">
    <w:name w:val="Appendix Divider"/>
    <w:basedOn w:val="DividerTitle"/>
    <w:next w:val="DividerSubtitle"/>
    <w:uiPriority w:val="25"/>
    <w:qFormat/>
    <w:rsid w:val="00C5169B"/>
  </w:style>
  <w:style w:type="paragraph" w:customStyle="1" w:styleId="SECTIONCover">
    <w:name w:val="__SECTION Cover"/>
    <w:basedOn w:val="BaseSECTION"/>
    <w:next w:val="BodyText"/>
    <w:semiHidden/>
    <w:rsid w:val="00C5169B"/>
  </w:style>
  <w:style w:type="paragraph" w:customStyle="1" w:styleId="SECTIONFullWidth">
    <w:name w:val="__SECTION FullWidth"/>
    <w:basedOn w:val="BaseSECTION"/>
    <w:next w:val="BodyText"/>
    <w:semiHidden/>
    <w:rsid w:val="00C5169B"/>
  </w:style>
  <w:style w:type="numbering" w:styleId="111111">
    <w:name w:val="Outline List 2"/>
    <w:basedOn w:val="NoList"/>
    <w:uiPriority w:val="99"/>
    <w:semiHidden/>
    <w:unhideWhenUsed/>
    <w:rsid w:val="00C5169B"/>
    <w:pPr>
      <w:numPr>
        <w:numId w:val="7"/>
      </w:numPr>
    </w:pPr>
  </w:style>
  <w:style w:type="numbering" w:styleId="1ai">
    <w:name w:val="Outline List 1"/>
    <w:basedOn w:val="NoList"/>
    <w:uiPriority w:val="99"/>
    <w:semiHidden/>
    <w:unhideWhenUsed/>
    <w:rsid w:val="00C5169B"/>
    <w:pPr>
      <w:numPr>
        <w:numId w:val="8"/>
      </w:numPr>
    </w:pPr>
  </w:style>
  <w:style w:type="character" w:customStyle="1" w:styleId="Heading5Char">
    <w:name w:val="Heading 5 Char"/>
    <w:basedOn w:val="DefaultParagraphFont"/>
    <w:link w:val="Heading5"/>
    <w:uiPriority w:val="9"/>
    <w:semiHidden/>
    <w:rsid w:val="00C5169B"/>
    <w:rPr>
      <w:rFonts w:asciiTheme="majorHAnsi" w:eastAsiaTheme="majorEastAsia" w:hAnsiTheme="majorHAnsi" w:cstheme="majorBidi"/>
      <w:color w:val="75000B" w:themeColor="accent1" w:themeShade="7F"/>
      <w:sz w:val="20"/>
      <w:lang w:val="en-GB"/>
    </w:rPr>
  </w:style>
  <w:style w:type="character" w:customStyle="1" w:styleId="Heading6Char">
    <w:name w:val="Heading 6 Char"/>
    <w:basedOn w:val="DefaultParagraphFont"/>
    <w:link w:val="Heading6"/>
    <w:uiPriority w:val="9"/>
    <w:semiHidden/>
    <w:rsid w:val="00C5169B"/>
    <w:rPr>
      <w:rFonts w:asciiTheme="majorHAnsi" w:eastAsiaTheme="majorEastAsia" w:hAnsiTheme="majorHAnsi" w:cstheme="majorBidi"/>
      <w:i/>
      <w:iCs/>
      <w:color w:val="75000B" w:themeColor="accent1" w:themeShade="7F"/>
      <w:sz w:val="20"/>
      <w:lang w:val="en-GB"/>
    </w:rPr>
  </w:style>
  <w:style w:type="character" w:customStyle="1" w:styleId="Heading7Char">
    <w:name w:val="Heading 7 Char"/>
    <w:basedOn w:val="DefaultParagraphFont"/>
    <w:link w:val="Heading7"/>
    <w:uiPriority w:val="9"/>
    <w:semiHidden/>
    <w:rsid w:val="00C5169B"/>
    <w:rPr>
      <w:rFonts w:asciiTheme="majorHAnsi" w:eastAsiaTheme="majorEastAsia" w:hAnsiTheme="majorHAnsi" w:cstheme="majorBidi"/>
      <w:i/>
      <w:iCs/>
      <w:color w:val="81929D" w:themeColor="text1" w:themeTint="BF"/>
      <w:sz w:val="20"/>
      <w:lang w:val="en-GB"/>
    </w:rPr>
  </w:style>
  <w:style w:type="character" w:customStyle="1" w:styleId="Heading8Char">
    <w:name w:val="Heading 8 Char"/>
    <w:basedOn w:val="DefaultParagraphFont"/>
    <w:link w:val="Heading8"/>
    <w:uiPriority w:val="9"/>
    <w:semiHidden/>
    <w:rsid w:val="00C5169B"/>
    <w:rPr>
      <w:rFonts w:asciiTheme="majorHAnsi" w:eastAsiaTheme="majorEastAsia" w:hAnsiTheme="majorHAnsi" w:cstheme="majorBidi"/>
      <w:color w:val="81929D" w:themeColor="text1" w:themeTint="BF"/>
      <w:sz w:val="20"/>
      <w:szCs w:val="20"/>
      <w:lang w:val="en-GB"/>
    </w:rPr>
  </w:style>
  <w:style w:type="character" w:customStyle="1" w:styleId="Heading9Char">
    <w:name w:val="Heading 9 Char"/>
    <w:basedOn w:val="DefaultParagraphFont"/>
    <w:link w:val="Heading9"/>
    <w:uiPriority w:val="9"/>
    <w:semiHidden/>
    <w:rsid w:val="00C5169B"/>
    <w:rPr>
      <w:rFonts w:asciiTheme="majorHAnsi" w:eastAsiaTheme="majorEastAsia" w:hAnsiTheme="majorHAnsi" w:cstheme="majorBidi"/>
      <w:i/>
      <w:iCs/>
      <w:color w:val="81929D" w:themeColor="text1" w:themeTint="BF"/>
      <w:sz w:val="20"/>
      <w:szCs w:val="20"/>
      <w:lang w:val="en-GB"/>
    </w:rPr>
  </w:style>
  <w:style w:type="numbering" w:styleId="ArticleSection">
    <w:name w:val="Outline List 3"/>
    <w:basedOn w:val="NoList"/>
    <w:uiPriority w:val="99"/>
    <w:semiHidden/>
    <w:unhideWhenUsed/>
    <w:rsid w:val="00C5169B"/>
    <w:pPr>
      <w:numPr>
        <w:numId w:val="9"/>
      </w:numPr>
    </w:pPr>
  </w:style>
  <w:style w:type="paragraph" w:styleId="Bibliography">
    <w:name w:val="Bibliography"/>
    <w:basedOn w:val="Normal"/>
    <w:next w:val="Normal"/>
    <w:uiPriority w:val="37"/>
    <w:semiHidden/>
    <w:unhideWhenUsed/>
    <w:rsid w:val="00C5169B"/>
  </w:style>
  <w:style w:type="paragraph" w:styleId="BlockText">
    <w:name w:val="Block Text"/>
    <w:basedOn w:val="Normal"/>
    <w:uiPriority w:val="99"/>
    <w:semiHidden/>
    <w:unhideWhenUsed/>
    <w:rsid w:val="00C5169B"/>
    <w:pPr>
      <w:pBdr>
        <w:top w:val="single" w:sz="2" w:space="10" w:color="EB0017" w:themeColor="accent1" w:shadow="1"/>
        <w:left w:val="single" w:sz="2" w:space="10" w:color="EB0017" w:themeColor="accent1" w:shadow="1"/>
        <w:bottom w:val="single" w:sz="2" w:space="10" w:color="EB0017" w:themeColor="accent1" w:shadow="1"/>
        <w:right w:val="single" w:sz="2" w:space="10" w:color="EB0017" w:themeColor="accent1" w:shadow="1"/>
      </w:pBdr>
      <w:ind w:left="1152" w:right="1152"/>
    </w:pPr>
    <w:rPr>
      <w:rFonts w:eastAsiaTheme="minorEastAsia"/>
      <w:i/>
      <w:iCs/>
      <w:color w:val="EB0017" w:themeColor="accent1"/>
    </w:rPr>
  </w:style>
  <w:style w:type="paragraph" w:styleId="BodyText2">
    <w:name w:val="Body Text 2"/>
    <w:basedOn w:val="Normal"/>
    <w:link w:val="BodyText2Char"/>
    <w:uiPriority w:val="99"/>
    <w:semiHidden/>
    <w:unhideWhenUsed/>
    <w:rsid w:val="00C5169B"/>
    <w:pPr>
      <w:spacing w:line="480" w:lineRule="auto"/>
    </w:pPr>
  </w:style>
  <w:style w:type="character" w:customStyle="1" w:styleId="BodyText2Char">
    <w:name w:val="Body Text 2 Char"/>
    <w:basedOn w:val="DefaultParagraphFont"/>
    <w:link w:val="BodyText2"/>
    <w:uiPriority w:val="99"/>
    <w:semiHidden/>
    <w:rsid w:val="00C5169B"/>
    <w:rPr>
      <w:sz w:val="20"/>
      <w:lang w:val="en-GB"/>
    </w:rPr>
  </w:style>
  <w:style w:type="paragraph" w:styleId="BodyText3">
    <w:name w:val="Body Text 3"/>
    <w:basedOn w:val="Normal"/>
    <w:link w:val="BodyText3Char"/>
    <w:uiPriority w:val="99"/>
    <w:semiHidden/>
    <w:unhideWhenUsed/>
    <w:rsid w:val="00C5169B"/>
    <w:rPr>
      <w:sz w:val="16"/>
      <w:szCs w:val="16"/>
    </w:rPr>
  </w:style>
  <w:style w:type="character" w:customStyle="1" w:styleId="BodyText3Char">
    <w:name w:val="Body Text 3 Char"/>
    <w:basedOn w:val="DefaultParagraphFont"/>
    <w:link w:val="BodyText3"/>
    <w:uiPriority w:val="99"/>
    <w:semiHidden/>
    <w:rsid w:val="00C5169B"/>
    <w:rPr>
      <w:sz w:val="16"/>
      <w:szCs w:val="16"/>
      <w:lang w:val="en-GB"/>
    </w:rPr>
  </w:style>
  <w:style w:type="paragraph" w:styleId="BodyTextFirstIndent">
    <w:name w:val="Body Text First Indent"/>
    <w:basedOn w:val="BodyText"/>
    <w:link w:val="BodyTextFirstIndentChar"/>
    <w:uiPriority w:val="99"/>
    <w:semiHidden/>
    <w:unhideWhenUsed/>
    <w:rsid w:val="00C5169B"/>
    <w:pPr>
      <w:ind w:firstLine="360"/>
    </w:pPr>
  </w:style>
  <w:style w:type="character" w:customStyle="1" w:styleId="BodyTextFirstIndentChar">
    <w:name w:val="Body Text First Indent Char"/>
    <w:basedOn w:val="BodyTextChar"/>
    <w:link w:val="BodyTextFirstIndent"/>
    <w:uiPriority w:val="99"/>
    <w:semiHidden/>
    <w:rsid w:val="00C5169B"/>
    <w:rPr>
      <w:color w:val="5D6D78" w:themeColor="text1"/>
      <w:sz w:val="20"/>
      <w:lang w:val="en-GB"/>
    </w:rPr>
  </w:style>
  <w:style w:type="paragraph" w:styleId="BodyTextIndent">
    <w:name w:val="Body Text Indent"/>
    <w:basedOn w:val="Normal"/>
    <w:link w:val="BodyTextIndentChar"/>
    <w:uiPriority w:val="99"/>
    <w:semiHidden/>
    <w:unhideWhenUsed/>
    <w:rsid w:val="00C5169B"/>
    <w:pPr>
      <w:ind w:left="283"/>
    </w:pPr>
  </w:style>
  <w:style w:type="character" w:customStyle="1" w:styleId="BodyTextIndentChar">
    <w:name w:val="Body Text Indent Char"/>
    <w:basedOn w:val="DefaultParagraphFont"/>
    <w:link w:val="BodyTextIndent"/>
    <w:uiPriority w:val="99"/>
    <w:semiHidden/>
    <w:rsid w:val="00C5169B"/>
    <w:rPr>
      <w:sz w:val="20"/>
      <w:lang w:val="en-GB"/>
    </w:rPr>
  </w:style>
  <w:style w:type="paragraph" w:styleId="BodyTextFirstIndent2">
    <w:name w:val="Body Text First Indent 2"/>
    <w:basedOn w:val="BodyTextIndent"/>
    <w:link w:val="BodyTextFirstIndent2Char"/>
    <w:uiPriority w:val="99"/>
    <w:semiHidden/>
    <w:unhideWhenUsed/>
    <w:rsid w:val="00C5169B"/>
    <w:pPr>
      <w:ind w:left="360" w:firstLine="360"/>
    </w:pPr>
  </w:style>
  <w:style w:type="character" w:customStyle="1" w:styleId="BodyTextFirstIndent2Char">
    <w:name w:val="Body Text First Indent 2 Char"/>
    <w:basedOn w:val="BodyTextIndentChar"/>
    <w:link w:val="BodyTextFirstIndent2"/>
    <w:uiPriority w:val="99"/>
    <w:semiHidden/>
    <w:rsid w:val="00C5169B"/>
    <w:rPr>
      <w:sz w:val="20"/>
      <w:lang w:val="en-GB"/>
    </w:rPr>
  </w:style>
  <w:style w:type="paragraph" w:styleId="BodyTextIndent2">
    <w:name w:val="Body Text Indent 2"/>
    <w:basedOn w:val="Normal"/>
    <w:link w:val="BodyTextIndent2Char"/>
    <w:uiPriority w:val="99"/>
    <w:semiHidden/>
    <w:unhideWhenUsed/>
    <w:rsid w:val="00C5169B"/>
    <w:pPr>
      <w:spacing w:line="480" w:lineRule="auto"/>
      <w:ind w:left="283"/>
    </w:pPr>
  </w:style>
  <w:style w:type="character" w:customStyle="1" w:styleId="BodyTextIndent2Char">
    <w:name w:val="Body Text Indent 2 Char"/>
    <w:basedOn w:val="DefaultParagraphFont"/>
    <w:link w:val="BodyTextIndent2"/>
    <w:uiPriority w:val="99"/>
    <w:semiHidden/>
    <w:rsid w:val="00C5169B"/>
    <w:rPr>
      <w:sz w:val="20"/>
      <w:lang w:val="en-GB"/>
    </w:rPr>
  </w:style>
  <w:style w:type="paragraph" w:styleId="BodyTextIndent3">
    <w:name w:val="Body Text Indent 3"/>
    <w:basedOn w:val="Normal"/>
    <w:link w:val="BodyTextIndent3Char"/>
    <w:uiPriority w:val="99"/>
    <w:semiHidden/>
    <w:unhideWhenUsed/>
    <w:rsid w:val="00C5169B"/>
    <w:pPr>
      <w:ind w:left="283"/>
    </w:pPr>
    <w:rPr>
      <w:sz w:val="16"/>
      <w:szCs w:val="16"/>
    </w:rPr>
  </w:style>
  <w:style w:type="character" w:customStyle="1" w:styleId="BodyTextIndent3Char">
    <w:name w:val="Body Text Indent 3 Char"/>
    <w:basedOn w:val="DefaultParagraphFont"/>
    <w:link w:val="BodyTextIndent3"/>
    <w:uiPriority w:val="99"/>
    <w:semiHidden/>
    <w:rsid w:val="00C5169B"/>
    <w:rPr>
      <w:sz w:val="16"/>
      <w:szCs w:val="16"/>
      <w:lang w:val="en-GB"/>
    </w:rPr>
  </w:style>
  <w:style w:type="paragraph" w:styleId="Caption">
    <w:name w:val="caption"/>
    <w:basedOn w:val="Normal"/>
    <w:next w:val="Normal"/>
    <w:uiPriority w:val="35"/>
    <w:semiHidden/>
    <w:unhideWhenUsed/>
    <w:qFormat/>
    <w:rsid w:val="00C5169B"/>
    <w:pPr>
      <w:spacing w:line="240" w:lineRule="auto"/>
    </w:pPr>
    <w:rPr>
      <w:b/>
      <w:bCs/>
      <w:color w:val="EB0017" w:themeColor="accent1"/>
      <w:sz w:val="18"/>
      <w:szCs w:val="18"/>
    </w:rPr>
  </w:style>
  <w:style w:type="paragraph" w:styleId="Closing">
    <w:name w:val="Closing"/>
    <w:basedOn w:val="Normal"/>
    <w:link w:val="ClosingChar"/>
    <w:uiPriority w:val="99"/>
    <w:semiHidden/>
    <w:unhideWhenUsed/>
    <w:rsid w:val="00C5169B"/>
    <w:pPr>
      <w:spacing w:after="0" w:line="240" w:lineRule="auto"/>
      <w:ind w:left="4252"/>
    </w:pPr>
  </w:style>
  <w:style w:type="character" w:customStyle="1" w:styleId="ClosingChar">
    <w:name w:val="Closing Char"/>
    <w:basedOn w:val="DefaultParagraphFont"/>
    <w:link w:val="Closing"/>
    <w:uiPriority w:val="99"/>
    <w:semiHidden/>
    <w:rsid w:val="00C5169B"/>
    <w:rPr>
      <w:sz w:val="20"/>
      <w:lang w:val="en-GB"/>
    </w:rPr>
  </w:style>
  <w:style w:type="table" w:styleId="ColorfulGrid">
    <w:name w:val="Colorful Grid"/>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text1" w:themeFillTint="33"/>
    </w:tcPr>
    <w:tblStylePr w:type="firstRow">
      <w:rPr>
        <w:b/>
        <w:bCs/>
      </w:rPr>
      <w:tblPr/>
      <w:tcPr>
        <w:shd w:val="clear" w:color="auto" w:fill="BBC4CB" w:themeFill="text1" w:themeFillTint="66"/>
      </w:tcPr>
    </w:tblStylePr>
    <w:tblStylePr w:type="lastRow">
      <w:rPr>
        <w:b/>
        <w:bCs/>
        <w:color w:val="5D6D78" w:themeColor="text1"/>
      </w:rPr>
      <w:tblPr/>
      <w:tcPr>
        <w:shd w:val="clear" w:color="auto" w:fill="BBC4CB" w:themeFill="text1" w:themeFillTint="66"/>
      </w:tcPr>
    </w:tblStylePr>
    <w:tblStylePr w:type="firstCol">
      <w:rPr>
        <w:color w:val="FFFFFF" w:themeColor="background1"/>
      </w:rPr>
      <w:tblPr/>
      <w:tcPr>
        <w:shd w:val="clear" w:color="auto" w:fill="455159" w:themeFill="text1" w:themeFillShade="BF"/>
      </w:tcPr>
    </w:tblStylePr>
    <w:tblStylePr w:type="lastCol">
      <w:rPr>
        <w:color w:val="FFFFFF" w:themeColor="background1"/>
      </w:rPr>
      <w:tblPr/>
      <w:tcPr>
        <w:shd w:val="clear" w:color="auto" w:fill="455159" w:themeFill="text1" w:themeFillShade="BF"/>
      </w:tc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ColorfulGrid-Accent1">
    <w:name w:val="Colorful Grid Accent 1"/>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FC8CD" w:themeFill="accent1" w:themeFillTint="33"/>
    </w:tcPr>
    <w:tblStylePr w:type="firstRow">
      <w:rPr>
        <w:b/>
        <w:bCs/>
      </w:rPr>
      <w:tblPr/>
      <w:tcPr>
        <w:shd w:val="clear" w:color="auto" w:fill="FF919B" w:themeFill="accent1" w:themeFillTint="66"/>
      </w:tcPr>
    </w:tblStylePr>
    <w:tblStylePr w:type="lastRow">
      <w:rPr>
        <w:b/>
        <w:bCs/>
        <w:color w:val="5D6D78" w:themeColor="text1"/>
      </w:rPr>
      <w:tblPr/>
      <w:tcPr>
        <w:shd w:val="clear" w:color="auto" w:fill="FF919B" w:themeFill="accent1" w:themeFillTint="66"/>
      </w:tcPr>
    </w:tblStylePr>
    <w:tblStylePr w:type="firstCol">
      <w:rPr>
        <w:color w:val="FFFFFF" w:themeColor="background1"/>
      </w:rPr>
      <w:tblPr/>
      <w:tcPr>
        <w:shd w:val="clear" w:color="auto" w:fill="B00010" w:themeFill="accent1" w:themeFillShade="BF"/>
      </w:tcPr>
    </w:tblStylePr>
    <w:tblStylePr w:type="lastCol">
      <w:rPr>
        <w:color w:val="FFFFFF" w:themeColor="background1"/>
      </w:rPr>
      <w:tblPr/>
      <w:tcPr>
        <w:shd w:val="clear" w:color="auto" w:fill="B00010" w:themeFill="accent1" w:themeFillShade="BF"/>
      </w:tc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ColorfulGrid-Accent2">
    <w:name w:val="Colorful Grid Accent 2"/>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E5E9EA" w:themeFill="accent2" w:themeFillTint="33"/>
    </w:tcPr>
    <w:tblStylePr w:type="firstRow">
      <w:rPr>
        <w:b/>
        <w:bCs/>
      </w:rPr>
      <w:tblPr/>
      <w:tcPr>
        <w:shd w:val="clear" w:color="auto" w:fill="CCD3D6" w:themeFill="accent2" w:themeFillTint="66"/>
      </w:tcPr>
    </w:tblStylePr>
    <w:tblStylePr w:type="lastRow">
      <w:rPr>
        <w:b/>
        <w:bCs/>
        <w:color w:val="5D6D78" w:themeColor="text1"/>
      </w:rPr>
      <w:tblPr/>
      <w:tcPr>
        <w:shd w:val="clear" w:color="auto" w:fill="CCD3D6" w:themeFill="accent2" w:themeFillTint="66"/>
      </w:tcPr>
    </w:tblStylePr>
    <w:tblStylePr w:type="firstCol">
      <w:rPr>
        <w:color w:val="FFFFFF" w:themeColor="background1"/>
      </w:rPr>
      <w:tblPr/>
      <w:tcPr>
        <w:shd w:val="clear" w:color="auto" w:fill="5F6E75" w:themeFill="accent2" w:themeFillShade="BF"/>
      </w:tcPr>
    </w:tblStylePr>
    <w:tblStylePr w:type="lastCol">
      <w:rPr>
        <w:color w:val="FFFFFF" w:themeColor="background1"/>
      </w:rPr>
      <w:tblPr/>
      <w:tcPr>
        <w:shd w:val="clear" w:color="auto" w:fill="5F6E75" w:themeFill="accent2" w:themeFillShade="BF"/>
      </w:tc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ColorfulGrid-Accent3">
    <w:name w:val="Colorful Grid Accent 3"/>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9FBFC" w:themeFill="accent3" w:themeFillTint="33"/>
    </w:tcPr>
    <w:tblStylePr w:type="firstRow">
      <w:rPr>
        <w:b/>
        <w:bCs/>
      </w:rPr>
      <w:tblPr/>
      <w:tcPr>
        <w:shd w:val="clear" w:color="auto" w:fill="F4F8F9" w:themeFill="accent3" w:themeFillTint="66"/>
      </w:tcPr>
    </w:tblStylePr>
    <w:tblStylePr w:type="lastRow">
      <w:rPr>
        <w:b/>
        <w:bCs/>
        <w:color w:val="5D6D78" w:themeColor="text1"/>
      </w:rPr>
      <w:tblPr/>
      <w:tcPr>
        <w:shd w:val="clear" w:color="auto" w:fill="F4F8F9" w:themeFill="accent3" w:themeFillTint="66"/>
      </w:tcPr>
    </w:tblStylePr>
    <w:tblStylePr w:type="firstCol">
      <w:rPr>
        <w:color w:val="FFFFFF" w:themeColor="background1"/>
      </w:rPr>
      <w:tblPr/>
      <w:tcPr>
        <w:shd w:val="clear" w:color="auto" w:fill="9AC0C4" w:themeFill="accent3" w:themeFillShade="BF"/>
      </w:tcPr>
    </w:tblStylePr>
    <w:tblStylePr w:type="lastCol">
      <w:rPr>
        <w:color w:val="FFFFFF" w:themeColor="background1"/>
      </w:rPr>
      <w:tblPr/>
      <w:tcPr>
        <w:shd w:val="clear" w:color="auto" w:fill="9AC0C4" w:themeFill="accent3" w:themeFillShade="BF"/>
      </w:tc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ColorfulGrid-Accent4">
    <w:name w:val="Colorful Grid Accent 4"/>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F4F7F8" w:themeFill="accent4" w:themeFillTint="33"/>
    </w:tcPr>
    <w:tblStylePr w:type="firstRow">
      <w:rPr>
        <w:b/>
        <w:bCs/>
      </w:rPr>
      <w:tblPr/>
      <w:tcPr>
        <w:shd w:val="clear" w:color="auto" w:fill="EAF0F1" w:themeFill="accent4" w:themeFillTint="66"/>
      </w:tcPr>
    </w:tblStylePr>
    <w:tblStylePr w:type="lastRow">
      <w:rPr>
        <w:b/>
        <w:bCs/>
        <w:color w:val="5D6D78" w:themeColor="text1"/>
      </w:rPr>
      <w:tblPr/>
      <w:tcPr>
        <w:shd w:val="clear" w:color="auto" w:fill="EAF0F1" w:themeFill="accent4" w:themeFillTint="66"/>
      </w:tcPr>
    </w:tblStylePr>
    <w:tblStylePr w:type="firstCol">
      <w:rPr>
        <w:color w:val="FFFFFF" w:themeColor="background1"/>
      </w:rPr>
      <w:tblPr/>
      <w:tcPr>
        <w:shd w:val="clear" w:color="auto" w:fill="8CACB3" w:themeFill="accent4" w:themeFillShade="BF"/>
      </w:tcPr>
    </w:tblStylePr>
    <w:tblStylePr w:type="lastCol">
      <w:rPr>
        <w:color w:val="FFFFFF" w:themeColor="background1"/>
      </w:rPr>
      <w:tblPr/>
      <w:tcPr>
        <w:shd w:val="clear" w:color="auto" w:fill="8CACB3" w:themeFill="accent4" w:themeFillShade="BF"/>
      </w:tc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ColorfulGrid-Accent5">
    <w:name w:val="Colorful Grid Accent 5"/>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DDE1E5" w:themeFill="accent5" w:themeFillTint="33"/>
    </w:tcPr>
    <w:tblStylePr w:type="firstRow">
      <w:rPr>
        <w:b/>
        <w:bCs/>
      </w:rPr>
      <w:tblPr/>
      <w:tcPr>
        <w:shd w:val="clear" w:color="auto" w:fill="BBC4CB" w:themeFill="accent5" w:themeFillTint="66"/>
      </w:tcPr>
    </w:tblStylePr>
    <w:tblStylePr w:type="lastRow">
      <w:rPr>
        <w:b/>
        <w:bCs/>
        <w:color w:val="5D6D78" w:themeColor="text1"/>
      </w:rPr>
      <w:tblPr/>
      <w:tcPr>
        <w:shd w:val="clear" w:color="auto" w:fill="BBC4CB" w:themeFill="accent5" w:themeFillTint="66"/>
      </w:tcPr>
    </w:tblStylePr>
    <w:tblStylePr w:type="firstCol">
      <w:rPr>
        <w:color w:val="FFFFFF" w:themeColor="background1"/>
      </w:rPr>
      <w:tblPr/>
      <w:tcPr>
        <w:shd w:val="clear" w:color="auto" w:fill="455159" w:themeFill="accent5" w:themeFillShade="BF"/>
      </w:tcPr>
    </w:tblStylePr>
    <w:tblStylePr w:type="lastCol">
      <w:rPr>
        <w:color w:val="FFFFFF" w:themeColor="background1"/>
      </w:rPr>
      <w:tblPr/>
      <w:tcPr>
        <w:shd w:val="clear" w:color="auto" w:fill="455159" w:themeFill="accent5" w:themeFillShade="BF"/>
      </w:tc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ColorfulGrid-Accent6">
    <w:name w:val="Colorful Grid Accent 6"/>
    <w:basedOn w:val="TableNormal"/>
    <w:uiPriority w:val="73"/>
    <w:rsid w:val="00C5169B"/>
    <w:pPr>
      <w:spacing w:after="0" w:line="240" w:lineRule="auto"/>
    </w:pPr>
    <w:rPr>
      <w:color w:val="5D6D78" w:themeColor="text1"/>
    </w:rPr>
    <w:tblPr>
      <w:tblStyleRowBandSize w:val="1"/>
      <w:tblStyleColBandSize w:val="1"/>
      <w:tblBorders>
        <w:insideH w:val="single" w:sz="4" w:space="0" w:color="FFFFFF" w:themeColor="background1"/>
      </w:tblBorders>
    </w:tblPr>
    <w:tcPr>
      <w:shd w:val="clear" w:color="auto" w:fill="CDCFDC" w:themeFill="accent6" w:themeFillTint="33"/>
    </w:tcPr>
    <w:tblStylePr w:type="firstRow">
      <w:rPr>
        <w:b/>
        <w:bCs/>
      </w:rPr>
      <w:tblPr/>
      <w:tcPr>
        <w:shd w:val="clear" w:color="auto" w:fill="9CA0BA" w:themeFill="accent6" w:themeFillTint="66"/>
      </w:tcPr>
    </w:tblStylePr>
    <w:tblStylePr w:type="lastRow">
      <w:rPr>
        <w:b/>
        <w:bCs/>
        <w:color w:val="5D6D78" w:themeColor="text1"/>
      </w:rPr>
      <w:tblPr/>
      <w:tcPr>
        <w:shd w:val="clear" w:color="auto" w:fill="9CA0BA" w:themeFill="accent6" w:themeFillTint="66"/>
      </w:tcPr>
    </w:tblStylePr>
    <w:tblStylePr w:type="firstCol">
      <w:rPr>
        <w:color w:val="FFFFFF" w:themeColor="background1"/>
      </w:rPr>
      <w:tblPr/>
      <w:tcPr>
        <w:shd w:val="clear" w:color="auto" w:fill="1C1D28" w:themeFill="accent6" w:themeFillShade="BF"/>
      </w:tcPr>
    </w:tblStylePr>
    <w:tblStylePr w:type="lastCol">
      <w:rPr>
        <w:color w:val="FFFFFF" w:themeColor="background1"/>
      </w:rPr>
      <w:tblPr/>
      <w:tcPr>
        <w:shd w:val="clear" w:color="auto" w:fill="1C1D28" w:themeFill="accent6" w:themeFillShade="BF"/>
      </w:tc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ColorfulList">
    <w:name w:val="Colorful List"/>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tex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text1" w:themeFillTint="3F"/>
      </w:tcPr>
    </w:tblStylePr>
    <w:tblStylePr w:type="band1Horz">
      <w:tblPr/>
      <w:tcPr>
        <w:shd w:val="clear" w:color="auto" w:fill="DDE1E5" w:themeFill="text1" w:themeFillTint="33"/>
      </w:tcPr>
    </w:tblStylePr>
  </w:style>
  <w:style w:type="table" w:styleId="ColorfulList-Accent1">
    <w:name w:val="Colorful List Accent 1"/>
    <w:basedOn w:val="TableNormal"/>
    <w:uiPriority w:val="72"/>
    <w:rsid w:val="00C5169B"/>
    <w:pPr>
      <w:spacing w:after="0" w:line="240" w:lineRule="auto"/>
    </w:pPr>
    <w:rPr>
      <w:color w:val="5D6D78" w:themeColor="text1"/>
    </w:rPr>
    <w:tblPr>
      <w:tblStyleRowBandSize w:val="1"/>
      <w:tblStyleColBandSize w:val="1"/>
    </w:tblPr>
    <w:tcPr>
      <w:shd w:val="clear" w:color="auto" w:fill="FFE4E6" w:themeFill="accent1"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C1" w:themeFill="accent1" w:themeFillTint="3F"/>
      </w:tcPr>
    </w:tblStylePr>
    <w:tblStylePr w:type="band1Horz">
      <w:tblPr/>
      <w:tcPr>
        <w:shd w:val="clear" w:color="auto" w:fill="FFC8CD" w:themeFill="accent1" w:themeFillTint="33"/>
      </w:tcPr>
    </w:tblStylePr>
  </w:style>
  <w:style w:type="table" w:styleId="ColorfulList-Accent2">
    <w:name w:val="Colorful List Accent 2"/>
    <w:basedOn w:val="TableNormal"/>
    <w:uiPriority w:val="72"/>
    <w:rsid w:val="00C5169B"/>
    <w:pPr>
      <w:spacing w:after="0" w:line="240" w:lineRule="auto"/>
    </w:pPr>
    <w:rPr>
      <w:color w:val="5D6D78" w:themeColor="text1"/>
    </w:rPr>
    <w:tblPr>
      <w:tblStyleRowBandSize w:val="1"/>
      <w:tblStyleColBandSize w:val="1"/>
    </w:tblPr>
    <w:tcPr>
      <w:shd w:val="clear" w:color="auto" w:fill="F2F4F5" w:themeFill="accent2" w:themeFillTint="19"/>
    </w:tcPr>
    <w:tblStylePr w:type="firstRow">
      <w:rPr>
        <w:b/>
        <w:bCs/>
        <w:color w:val="FFFFFF" w:themeColor="background1"/>
      </w:rPr>
      <w:tblPr/>
      <w:tcPr>
        <w:tcBorders>
          <w:bottom w:val="single" w:sz="12" w:space="0" w:color="FFFFFF" w:themeColor="background1"/>
        </w:tcBorders>
        <w:shd w:val="clear" w:color="auto" w:fill="65767D" w:themeFill="accent2" w:themeFillShade="CC"/>
      </w:tcPr>
    </w:tblStylePr>
    <w:tblStylePr w:type="lastRow">
      <w:rPr>
        <w:b/>
        <w:bCs/>
        <w:color w:val="65767D" w:themeColor="accent2"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4E6" w:themeFill="accent2" w:themeFillTint="3F"/>
      </w:tcPr>
    </w:tblStylePr>
    <w:tblStylePr w:type="band1Horz">
      <w:tblPr/>
      <w:tcPr>
        <w:shd w:val="clear" w:color="auto" w:fill="E5E9EA" w:themeFill="accent2" w:themeFillTint="33"/>
      </w:tcPr>
    </w:tblStylePr>
  </w:style>
  <w:style w:type="table" w:styleId="ColorfulList-Accent3">
    <w:name w:val="Colorful List Accent 3"/>
    <w:basedOn w:val="TableNormal"/>
    <w:uiPriority w:val="72"/>
    <w:rsid w:val="00C5169B"/>
    <w:pPr>
      <w:spacing w:after="0" w:line="240" w:lineRule="auto"/>
    </w:pPr>
    <w:rPr>
      <w:color w:val="5D6D78" w:themeColor="text1"/>
    </w:rPr>
    <w:tblPr>
      <w:tblStyleRowBandSize w:val="1"/>
      <w:tblStyleColBandSize w:val="1"/>
    </w:tblPr>
    <w:tcPr>
      <w:shd w:val="clear" w:color="auto" w:fill="FCFDFD" w:themeFill="accent3" w:themeFillTint="19"/>
    </w:tcPr>
    <w:tblStylePr w:type="firstRow">
      <w:rPr>
        <w:b/>
        <w:bCs/>
        <w:color w:val="FFFFFF" w:themeColor="background1"/>
      </w:rPr>
      <w:tblPr/>
      <w:tcPr>
        <w:tcBorders>
          <w:bottom w:val="single" w:sz="12" w:space="0" w:color="FFFFFF" w:themeColor="background1"/>
        </w:tcBorders>
        <w:shd w:val="clear" w:color="auto" w:fill="99B5BC" w:themeFill="accent4" w:themeFillShade="CC"/>
      </w:tcPr>
    </w:tblStylePr>
    <w:tblStylePr w:type="lastRow">
      <w:rPr>
        <w:b/>
        <w:bCs/>
        <w:color w:val="99B5BC" w:themeColor="accent4"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BFB" w:themeFill="accent3" w:themeFillTint="3F"/>
      </w:tcPr>
    </w:tblStylePr>
    <w:tblStylePr w:type="band1Horz">
      <w:tblPr/>
      <w:tcPr>
        <w:shd w:val="clear" w:color="auto" w:fill="F9FBFC" w:themeFill="accent3" w:themeFillTint="33"/>
      </w:tcPr>
    </w:tblStylePr>
  </w:style>
  <w:style w:type="table" w:styleId="ColorfulList-Accent4">
    <w:name w:val="Colorful List Accent 4"/>
    <w:basedOn w:val="TableNormal"/>
    <w:uiPriority w:val="72"/>
    <w:rsid w:val="00C5169B"/>
    <w:pPr>
      <w:spacing w:after="0" w:line="240" w:lineRule="auto"/>
    </w:pPr>
    <w:rPr>
      <w:color w:val="5D6D78" w:themeColor="text1"/>
    </w:rPr>
    <w:tblPr>
      <w:tblStyleRowBandSize w:val="1"/>
      <w:tblStyleColBandSize w:val="1"/>
    </w:tblPr>
    <w:tcPr>
      <w:shd w:val="clear" w:color="auto" w:fill="F9FBFB" w:themeFill="accent4" w:themeFillTint="19"/>
    </w:tcPr>
    <w:tblStylePr w:type="firstRow">
      <w:rPr>
        <w:b/>
        <w:bCs/>
        <w:color w:val="FFFFFF" w:themeColor="background1"/>
      </w:rPr>
      <w:tblPr/>
      <w:tcPr>
        <w:tcBorders>
          <w:bottom w:val="single" w:sz="12" w:space="0" w:color="FFFFFF" w:themeColor="background1"/>
        </w:tcBorders>
        <w:shd w:val="clear" w:color="auto" w:fill="A9CACD" w:themeFill="accent3" w:themeFillShade="CC"/>
      </w:tcPr>
    </w:tblStylePr>
    <w:tblStylePr w:type="lastRow">
      <w:rPr>
        <w:b/>
        <w:bCs/>
        <w:color w:val="A9CACD" w:themeColor="accent3"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6F6" w:themeFill="accent4" w:themeFillTint="3F"/>
      </w:tcPr>
    </w:tblStylePr>
    <w:tblStylePr w:type="band1Horz">
      <w:tblPr/>
      <w:tcPr>
        <w:shd w:val="clear" w:color="auto" w:fill="F4F7F8" w:themeFill="accent4" w:themeFillTint="33"/>
      </w:tcPr>
    </w:tblStylePr>
  </w:style>
  <w:style w:type="table" w:styleId="ColorfulList-Accent5">
    <w:name w:val="Colorful List Accent 5"/>
    <w:basedOn w:val="TableNormal"/>
    <w:uiPriority w:val="72"/>
    <w:rsid w:val="00C5169B"/>
    <w:pPr>
      <w:spacing w:after="0" w:line="240" w:lineRule="auto"/>
    </w:pPr>
    <w:rPr>
      <w:color w:val="5D6D78" w:themeColor="text1"/>
    </w:rPr>
    <w:tblPr>
      <w:tblStyleRowBandSize w:val="1"/>
      <w:tblStyleColBandSize w:val="1"/>
    </w:tblPr>
    <w:tcPr>
      <w:shd w:val="clear" w:color="auto" w:fill="EEF0F2" w:themeFill="accent5" w:themeFillTint="19"/>
    </w:tcPr>
    <w:tblStylePr w:type="firstRow">
      <w:rPr>
        <w:b/>
        <w:bCs/>
        <w:color w:val="FFFFFF" w:themeColor="background1"/>
      </w:rPr>
      <w:tblPr/>
      <w:tcPr>
        <w:tcBorders>
          <w:bottom w:val="single" w:sz="12" w:space="0" w:color="FFFFFF" w:themeColor="background1"/>
        </w:tcBorders>
        <w:shd w:val="clear" w:color="auto" w:fill="1E1F2B" w:themeFill="accent6" w:themeFillShade="CC"/>
      </w:tcPr>
    </w:tblStylePr>
    <w:tblStylePr w:type="lastRow">
      <w:rPr>
        <w:b/>
        <w:bCs/>
        <w:color w:val="1E1F2B" w:themeColor="accent6"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BDE" w:themeFill="accent5" w:themeFillTint="3F"/>
      </w:tcPr>
    </w:tblStylePr>
    <w:tblStylePr w:type="band1Horz">
      <w:tblPr/>
      <w:tcPr>
        <w:shd w:val="clear" w:color="auto" w:fill="DDE1E5" w:themeFill="accent5" w:themeFillTint="33"/>
      </w:tcPr>
    </w:tblStylePr>
  </w:style>
  <w:style w:type="table" w:styleId="ColorfulList-Accent6">
    <w:name w:val="Colorful List Accent 6"/>
    <w:basedOn w:val="TableNormal"/>
    <w:uiPriority w:val="72"/>
    <w:rsid w:val="00C5169B"/>
    <w:pPr>
      <w:spacing w:after="0" w:line="240" w:lineRule="auto"/>
    </w:pPr>
    <w:rPr>
      <w:color w:val="5D6D78" w:themeColor="text1"/>
    </w:rPr>
    <w:tblPr>
      <w:tblStyleRowBandSize w:val="1"/>
      <w:tblStyleColBandSize w:val="1"/>
    </w:tblPr>
    <w:tcPr>
      <w:shd w:val="clear" w:color="auto" w:fill="E6E7EE" w:themeFill="accent6" w:themeFillTint="19"/>
    </w:tcPr>
    <w:tblStylePr w:type="firstRow">
      <w:rPr>
        <w:b/>
        <w:bCs/>
        <w:color w:val="FFFFFF" w:themeColor="background1"/>
      </w:rPr>
      <w:tblPr/>
      <w:tcPr>
        <w:tcBorders>
          <w:bottom w:val="single" w:sz="12" w:space="0" w:color="FFFFFF" w:themeColor="background1"/>
        </w:tcBorders>
        <w:shd w:val="clear" w:color="auto" w:fill="4A575F" w:themeFill="accent5" w:themeFillShade="CC"/>
      </w:tcPr>
    </w:tblStylePr>
    <w:tblStylePr w:type="lastRow">
      <w:rPr>
        <w:b/>
        <w:bCs/>
        <w:color w:val="4A575F" w:themeColor="accent5" w:themeShade="CC"/>
      </w:rPr>
      <w:tblPr/>
      <w:tcPr>
        <w:tcBorders>
          <w:top w:val="single" w:sz="12" w:space="0" w:color="5D6D7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C4D4" w:themeFill="accent6" w:themeFillTint="3F"/>
      </w:tcPr>
    </w:tblStylePr>
    <w:tblStylePr w:type="band1Horz">
      <w:tblPr/>
      <w:tcPr>
        <w:shd w:val="clear" w:color="auto" w:fill="CDCFDC" w:themeFill="accent6" w:themeFillTint="33"/>
      </w:tcPr>
    </w:tblStylePr>
  </w:style>
  <w:style w:type="table" w:styleId="ColorfulShading">
    <w:name w:val="Colorful Shading"/>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5D6D78" w:themeColor="text1"/>
        <w:bottom w:val="single" w:sz="4" w:space="0" w:color="5D6D78" w:themeColor="text1"/>
        <w:right w:val="single" w:sz="4" w:space="0" w:color="5D6D78" w:themeColor="text1"/>
        <w:insideH w:val="single" w:sz="4" w:space="0" w:color="FFFFFF" w:themeColor="background1"/>
        <w:insideV w:val="single" w:sz="4" w:space="0" w:color="FFFFFF" w:themeColor="background1"/>
      </w:tblBorders>
    </w:tblPr>
    <w:tcPr>
      <w:shd w:val="clear" w:color="auto" w:fill="EEF0F2" w:themeFill="tex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text1" w:themeFillShade="99"/>
      </w:tcPr>
    </w:tblStylePr>
    <w:tblStylePr w:type="firstCol">
      <w:rPr>
        <w:color w:val="FFFFFF" w:themeColor="background1"/>
      </w:rPr>
      <w:tblPr/>
      <w:tcPr>
        <w:tcBorders>
          <w:top w:val="nil"/>
          <w:left w:val="nil"/>
          <w:bottom w:val="nil"/>
          <w:right w:val="nil"/>
          <w:insideH w:val="single" w:sz="4" w:space="0" w:color="374147" w:themeColor="text1" w:themeShade="99"/>
          <w:insideV w:val="nil"/>
        </w:tcBorders>
        <w:shd w:val="clear" w:color="auto" w:fill="374147"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455159" w:themeFill="text1" w:themeFillShade="BF"/>
      </w:tcPr>
    </w:tblStylePr>
    <w:tblStylePr w:type="band1Vert">
      <w:tblPr/>
      <w:tcPr>
        <w:shd w:val="clear" w:color="auto" w:fill="BBC4CB" w:themeFill="text1" w:themeFillTint="66"/>
      </w:tcPr>
    </w:tblStylePr>
    <w:tblStylePr w:type="band1Horz">
      <w:tblPr/>
      <w:tcPr>
        <w:shd w:val="clear" w:color="auto" w:fill="ABB6BE" w:themeFill="text1" w:themeFillTint="7F"/>
      </w:tcPr>
    </w:tblStylePr>
    <w:tblStylePr w:type="neCell">
      <w:rPr>
        <w:color w:val="5D6D78" w:themeColor="text1"/>
      </w:rPr>
    </w:tblStylePr>
    <w:tblStylePr w:type="nwCell">
      <w:rPr>
        <w:color w:val="5D6D78" w:themeColor="text1"/>
      </w:rPr>
    </w:tblStylePr>
  </w:style>
  <w:style w:type="table" w:styleId="ColorfulShading-Accent1">
    <w:name w:val="Colorful Shading Accent 1"/>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EB0017" w:themeColor="accent1"/>
        <w:bottom w:val="single" w:sz="4" w:space="0" w:color="EB0017" w:themeColor="accent1"/>
        <w:right w:val="single" w:sz="4" w:space="0" w:color="EB0017" w:themeColor="accent1"/>
        <w:insideH w:val="single" w:sz="4" w:space="0" w:color="FFFFFF" w:themeColor="background1"/>
        <w:insideV w:val="single" w:sz="4" w:space="0" w:color="FFFFFF" w:themeColor="background1"/>
      </w:tblBorders>
    </w:tblPr>
    <w:tcPr>
      <w:shd w:val="clear" w:color="auto" w:fill="FFE4E6" w:themeFill="accent1"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0D" w:themeFill="accent1" w:themeFillShade="99"/>
      </w:tcPr>
    </w:tblStylePr>
    <w:tblStylePr w:type="firstCol">
      <w:rPr>
        <w:color w:val="FFFFFF" w:themeColor="background1"/>
      </w:rPr>
      <w:tblPr/>
      <w:tcPr>
        <w:tcBorders>
          <w:top w:val="nil"/>
          <w:left w:val="nil"/>
          <w:bottom w:val="nil"/>
          <w:right w:val="nil"/>
          <w:insideH w:val="single" w:sz="4" w:space="0" w:color="8D000D" w:themeColor="accent1" w:themeShade="99"/>
          <w:insideV w:val="nil"/>
        </w:tcBorders>
        <w:shd w:val="clear" w:color="auto" w:fill="8D00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D000D" w:themeFill="accent1" w:themeFillShade="99"/>
      </w:tcPr>
    </w:tblStylePr>
    <w:tblStylePr w:type="band1Vert">
      <w:tblPr/>
      <w:tcPr>
        <w:shd w:val="clear" w:color="auto" w:fill="FF919B" w:themeFill="accent1" w:themeFillTint="66"/>
      </w:tcPr>
    </w:tblStylePr>
    <w:tblStylePr w:type="band1Horz">
      <w:tblPr/>
      <w:tcPr>
        <w:shd w:val="clear" w:color="auto" w:fill="FF7682" w:themeFill="accent1" w:themeFillTint="7F"/>
      </w:tcPr>
    </w:tblStylePr>
    <w:tblStylePr w:type="neCell">
      <w:rPr>
        <w:color w:val="5D6D78" w:themeColor="text1"/>
      </w:rPr>
    </w:tblStylePr>
    <w:tblStylePr w:type="nwCell">
      <w:rPr>
        <w:color w:val="5D6D78" w:themeColor="text1"/>
      </w:rPr>
    </w:tblStylePr>
  </w:style>
  <w:style w:type="table" w:styleId="ColorfulShading-Accent2">
    <w:name w:val="Colorful Shading Accent 2"/>
    <w:basedOn w:val="TableNormal"/>
    <w:uiPriority w:val="71"/>
    <w:rsid w:val="00C5169B"/>
    <w:pPr>
      <w:spacing w:after="0" w:line="240" w:lineRule="auto"/>
    </w:pPr>
    <w:rPr>
      <w:color w:val="5D6D78" w:themeColor="text1"/>
    </w:rPr>
    <w:tblPr>
      <w:tblStyleRowBandSize w:val="1"/>
      <w:tblStyleColBandSize w:val="1"/>
      <w:tblBorders>
        <w:top w:val="single" w:sz="24" w:space="0" w:color="82939A" w:themeColor="accent2"/>
        <w:left w:val="single" w:sz="4" w:space="0" w:color="82939A" w:themeColor="accent2"/>
        <w:bottom w:val="single" w:sz="4" w:space="0" w:color="82939A" w:themeColor="accent2"/>
        <w:right w:val="single" w:sz="4" w:space="0" w:color="82939A" w:themeColor="accent2"/>
        <w:insideH w:val="single" w:sz="4" w:space="0" w:color="FFFFFF" w:themeColor="background1"/>
        <w:insideV w:val="single" w:sz="4" w:space="0" w:color="FFFFFF" w:themeColor="background1"/>
      </w:tblBorders>
    </w:tblPr>
    <w:tcPr>
      <w:shd w:val="clear" w:color="auto" w:fill="F2F4F5" w:themeFill="accent2" w:themeFillTint="19"/>
    </w:tcPr>
    <w:tblStylePr w:type="firstRow">
      <w:rPr>
        <w:b/>
        <w:bCs/>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585E" w:themeFill="accent2" w:themeFillShade="99"/>
      </w:tcPr>
    </w:tblStylePr>
    <w:tblStylePr w:type="firstCol">
      <w:rPr>
        <w:color w:val="FFFFFF" w:themeColor="background1"/>
      </w:rPr>
      <w:tblPr/>
      <w:tcPr>
        <w:tcBorders>
          <w:top w:val="nil"/>
          <w:left w:val="nil"/>
          <w:bottom w:val="nil"/>
          <w:right w:val="nil"/>
          <w:insideH w:val="single" w:sz="4" w:space="0" w:color="4C585E" w:themeColor="accent2" w:themeShade="99"/>
          <w:insideV w:val="nil"/>
        </w:tcBorders>
        <w:shd w:val="clear" w:color="auto" w:fill="4C58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585E" w:themeFill="accent2" w:themeFillShade="99"/>
      </w:tcPr>
    </w:tblStylePr>
    <w:tblStylePr w:type="band1Vert">
      <w:tblPr/>
      <w:tcPr>
        <w:shd w:val="clear" w:color="auto" w:fill="CCD3D6" w:themeFill="accent2" w:themeFillTint="66"/>
      </w:tcPr>
    </w:tblStylePr>
    <w:tblStylePr w:type="band1Horz">
      <w:tblPr/>
      <w:tcPr>
        <w:shd w:val="clear" w:color="auto" w:fill="C0C9CC" w:themeFill="accent2" w:themeFillTint="7F"/>
      </w:tcPr>
    </w:tblStylePr>
    <w:tblStylePr w:type="neCell">
      <w:rPr>
        <w:color w:val="5D6D78" w:themeColor="text1"/>
      </w:rPr>
    </w:tblStylePr>
    <w:tblStylePr w:type="nwCell">
      <w:rPr>
        <w:color w:val="5D6D78" w:themeColor="text1"/>
      </w:rPr>
    </w:tblStylePr>
  </w:style>
  <w:style w:type="table" w:styleId="ColorfulShading-Accent3">
    <w:name w:val="Colorful Shading Accent 3"/>
    <w:basedOn w:val="TableNormal"/>
    <w:uiPriority w:val="71"/>
    <w:rsid w:val="00C5169B"/>
    <w:pPr>
      <w:spacing w:after="0" w:line="240" w:lineRule="auto"/>
    </w:pPr>
    <w:rPr>
      <w:color w:val="5D6D78" w:themeColor="text1"/>
    </w:rPr>
    <w:tblPr>
      <w:tblStyleRowBandSize w:val="1"/>
      <w:tblStyleColBandSize w:val="1"/>
      <w:tblBorders>
        <w:top w:val="single" w:sz="24" w:space="0" w:color="CDDBDE" w:themeColor="accent4"/>
        <w:left w:val="single" w:sz="4" w:space="0" w:color="E5EFF0" w:themeColor="accent3"/>
        <w:bottom w:val="single" w:sz="4" w:space="0" w:color="E5EFF0" w:themeColor="accent3"/>
        <w:right w:val="single" w:sz="4" w:space="0" w:color="E5EFF0" w:themeColor="accent3"/>
        <w:insideH w:val="single" w:sz="4" w:space="0" w:color="FFFFFF" w:themeColor="background1"/>
        <w:insideV w:val="single" w:sz="4" w:space="0" w:color="FFFFFF" w:themeColor="background1"/>
      </w:tblBorders>
    </w:tblPr>
    <w:tcPr>
      <w:shd w:val="clear" w:color="auto" w:fill="FCFDFD" w:themeFill="accent3" w:themeFillTint="19"/>
    </w:tcPr>
    <w:tblStylePr w:type="firstRow">
      <w:rPr>
        <w:b/>
        <w:bCs/>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A5AB" w:themeFill="accent3" w:themeFillShade="99"/>
      </w:tcPr>
    </w:tblStylePr>
    <w:tblStylePr w:type="firstCol">
      <w:rPr>
        <w:color w:val="FFFFFF" w:themeColor="background1"/>
      </w:rPr>
      <w:tblPr/>
      <w:tcPr>
        <w:tcBorders>
          <w:top w:val="nil"/>
          <w:left w:val="nil"/>
          <w:bottom w:val="nil"/>
          <w:right w:val="nil"/>
          <w:insideH w:val="single" w:sz="4" w:space="0" w:color="6EA5AB" w:themeColor="accent3" w:themeShade="99"/>
          <w:insideV w:val="nil"/>
        </w:tcBorders>
        <w:shd w:val="clear" w:color="auto" w:fill="6EA5A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EA5AB" w:themeFill="accent3" w:themeFillShade="99"/>
      </w:tcPr>
    </w:tblStylePr>
    <w:tblStylePr w:type="band1Vert">
      <w:tblPr/>
      <w:tcPr>
        <w:shd w:val="clear" w:color="auto" w:fill="F4F8F9" w:themeFill="accent3" w:themeFillTint="66"/>
      </w:tcPr>
    </w:tblStylePr>
    <w:tblStylePr w:type="band1Horz">
      <w:tblPr/>
      <w:tcPr>
        <w:shd w:val="clear" w:color="auto" w:fill="F1F6F7" w:themeFill="accent3" w:themeFillTint="7F"/>
      </w:tcPr>
    </w:tblStylePr>
  </w:style>
  <w:style w:type="table" w:styleId="ColorfulShading-Accent4">
    <w:name w:val="Colorful Shading Accent 4"/>
    <w:basedOn w:val="TableNormal"/>
    <w:uiPriority w:val="71"/>
    <w:rsid w:val="00C5169B"/>
    <w:pPr>
      <w:spacing w:after="0" w:line="240" w:lineRule="auto"/>
    </w:pPr>
    <w:rPr>
      <w:color w:val="5D6D78" w:themeColor="text1"/>
    </w:rPr>
    <w:tblPr>
      <w:tblStyleRowBandSize w:val="1"/>
      <w:tblStyleColBandSize w:val="1"/>
      <w:tblBorders>
        <w:top w:val="single" w:sz="24" w:space="0" w:color="E5EFF0" w:themeColor="accent3"/>
        <w:left w:val="single" w:sz="4" w:space="0" w:color="CDDBDE" w:themeColor="accent4"/>
        <w:bottom w:val="single" w:sz="4" w:space="0" w:color="CDDBDE" w:themeColor="accent4"/>
        <w:right w:val="single" w:sz="4" w:space="0" w:color="CDDBDE" w:themeColor="accent4"/>
        <w:insideH w:val="single" w:sz="4" w:space="0" w:color="FFFFFF" w:themeColor="background1"/>
        <w:insideV w:val="single" w:sz="4" w:space="0" w:color="FFFFFF" w:themeColor="background1"/>
      </w:tblBorders>
    </w:tblPr>
    <w:tcPr>
      <w:shd w:val="clear" w:color="auto" w:fill="F9FBFB" w:themeFill="accent4" w:themeFillTint="19"/>
    </w:tcPr>
    <w:tblStylePr w:type="firstRow">
      <w:rPr>
        <w:b/>
        <w:bCs/>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909A" w:themeFill="accent4" w:themeFillShade="99"/>
      </w:tcPr>
    </w:tblStylePr>
    <w:tblStylePr w:type="firstCol">
      <w:rPr>
        <w:color w:val="FFFFFF" w:themeColor="background1"/>
      </w:rPr>
      <w:tblPr/>
      <w:tcPr>
        <w:tcBorders>
          <w:top w:val="nil"/>
          <w:left w:val="nil"/>
          <w:bottom w:val="nil"/>
          <w:right w:val="nil"/>
          <w:insideH w:val="single" w:sz="4" w:space="0" w:color="66909A" w:themeColor="accent4" w:themeShade="99"/>
          <w:insideV w:val="nil"/>
        </w:tcBorders>
        <w:shd w:val="clear" w:color="auto" w:fill="6690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909A" w:themeFill="accent4" w:themeFillShade="99"/>
      </w:tcPr>
    </w:tblStylePr>
    <w:tblStylePr w:type="band1Vert">
      <w:tblPr/>
      <w:tcPr>
        <w:shd w:val="clear" w:color="auto" w:fill="EAF0F1" w:themeFill="accent4" w:themeFillTint="66"/>
      </w:tcPr>
    </w:tblStylePr>
    <w:tblStylePr w:type="band1Horz">
      <w:tblPr/>
      <w:tcPr>
        <w:shd w:val="clear" w:color="auto" w:fill="E5ECEE" w:themeFill="accent4" w:themeFillTint="7F"/>
      </w:tcPr>
    </w:tblStylePr>
    <w:tblStylePr w:type="neCell">
      <w:rPr>
        <w:color w:val="5D6D78" w:themeColor="text1"/>
      </w:rPr>
    </w:tblStylePr>
    <w:tblStylePr w:type="nwCell">
      <w:rPr>
        <w:color w:val="5D6D78" w:themeColor="text1"/>
      </w:rPr>
    </w:tblStylePr>
  </w:style>
  <w:style w:type="table" w:styleId="ColorfulShading-Accent5">
    <w:name w:val="Colorful Shading Accent 5"/>
    <w:basedOn w:val="TableNormal"/>
    <w:uiPriority w:val="71"/>
    <w:rsid w:val="00C5169B"/>
    <w:pPr>
      <w:spacing w:after="0" w:line="240" w:lineRule="auto"/>
    </w:pPr>
    <w:rPr>
      <w:color w:val="5D6D78" w:themeColor="text1"/>
    </w:rPr>
    <w:tblPr>
      <w:tblStyleRowBandSize w:val="1"/>
      <w:tblStyleColBandSize w:val="1"/>
      <w:tblBorders>
        <w:top w:val="single" w:sz="24" w:space="0" w:color="262836" w:themeColor="accent6"/>
        <w:left w:val="single" w:sz="4" w:space="0" w:color="5D6D78" w:themeColor="accent5"/>
        <w:bottom w:val="single" w:sz="4" w:space="0" w:color="5D6D78" w:themeColor="accent5"/>
        <w:right w:val="single" w:sz="4" w:space="0" w:color="5D6D78" w:themeColor="accent5"/>
        <w:insideH w:val="single" w:sz="4" w:space="0" w:color="FFFFFF" w:themeColor="background1"/>
        <w:insideV w:val="single" w:sz="4" w:space="0" w:color="FFFFFF" w:themeColor="background1"/>
      </w:tblBorders>
    </w:tblPr>
    <w:tcPr>
      <w:shd w:val="clear" w:color="auto" w:fill="EEF0F2" w:themeFill="accent5" w:themeFillTint="19"/>
    </w:tcPr>
    <w:tblStylePr w:type="firstRow">
      <w:rPr>
        <w:b/>
        <w:bCs/>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4147" w:themeFill="accent5" w:themeFillShade="99"/>
      </w:tcPr>
    </w:tblStylePr>
    <w:tblStylePr w:type="firstCol">
      <w:rPr>
        <w:color w:val="FFFFFF" w:themeColor="background1"/>
      </w:rPr>
      <w:tblPr/>
      <w:tcPr>
        <w:tcBorders>
          <w:top w:val="nil"/>
          <w:left w:val="nil"/>
          <w:bottom w:val="nil"/>
          <w:right w:val="nil"/>
          <w:insideH w:val="single" w:sz="4" w:space="0" w:color="374147" w:themeColor="accent5" w:themeShade="99"/>
          <w:insideV w:val="nil"/>
        </w:tcBorders>
        <w:shd w:val="clear" w:color="auto" w:fill="3741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74147" w:themeFill="accent5" w:themeFillShade="99"/>
      </w:tcPr>
    </w:tblStylePr>
    <w:tblStylePr w:type="band1Vert">
      <w:tblPr/>
      <w:tcPr>
        <w:shd w:val="clear" w:color="auto" w:fill="BBC4CB" w:themeFill="accent5" w:themeFillTint="66"/>
      </w:tcPr>
    </w:tblStylePr>
    <w:tblStylePr w:type="band1Horz">
      <w:tblPr/>
      <w:tcPr>
        <w:shd w:val="clear" w:color="auto" w:fill="ABB6BE" w:themeFill="accent5" w:themeFillTint="7F"/>
      </w:tcPr>
    </w:tblStylePr>
    <w:tblStylePr w:type="neCell">
      <w:rPr>
        <w:color w:val="5D6D78" w:themeColor="text1"/>
      </w:rPr>
    </w:tblStylePr>
    <w:tblStylePr w:type="nwCell">
      <w:rPr>
        <w:color w:val="5D6D78" w:themeColor="text1"/>
      </w:rPr>
    </w:tblStylePr>
  </w:style>
  <w:style w:type="table" w:styleId="ColorfulShading-Accent6">
    <w:name w:val="Colorful Shading Accent 6"/>
    <w:basedOn w:val="TableNormal"/>
    <w:uiPriority w:val="71"/>
    <w:rsid w:val="00C5169B"/>
    <w:pPr>
      <w:spacing w:after="0" w:line="240" w:lineRule="auto"/>
    </w:pPr>
    <w:rPr>
      <w:color w:val="5D6D78" w:themeColor="text1"/>
    </w:rPr>
    <w:tblPr>
      <w:tblStyleRowBandSize w:val="1"/>
      <w:tblStyleColBandSize w:val="1"/>
      <w:tblBorders>
        <w:top w:val="single" w:sz="24" w:space="0" w:color="5D6D78" w:themeColor="accent5"/>
        <w:left w:val="single" w:sz="4" w:space="0" w:color="262836" w:themeColor="accent6"/>
        <w:bottom w:val="single" w:sz="4" w:space="0" w:color="262836" w:themeColor="accent6"/>
        <w:right w:val="single" w:sz="4" w:space="0" w:color="262836" w:themeColor="accent6"/>
        <w:insideH w:val="single" w:sz="4" w:space="0" w:color="FFFFFF" w:themeColor="background1"/>
        <w:insideV w:val="single" w:sz="4" w:space="0" w:color="FFFFFF" w:themeColor="background1"/>
      </w:tblBorders>
    </w:tblPr>
    <w:tcPr>
      <w:shd w:val="clear" w:color="auto" w:fill="E6E7EE" w:themeFill="accent6" w:themeFillTint="19"/>
    </w:tcPr>
    <w:tblStylePr w:type="firstRow">
      <w:rPr>
        <w:b/>
        <w:bCs/>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720" w:themeFill="accent6" w:themeFillShade="99"/>
      </w:tcPr>
    </w:tblStylePr>
    <w:tblStylePr w:type="firstCol">
      <w:rPr>
        <w:color w:val="FFFFFF" w:themeColor="background1"/>
      </w:rPr>
      <w:tblPr/>
      <w:tcPr>
        <w:tcBorders>
          <w:top w:val="nil"/>
          <w:left w:val="nil"/>
          <w:bottom w:val="nil"/>
          <w:right w:val="nil"/>
          <w:insideH w:val="single" w:sz="4" w:space="0" w:color="161720" w:themeColor="accent6" w:themeShade="99"/>
          <w:insideV w:val="nil"/>
        </w:tcBorders>
        <w:shd w:val="clear" w:color="auto" w:fill="1617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1720" w:themeFill="accent6" w:themeFillShade="99"/>
      </w:tcPr>
    </w:tblStylePr>
    <w:tblStylePr w:type="band1Vert">
      <w:tblPr/>
      <w:tcPr>
        <w:shd w:val="clear" w:color="auto" w:fill="9CA0BA" w:themeFill="accent6" w:themeFillTint="66"/>
      </w:tcPr>
    </w:tblStylePr>
    <w:tblStylePr w:type="band1Horz">
      <w:tblPr/>
      <w:tcPr>
        <w:shd w:val="clear" w:color="auto" w:fill="8489A9" w:themeFill="accent6" w:themeFillTint="7F"/>
      </w:tcPr>
    </w:tblStylePr>
    <w:tblStylePr w:type="neCell">
      <w:rPr>
        <w:color w:val="5D6D78" w:themeColor="text1"/>
      </w:rPr>
    </w:tblStylePr>
    <w:tblStylePr w:type="nwCell">
      <w:rPr>
        <w:color w:val="5D6D78" w:themeColor="text1"/>
      </w:rPr>
    </w:tblStylePr>
  </w:style>
  <w:style w:type="character" w:styleId="CommentReference">
    <w:name w:val="annotation reference"/>
    <w:basedOn w:val="DefaultParagraphFont"/>
    <w:uiPriority w:val="99"/>
    <w:semiHidden/>
    <w:unhideWhenUsed/>
    <w:rsid w:val="00C5169B"/>
    <w:rPr>
      <w:sz w:val="16"/>
      <w:szCs w:val="16"/>
      <w:lang w:val="en-GB"/>
    </w:rPr>
  </w:style>
  <w:style w:type="paragraph" w:styleId="CommentText">
    <w:name w:val="annotation text"/>
    <w:basedOn w:val="Normal"/>
    <w:link w:val="CommentTextChar"/>
    <w:uiPriority w:val="99"/>
    <w:semiHidden/>
    <w:unhideWhenUsed/>
    <w:rsid w:val="00C5169B"/>
    <w:pPr>
      <w:spacing w:line="240" w:lineRule="auto"/>
    </w:pPr>
    <w:rPr>
      <w:szCs w:val="20"/>
    </w:rPr>
  </w:style>
  <w:style w:type="character" w:customStyle="1" w:styleId="CommentTextChar">
    <w:name w:val="Comment Text Char"/>
    <w:basedOn w:val="DefaultParagraphFont"/>
    <w:link w:val="CommentText"/>
    <w:uiPriority w:val="99"/>
    <w:semiHidden/>
    <w:rsid w:val="00C5169B"/>
    <w:rPr>
      <w:sz w:val="20"/>
      <w:szCs w:val="20"/>
      <w:lang w:val="en-GB"/>
    </w:rPr>
  </w:style>
  <w:style w:type="paragraph" w:styleId="CommentSubject">
    <w:name w:val="annotation subject"/>
    <w:basedOn w:val="CommentText"/>
    <w:next w:val="CommentText"/>
    <w:link w:val="CommentSubjectChar"/>
    <w:uiPriority w:val="99"/>
    <w:semiHidden/>
    <w:unhideWhenUsed/>
    <w:rsid w:val="00C5169B"/>
    <w:rPr>
      <w:b/>
      <w:bCs/>
    </w:rPr>
  </w:style>
  <w:style w:type="character" w:customStyle="1" w:styleId="CommentSubjectChar">
    <w:name w:val="Comment Subject Char"/>
    <w:basedOn w:val="CommentTextChar"/>
    <w:link w:val="CommentSubject"/>
    <w:uiPriority w:val="99"/>
    <w:semiHidden/>
    <w:rsid w:val="00C5169B"/>
    <w:rPr>
      <w:b/>
      <w:bCs/>
      <w:sz w:val="20"/>
      <w:szCs w:val="20"/>
      <w:lang w:val="en-GB"/>
    </w:rPr>
  </w:style>
  <w:style w:type="table" w:styleId="DarkList">
    <w:name w:val="Dark List"/>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tex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text1" w:themeFillShade="BF"/>
      </w:tcPr>
    </w:tblStylePr>
    <w:tblStylePr w:type="band1Vert">
      <w:tblPr/>
      <w:tcPr>
        <w:tcBorders>
          <w:top w:val="nil"/>
          <w:left w:val="nil"/>
          <w:bottom w:val="nil"/>
          <w:right w:val="nil"/>
          <w:insideH w:val="nil"/>
          <w:insideV w:val="nil"/>
        </w:tcBorders>
        <w:shd w:val="clear" w:color="auto" w:fill="455159" w:themeFill="text1" w:themeFillShade="BF"/>
      </w:tcPr>
    </w:tblStylePr>
    <w:tblStylePr w:type="band1Horz">
      <w:tblPr/>
      <w:tcPr>
        <w:tcBorders>
          <w:top w:val="nil"/>
          <w:left w:val="nil"/>
          <w:bottom w:val="nil"/>
          <w:right w:val="nil"/>
          <w:insideH w:val="nil"/>
          <w:insideV w:val="nil"/>
        </w:tcBorders>
        <w:shd w:val="clear" w:color="auto" w:fill="455159" w:themeFill="text1" w:themeFillShade="BF"/>
      </w:tcPr>
    </w:tblStylePr>
  </w:style>
  <w:style w:type="table" w:styleId="DarkList-Accent1">
    <w:name w:val="Dark List Accent 1"/>
    <w:basedOn w:val="TableNormal"/>
    <w:uiPriority w:val="70"/>
    <w:rsid w:val="00C5169B"/>
    <w:pPr>
      <w:spacing w:after="0" w:line="240" w:lineRule="auto"/>
    </w:pPr>
    <w:rPr>
      <w:color w:val="FFFFFF" w:themeColor="background1"/>
    </w:rPr>
    <w:tblPr>
      <w:tblStyleRowBandSize w:val="1"/>
      <w:tblStyleColBandSize w:val="1"/>
    </w:tblPr>
    <w:tcPr>
      <w:shd w:val="clear" w:color="auto" w:fill="EB001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7500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00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00010" w:themeFill="accent1" w:themeFillShade="BF"/>
      </w:tcPr>
    </w:tblStylePr>
    <w:tblStylePr w:type="band1Vert">
      <w:tblPr/>
      <w:tcPr>
        <w:tcBorders>
          <w:top w:val="nil"/>
          <w:left w:val="nil"/>
          <w:bottom w:val="nil"/>
          <w:right w:val="nil"/>
          <w:insideH w:val="nil"/>
          <w:insideV w:val="nil"/>
        </w:tcBorders>
        <w:shd w:val="clear" w:color="auto" w:fill="B00010" w:themeFill="accent1" w:themeFillShade="BF"/>
      </w:tcPr>
    </w:tblStylePr>
    <w:tblStylePr w:type="band1Horz">
      <w:tblPr/>
      <w:tcPr>
        <w:tcBorders>
          <w:top w:val="nil"/>
          <w:left w:val="nil"/>
          <w:bottom w:val="nil"/>
          <w:right w:val="nil"/>
          <w:insideH w:val="nil"/>
          <w:insideV w:val="nil"/>
        </w:tcBorders>
        <w:shd w:val="clear" w:color="auto" w:fill="B00010" w:themeFill="accent1" w:themeFillShade="BF"/>
      </w:tcPr>
    </w:tblStylePr>
  </w:style>
  <w:style w:type="table" w:styleId="DarkList-Accent2">
    <w:name w:val="Dark List Accent 2"/>
    <w:basedOn w:val="TableNormal"/>
    <w:uiPriority w:val="70"/>
    <w:rsid w:val="00C5169B"/>
    <w:pPr>
      <w:spacing w:after="0" w:line="240" w:lineRule="auto"/>
    </w:pPr>
    <w:rPr>
      <w:color w:val="FFFFFF" w:themeColor="background1"/>
    </w:rPr>
    <w:tblPr>
      <w:tblStyleRowBandSize w:val="1"/>
      <w:tblStyleColBandSize w:val="1"/>
    </w:tblPr>
    <w:tcPr>
      <w:shd w:val="clear" w:color="auto" w:fill="82939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3F49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F6E7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F6E75" w:themeFill="accent2" w:themeFillShade="BF"/>
      </w:tcPr>
    </w:tblStylePr>
    <w:tblStylePr w:type="band1Vert">
      <w:tblPr/>
      <w:tcPr>
        <w:tcBorders>
          <w:top w:val="nil"/>
          <w:left w:val="nil"/>
          <w:bottom w:val="nil"/>
          <w:right w:val="nil"/>
          <w:insideH w:val="nil"/>
          <w:insideV w:val="nil"/>
        </w:tcBorders>
        <w:shd w:val="clear" w:color="auto" w:fill="5F6E75" w:themeFill="accent2" w:themeFillShade="BF"/>
      </w:tcPr>
    </w:tblStylePr>
    <w:tblStylePr w:type="band1Horz">
      <w:tblPr/>
      <w:tcPr>
        <w:tcBorders>
          <w:top w:val="nil"/>
          <w:left w:val="nil"/>
          <w:bottom w:val="nil"/>
          <w:right w:val="nil"/>
          <w:insideH w:val="nil"/>
          <w:insideV w:val="nil"/>
        </w:tcBorders>
        <w:shd w:val="clear" w:color="auto" w:fill="5F6E75" w:themeFill="accent2" w:themeFillShade="BF"/>
      </w:tcPr>
    </w:tblStylePr>
  </w:style>
  <w:style w:type="table" w:styleId="DarkList-Accent3">
    <w:name w:val="Dark List Accent 3"/>
    <w:basedOn w:val="TableNormal"/>
    <w:uiPriority w:val="70"/>
    <w:rsid w:val="00C5169B"/>
    <w:pPr>
      <w:spacing w:after="0" w:line="240" w:lineRule="auto"/>
    </w:pPr>
    <w:rPr>
      <w:color w:val="FFFFFF" w:themeColor="background1"/>
    </w:rPr>
    <w:tblPr>
      <w:tblStyleRowBandSize w:val="1"/>
      <w:tblStyleColBandSize w:val="1"/>
    </w:tblPr>
    <w:tcPr>
      <w:shd w:val="clear" w:color="auto" w:fill="E5EFF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58D9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AC0C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AC0C4" w:themeFill="accent3" w:themeFillShade="BF"/>
      </w:tcPr>
    </w:tblStylePr>
    <w:tblStylePr w:type="band1Vert">
      <w:tblPr/>
      <w:tcPr>
        <w:tcBorders>
          <w:top w:val="nil"/>
          <w:left w:val="nil"/>
          <w:bottom w:val="nil"/>
          <w:right w:val="nil"/>
          <w:insideH w:val="nil"/>
          <w:insideV w:val="nil"/>
        </w:tcBorders>
        <w:shd w:val="clear" w:color="auto" w:fill="9AC0C4" w:themeFill="accent3" w:themeFillShade="BF"/>
      </w:tcPr>
    </w:tblStylePr>
    <w:tblStylePr w:type="band1Horz">
      <w:tblPr/>
      <w:tcPr>
        <w:tcBorders>
          <w:top w:val="nil"/>
          <w:left w:val="nil"/>
          <w:bottom w:val="nil"/>
          <w:right w:val="nil"/>
          <w:insideH w:val="nil"/>
          <w:insideV w:val="nil"/>
        </w:tcBorders>
        <w:shd w:val="clear" w:color="auto" w:fill="9AC0C4" w:themeFill="accent3" w:themeFillShade="BF"/>
      </w:tcPr>
    </w:tblStylePr>
  </w:style>
  <w:style w:type="table" w:styleId="DarkList-Accent4">
    <w:name w:val="Dark List Accent 4"/>
    <w:basedOn w:val="TableNormal"/>
    <w:uiPriority w:val="70"/>
    <w:rsid w:val="00C5169B"/>
    <w:pPr>
      <w:spacing w:after="0" w:line="240" w:lineRule="auto"/>
    </w:pPr>
    <w:rPr>
      <w:color w:val="FFFFFF" w:themeColor="background1"/>
    </w:rPr>
    <w:tblPr>
      <w:tblStyleRowBandSize w:val="1"/>
      <w:tblStyleColBandSize w:val="1"/>
    </w:tblPr>
    <w:tcPr>
      <w:shd w:val="clear" w:color="auto" w:fill="CDDBD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5478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CACB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CACB3" w:themeFill="accent4" w:themeFillShade="BF"/>
      </w:tcPr>
    </w:tblStylePr>
    <w:tblStylePr w:type="band1Vert">
      <w:tblPr/>
      <w:tcPr>
        <w:tcBorders>
          <w:top w:val="nil"/>
          <w:left w:val="nil"/>
          <w:bottom w:val="nil"/>
          <w:right w:val="nil"/>
          <w:insideH w:val="nil"/>
          <w:insideV w:val="nil"/>
        </w:tcBorders>
        <w:shd w:val="clear" w:color="auto" w:fill="8CACB3" w:themeFill="accent4" w:themeFillShade="BF"/>
      </w:tcPr>
    </w:tblStylePr>
    <w:tblStylePr w:type="band1Horz">
      <w:tblPr/>
      <w:tcPr>
        <w:tcBorders>
          <w:top w:val="nil"/>
          <w:left w:val="nil"/>
          <w:bottom w:val="nil"/>
          <w:right w:val="nil"/>
          <w:insideH w:val="nil"/>
          <w:insideV w:val="nil"/>
        </w:tcBorders>
        <w:shd w:val="clear" w:color="auto" w:fill="8CACB3" w:themeFill="accent4" w:themeFillShade="BF"/>
      </w:tcPr>
    </w:tblStylePr>
  </w:style>
  <w:style w:type="table" w:styleId="DarkList-Accent5">
    <w:name w:val="Dark List Accent 5"/>
    <w:basedOn w:val="TableNormal"/>
    <w:uiPriority w:val="70"/>
    <w:rsid w:val="00C5169B"/>
    <w:pPr>
      <w:spacing w:after="0" w:line="240" w:lineRule="auto"/>
    </w:pPr>
    <w:rPr>
      <w:color w:val="FFFFFF" w:themeColor="background1"/>
    </w:rPr>
    <w:tblPr>
      <w:tblStyleRowBandSize w:val="1"/>
      <w:tblStyleColBandSize w:val="1"/>
    </w:tblPr>
    <w:tcPr>
      <w:shd w:val="clear" w:color="auto" w:fill="5D6D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2E36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551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55159" w:themeFill="accent5" w:themeFillShade="BF"/>
      </w:tcPr>
    </w:tblStylePr>
    <w:tblStylePr w:type="band1Vert">
      <w:tblPr/>
      <w:tcPr>
        <w:tcBorders>
          <w:top w:val="nil"/>
          <w:left w:val="nil"/>
          <w:bottom w:val="nil"/>
          <w:right w:val="nil"/>
          <w:insideH w:val="nil"/>
          <w:insideV w:val="nil"/>
        </w:tcBorders>
        <w:shd w:val="clear" w:color="auto" w:fill="455159" w:themeFill="accent5" w:themeFillShade="BF"/>
      </w:tcPr>
    </w:tblStylePr>
    <w:tblStylePr w:type="band1Horz">
      <w:tblPr/>
      <w:tcPr>
        <w:tcBorders>
          <w:top w:val="nil"/>
          <w:left w:val="nil"/>
          <w:bottom w:val="nil"/>
          <w:right w:val="nil"/>
          <w:insideH w:val="nil"/>
          <w:insideV w:val="nil"/>
        </w:tcBorders>
        <w:shd w:val="clear" w:color="auto" w:fill="455159" w:themeFill="accent5" w:themeFillShade="BF"/>
      </w:tcPr>
    </w:tblStylePr>
  </w:style>
  <w:style w:type="table" w:styleId="DarkList-Accent6">
    <w:name w:val="Dark List Accent 6"/>
    <w:basedOn w:val="TableNormal"/>
    <w:uiPriority w:val="70"/>
    <w:rsid w:val="00C5169B"/>
    <w:pPr>
      <w:spacing w:after="0" w:line="240" w:lineRule="auto"/>
    </w:pPr>
    <w:rPr>
      <w:color w:val="FFFFFF" w:themeColor="background1"/>
    </w:rPr>
    <w:tblPr>
      <w:tblStyleRowBandSize w:val="1"/>
      <w:tblStyleColBandSize w:val="1"/>
    </w:tblPr>
    <w:tcPr>
      <w:shd w:val="clear" w:color="auto" w:fill="2628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5D6D78" w:themeFill="text1"/>
      </w:tcPr>
    </w:tblStylePr>
    <w:tblStylePr w:type="lastRow">
      <w:tblPr/>
      <w:tcPr>
        <w:tcBorders>
          <w:top w:val="single" w:sz="18" w:space="0" w:color="FFFFFF" w:themeColor="background1"/>
          <w:left w:val="nil"/>
          <w:bottom w:val="nil"/>
          <w:right w:val="nil"/>
          <w:insideH w:val="nil"/>
          <w:insideV w:val="nil"/>
        </w:tcBorders>
        <w:shd w:val="clear" w:color="auto" w:fill="1313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1D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1D28" w:themeFill="accent6" w:themeFillShade="BF"/>
      </w:tcPr>
    </w:tblStylePr>
    <w:tblStylePr w:type="band1Vert">
      <w:tblPr/>
      <w:tcPr>
        <w:tcBorders>
          <w:top w:val="nil"/>
          <w:left w:val="nil"/>
          <w:bottom w:val="nil"/>
          <w:right w:val="nil"/>
          <w:insideH w:val="nil"/>
          <w:insideV w:val="nil"/>
        </w:tcBorders>
        <w:shd w:val="clear" w:color="auto" w:fill="1C1D28" w:themeFill="accent6" w:themeFillShade="BF"/>
      </w:tcPr>
    </w:tblStylePr>
    <w:tblStylePr w:type="band1Horz">
      <w:tblPr/>
      <w:tcPr>
        <w:tcBorders>
          <w:top w:val="nil"/>
          <w:left w:val="nil"/>
          <w:bottom w:val="nil"/>
          <w:right w:val="nil"/>
          <w:insideH w:val="nil"/>
          <w:insideV w:val="nil"/>
        </w:tcBorders>
        <w:shd w:val="clear" w:color="auto" w:fill="1C1D28" w:themeFill="accent6" w:themeFillShade="BF"/>
      </w:tcPr>
    </w:tblStylePr>
  </w:style>
  <w:style w:type="paragraph" w:styleId="Date">
    <w:name w:val="Date"/>
    <w:basedOn w:val="BaseText"/>
    <w:link w:val="DateChar"/>
    <w:uiPriority w:val="27"/>
    <w:semiHidden/>
    <w:rsid w:val="00C5169B"/>
    <w:pPr>
      <w:spacing w:after="0"/>
    </w:pPr>
    <w:rPr>
      <w:sz w:val="18"/>
    </w:rPr>
  </w:style>
  <w:style w:type="character" w:customStyle="1" w:styleId="DateChar">
    <w:name w:val="Date Char"/>
    <w:basedOn w:val="DefaultParagraphFont"/>
    <w:link w:val="Date"/>
    <w:uiPriority w:val="27"/>
    <w:semiHidden/>
    <w:rsid w:val="0010456F"/>
    <w:rPr>
      <w:color w:val="5D6D78" w:themeColor="text1"/>
      <w:sz w:val="18"/>
      <w:lang w:val="en-GB"/>
    </w:rPr>
  </w:style>
  <w:style w:type="paragraph" w:styleId="DocumentMap">
    <w:name w:val="Document Map"/>
    <w:basedOn w:val="Normal"/>
    <w:link w:val="DocumentMapChar"/>
    <w:uiPriority w:val="99"/>
    <w:semiHidden/>
    <w:unhideWhenUsed/>
    <w:rsid w:val="00C51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169B"/>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C5169B"/>
    <w:pPr>
      <w:spacing w:after="0" w:line="240" w:lineRule="auto"/>
    </w:pPr>
  </w:style>
  <w:style w:type="character" w:customStyle="1" w:styleId="E-mailSignatureChar">
    <w:name w:val="E-mail Signature Char"/>
    <w:basedOn w:val="DefaultParagraphFont"/>
    <w:link w:val="E-mailSignature"/>
    <w:uiPriority w:val="99"/>
    <w:semiHidden/>
    <w:rsid w:val="00C5169B"/>
    <w:rPr>
      <w:sz w:val="20"/>
      <w:lang w:val="en-GB"/>
    </w:rPr>
  </w:style>
  <w:style w:type="character" w:styleId="EndnoteReference">
    <w:name w:val="endnote reference"/>
    <w:basedOn w:val="DefaultParagraphFont"/>
    <w:uiPriority w:val="99"/>
    <w:semiHidden/>
    <w:unhideWhenUsed/>
    <w:rsid w:val="00C5169B"/>
    <w:rPr>
      <w:vertAlign w:val="superscript"/>
      <w:lang w:val="en-GB"/>
    </w:rPr>
  </w:style>
  <w:style w:type="paragraph" w:styleId="EndnoteText">
    <w:name w:val="endnote text"/>
    <w:basedOn w:val="Normal"/>
    <w:link w:val="EndnoteTextChar"/>
    <w:uiPriority w:val="99"/>
    <w:semiHidden/>
    <w:unhideWhenUsed/>
    <w:rsid w:val="00C5169B"/>
    <w:pPr>
      <w:spacing w:after="0" w:line="240" w:lineRule="auto"/>
    </w:pPr>
    <w:rPr>
      <w:szCs w:val="20"/>
    </w:rPr>
  </w:style>
  <w:style w:type="character" w:customStyle="1" w:styleId="EndnoteTextChar">
    <w:name w:val="Endnote Text Char"/>
    <w:basedOn w:val="DefaultParagraphFont"/>
    <w:link w:val="EndnoteText"/>
    <w:uiPriority w:val="99"/>
    <w:semiHidden/>
    <w:rsid w:val="00C5169B"/>
    <w:rPr>
      <w:sz w:val="20"/>
      <w:szCs w:val="20"/>
      <w:lang w:val="en-GB"/>
    </w:rPr>
  </w:style>
  <w:style w:type="paragraph" w:styleId="EnvelopeAddress">
    <w:name w:val="envelope address"/>
    <w:basedOn w:val="Normal"/>
    <w:uiPriority w:val="99"/>
    <w:semiHidden/>
    <w:unhideWhenUsed/>
    <w:rsid w:val="00C5169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5169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5169B"/>
    <w:rPr>
      <w:color w:val="29B0C3" w:themeColor="followedHyperlink"/>
      <w:u w:val="single"/>
      <w:lang w:val="en-GB"/>
    </w:rPr>
  </w:style>
  <w:style w:type="character" w:styleId="FootnoteReference">
    <w:name w:val="footnote reference"/>
    <w:basedOn w:val="DefaultParagraphFont"/>
    <w:uiPriority w:val="99"/>
    <w:semiHidden/>
    <w:unhideWhenUsed/>
    <w:rsid w:val="00C5169B"/>
    <w:rPr>
      <w:vertAlign w:val="superscript"/>
      <w:lang w:val="en-GB"/>
    </w:rPr>
  </w:style>
  <w:style w:type="paragraph" w:styleId="FootnoteText">
    <w:name w:val="footnote text"/>
    <w:basedOn w:val="Normal"/>
    <w:link w:val="FootnoteTextChar"/>
    <w:uiPriority w:val="99"/>
    <w:semiHidden/>
    <w:unhideWhenUsed/>
    <w:rsid w:val="000E1119"/>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0E1119"/>
    <w:rPr>
      <w:color w:val="5D6D78" w:themeColor="text1"/>
      <w:sz w:val="18"/>
      <w:szCs w:val="20"/>
      <w:lang w:val="en-GB"/>
    </w:rPr>
  </w:style>
  <w:style w:type="character" w:styleId="HTMLAcronym">
    <w:name w:val="HTML Acronym"/>
    <w:basedOn w:val="DefaultParagraphFont"/>
    <w:uiPriority w:val="99"/>
    <w:semiHidden/>
    <w:unhideWhenUsed/>
    <w:rsid w:val="00C5169B"/>
    <w:rPr>
      <w:lang w:val="en-GB"/>
    </w:rPr>
  </w:style>
  <w:style w:type="paragraph" w:styleId="HTMLAddress">
    <w:name w:val="HTML Address"/>
    <w:basedOn w:val="Normal"/>
    <w:link w:val="HTMLAddressChar"/>
    <w:uiPriority w:val="99"/>
    <w:semiHidden/>
    <w:unhideWhenUsed/>
    <w:rsid w:val="00C5169B"/>
    <w:pPr>
      <w:spacing w:after="0" w:line="240" w:lineRule="auto"/>
    </w:pPr>
    <w:rPr>
      <w:i/>
      <w:iCs/>
    </w:rPr>
  </w:style>
  <w:style w:type="character" w:customStyle="1" w:styleId="HTMLAddressChar">
    <w:name w:val="HTML Address Char"/>
    <w:basedOn w:val="DefaultParagraphFont"/>
    <w:link w:val="HTMLAddress"/>
    <w:uiPriority w:val="99"/>
    <w:semiHidden/>
    <w:rsid w:val="00C5169B"/>
    <w:rPr>
      <w:i/>
      <w:iCs/>
      <w:sz w:val="20"/>
      <w:lang w:val="en-GB"/>
    </w:rPr>
  </w:style>
  <w:style w:type="character" w:styleId="HTMLCite">
    <w:name w:val="HTML Cite"/>
    <w:basedOn w:val="DefaultParagraphFont"/>
    <w:uiPriority w:val="99"/>
    <w:semiHidden/>
    <w:unhideWhenUsed/>
    <w:rsid w:val="00C5169B"/>
    <w:rPr>
      <w:i/>
      <w:iCs/>
      <w:lang w:val="en-GB"/>
    </w:rPr>
  </w:style>
  <w:style w:type="character" w:styleId="HTMLCode">
    <w:name w:val="HTML Code"/>
    <w:basedOn w:val="DefaultParagraphFont"/>
    <w:uiPriority w:val="99"/>
    <w:semiHidden/>
    <w:unhideWhenUsed/>
    <w:rsid w:val="00C5169B"/>
    <w:rPr>
      <w:rFonts w:ascii="Consolas" w:hAnsi="Consolas" w:cs="Consolas"/>
      <w:sz w:val="20"/>
      <w:szCs w:val="20"/>
      <w:lang w:val="en-GB"/>
    </w:rPr>
  </w:style>
  <w:style w:type="character" w:styleId="HTMLDefinition">
    <w:name w:val="HTML Definition"/>
    <w:basedOn w:val="DefaultParagraphFont"/>
    <w:uiPriority w:val="99"/>
    <w:semiHidden/>
    <w:unhideWhenUsed/>
    <w:rsid w:val="00C5169B"/>
    <w:rPr>
      <w:i/>
      <w:iCs/>
      <w:lang w:val="en-GB"/>
    </w:rPr>
  </w:style>
  <w:style w:type="character" w:styleId="HTMLKeyboard">
    <w:name w:val="HTML Keyboard"/>
    <w:basedOn w:val="DefaultParagraphFont"/>
    <w:uiPriority w:val="99"/>
    <w:semiHidden/>
    <w:unhideWhenUsed/>
    <w:rsid w:val="00C5169B"/>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C5169B"/>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C5169B"/>
    <w:rPr>
      <w:rFonts w:ascii="Consolas" w:hAnsi="Consolas" w:cs="Consolas"/>
      <w:sz w:val="20"/>
      <w:szCs w:val="20"/>
      <w:lang w:val="en-GB"/>
    </w:rPr>
  </w:style>
  <w:style w:type="character" w:styleId="HTMLSample">
    <w:name w:val="HTML Sample"/>
    <w:basedOn w:val="DefaultParagraphFont"/>
    <w:uiPriority w:val="99"/>
    <w:semiHidden/>
    <w:unhideWhenUsed/>
    <w:rsid w:val="00C5169B"/>
    <w:rPr>
      <w:rFonts w:ascii="Consolas" w:hAnsi="Consolas" w:cs="Consolas"/>
      <w:sz w:val="24"/>
      <w:szCs w:val="24"/>
      <w:lang w:val="en-GB"/>
    </w:rPr>
  </w:style>
  <w:style w:type="character" w:styleId="HTMLTypewriter">
    <w:name w:val="HTML Typewriter"/>
    <w:basedOn w:val="DefaultParagraphFont"/>
    <w:uiPriority w:val="99"/>
    <w:semiHidden/>
    <w:unhideWhenUsed/>
    <w:rsid w:val="00C5169B"/>
    <w:rPr>
      <w:rFonts w:ascii="Consolas" w:hAnsi="Consolas" w:cs="Consolas"/>
      <w:sz w:val="20"/>
      <w:szCs w:val="20"/>
      <w:lang w:val="en-GB"/>
    </w:rPr>
  </w:style>
  <w:style w:type="character" w:styleId="HTMLVariable">
    <w:name w:val="HTML Variable"/>
    <w:basedOn w:val="DefaultParagraphFont"/>
    <w:uiPriority w:val="99"/>
    <w:semiHidden/>
    <w:unhideWhenUsed/>
    <w:rsid w:val="00C5169B"/>
    <w:rPr>
      <w:i/>
      <w:iCs/>
      <w:lang w:val="en-GB"/>
    </w:rPr>
  </w:style>
  <w:style w:type="character" w:styleId="Hyperlink">
    <w:name w:val="Hyperlink"/>
    <w:basedOn w:val="DefaultParagraphFont"/>
    <w:uiPriority w:val="99"/>
    <w:unhideWhenUsed/>
    <w:rsid w:val="00C5169B"/>
    <w:rPr>
      <w:color w:val="29B0C3" w:themeColor="hyperlink"/>
      <w:u w:val="none"/>
      <w:lang w:val="en-GB"/>
    </w:rPr>
  </w:style>
  <w:style w:type="paragraph" w:styleId="Index1">
    <w:name w:val="index 1"/>
    <w:basedOn w:val="Normal"/>
    <w:next w:val="Normal"/>
    <w:autoRedefine/>
    <w:uiPriority w:val="99"/>
    <w:semiHidden/>
    <w:unhideWhenUsed/>
    <w:rsid w:val="00C5169B"/>
    <w:pPr>
      <w:spacing w:after="0" w:line="240" w:lineRule="auto"/>
      <w:ind w:left="200" w:hanging="200"/>
    </w:pPr>
  </w:style>
  <w:style w:type="paragraph" w:styleId="Index2">
    <w:name w:val="index 2"/>
    <w:basedOn w:val="Normal"/>
    <w:next w:val="Normal"/>
    <w:autoRedefine/>
    <w:uiPriority w:val="99"/>
    <w:semiHidden/>
    <w:unhideWhenUsed/>
    <w:rsid w:val="00C5169B"/>
    <w:pPr>
      <w:spacing w:after="0" w:line="240" w:lineRule="auto"/>
      <w:ind w:left="400" w:hanging="200"/>
    </w:pPr>
  </w:style>
  <w:style w:type="paragraph" w:styleId="Index3">
    <w:name w:val="index 3"/>
    <w:basedOn w:val="Normal"/>
    <w:next w:val="Normal"/>
    <w:autoRedefine/>
    <w:uiPriority w:val="99"/>
    <w:semiHidden/>
    <w:unhideWhenUsed/>
    <w:rsid w:val="00C5169B"/>
    <w:pPr>
      <w:spacing w:after="0" w:line="240" w:lineRule="auto"/>
      <w:ind w:left="600" w:hanging="200"/>
    </w:pPr>
  </w:style>
  <w:style w:type="paragraph" w:styleId="Index4">
    <w:name w:val="index 4"/>
    <w:basedOn w:val="Normal"/>
    <w:next w:val="Normal"/>
    <w:autoRedefine/>
    <w:uiPriority w:val="99"/>
    <w:semiHidden/>
    <w:unhideWhenUsed/>
    <w:rsid w:val="00C5169B"/>
    <w:pPr>
      <w:spacing w:after="0" w:line="240" w:lineRule="auto"/>
      <w:ind w:left="800" w:hanging="200"/>
    </w:pPr>
  </w:style>
  <w:style w:type="paragraph" w:styleId="Index5">
    <w:name w:val="index 5"/>
    <w:basedOn w:val="Normal"/>
    <w:next w:val="Normal"/>
    <w:autoRedefine/>
    <w:uiPriority w:val="99"/>
    <w:semiHidden/>
    <w:unhideWhenUsed/>
    <w:rsid w:val="00C5169B"/>
    <w:pPr>
      <w:spacing w:after="0" w:line="240" w:lineRule="auto"/>
      <w:ind w:left="1000" w:hanging="200"/>
    </w:pPr>
  </w:style>
  <w:style w:type="paragraph" w:styleId="Index6">
    <w:name w:val="index 6"/>
    <w:basedOn w:val="Normal"/>
    <w:next w:val="Normal"/>
    <w:autoRedefine/>
    <w:uiPriority w:val="99"/>
    <w:semiHidden/>
    <w:unhideWhenUsed/>
    <w:rsid w:val="00C5169B"/>
    <w:pPr>
      <w:spacing w:after="0" w:line="240" w:lineRule="auto"/>
      <w:ind w:left="1200" w:hanging="200"/>
    </w:pPr>
  </w:style>
  <w:style w:type="paragraph" w:styleId="Index7">
    <w:name w:val="index 7"/>
    <w:basedOn w:val="Normal"/>
    <w:next w:val="Normal"/>
    <w:autoRedefine/>
    <w:uiPriority w:val="99"/>
    <w:semiHidden/>
    <w:unhideWhenUsed/>
    <w:rsid w:val="00C5169B"/>
    <w:pPr>
      <w:spacing w:after="0" w:line="240" w:lineRule="auto"/>
      <w:ind w:left="1400" w:hanging="200"/>
    </w:pPr>
  </w:style>
  <w:style w:type="paragraph" w:styleId="Index8">
    <w:name w:val="index 8"/>
    <w:basedOn w:val="Normal"/>
    <w:next w:val="Normal"/>
    <w:autoRedefine/>
    <w:uiPriority w:val="99"/>
    <w:semiHidden/>
    <w:unhideWhenUsed/>
    <w:rsid w:val="00C5169B"/>
    <w:pPr>
      <w:spacing w:after="0" w:line="240" w:lineRule="auto"/>
      <w:ind w:left="1600" w:hanging="200"/>
    </w:pPr>
  </w:style>
  <w:style w:type="paragraph" w:styleId="Index9">
    <w:name w:val="index 9"/>
    <w:basedOn w:val="Normal"/>
    <w:next w:val="Normal"/>
    <w:autoRedefine/>
    <w:uiPriority w:val="99"/>
    <w:semiHidden/>
    <w:unhideWhenUsed/>
    <w:rsid w:val="00C5169B"/>
    <w:pPr>
      <w:spacing w:after="0" w:line="240" w:lineRule="auto"/>
      <w:ind w:left="1800" w:hanging="200"/>
    </w:pPr>
  </w:style>
  <w:style w:type="paragraph" w:styleId="IndexHeading">
    <w:name w:val="index heading"/>
    <w:basedOn w:val="Normal"/>
    <w:next w:val="Index1"/>
    <w:uiPriority w:val="99"/>
    <w:semiHidden/>
    <w:unhideWhenUsed/>
    <w:rsid w:val="00C5169B"/>
    <w:rPr>
      <w:rFonts w:asciiTheme="majorHAnsi" w:eastAsiaTheme="majorEastAsia" w:hAnsiTheme="majorHAnsi" w:cstheme="majorBidi"/>
      <w:b/>
      <w:bCs/>
    </w:rPr>
  </w:style>
  <w:style w:type="table" w:styleId="LightGrid">
    <w:name w:val="Light Grid"/>
    <w:basedOn w:val="TableNormal"/>
    <w:uiPriority w:val="62"/>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18" w:space="0" w:color="5D6D78" w:themeColor="text1"/>
          <w:right w:val="single" w:sz="8" w:space="0" w:color="5D6D78" w:themeColor="text1"/>
          <w:insideH w:val="nil"/>
          <w:insideV w:val="single" w:sz="8" w:space="0" w:color="5D6D7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insideH w:val="nil"/>
          <w:insideV w:val="single" w:sz="8" w:space="0" w:color="5D6D7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shd w:val="clear" w:color="auto" w:fill="D5DBDE" w:themeFill="text1" w:themeFillTint="3F"/>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shd w:val="clear" w:color="auto" w:fill="D5DBDE" w:themeFill="text1" w:themeFillTint="3F"/>
      </w:tcPr>
    </w:tblStylePr>
    <w:tblStylePr w:type="band2Horz">
      <w:tblPr/>
      <w:tcPr>
        <w:tcBorders>
          <w:top w:val="single" w:sz="8" w:space="0" w:color="5D6D78" w:themeColor="text1"/>
          <w:left w:val="single" w:sz="8" w:space="0" w:color="5D6D78" w:themeColor="text1"/>
          <w:bottom w:val="single" w:sz="8" w:space="0" w:color="5D6D78" w:themeColor="text1"/>
          <w:right w:val="single" w:sz="8" w:space="0" w:color="5D6D78" w:themeColor="text1"/>
          <w:insideV w:val="single" w:sz="8" w:space="0" w:color="5D6D78" w:themeColor="text1"/>
        </w:tcBorders>
      </w:tcPr>
    </w:tblStylePr>
  </w:style>
  <w:style w:type="table" w:styleId="LightGrid-Accent1">
    <w:name w:val="Light Grid Accent 1"/>
    <w:basedOn w:val="TableNormal"/>
    <w:uiPriority w:val="62"/>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18" w:space="0" w:color="EB0017" w:themeColor="accent1"/>
          <w:right w:val="single" w:sz="8" w:space="0" w:color="EB0017" w:themeColor="accent1"/>
          <w:insideH w:val="nil"/>
          <w:insideV w:val="single" w:sz="8" w:space="0" w:color="EB00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insideH w:val="nil"/>
          <w:insideV w:val="single" w:sz="8" w:space="0" w:color="EB00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shd w:val="clear" w:color="auto" w:fill="FFBBC1" w:themeFill="accent1" w:themeFillTint="3F"/>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shd w:val="clear" w:color="auto" w:fill="FFBBC1" w:themeFill="accent1" w:themeFillTint="3F"/>
      </w:tcPr>
    </w:tblStylePr>
    <w:tblStylePr w:type="band2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insideV w:val="single" w:sz="8" w:space="0" w:color="EB0017" w:themeColor="accent1"/>
        </w:tcBorders>
      </w:tcPr>
    </w:tblStylePr>
  </w:style>
  <w:style w:type="table" w:styleId="LightGrid-Accent2">
    <w:name w:val="Light Grid Accent 2"/>
    <w:basedOn w:val="TableNormal"/>
    <w:uiPriority w:val="62"/>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18" w:space="0" w:color="82939A" w:themeColor="accent2"/>
          <w:right w:val="single" w:sz="8" w:space="0" w:color="82939A" w:themeColor="accent2"/>
          <w:insideH w:val="nil"/>
          <w:insideV w:val="single" w:sz="8" w:space="0" w:color="82939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insideH w:val="nil"/>
          <w:insideV w:val="single" w:sz="8" w:space="0" w:color="82939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shd w:val="clear" w:color="auto" w:fill="E0E4E6" w:themeFill="accent2" w:themeFillTint="3F"/>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shd w:val="clear" w:color="auto" w:fill="E0E4E6" w:themeFill="accent2" w:themeFillTint="3F"/>
      </w:tcPr>
    </w:tblStylePr>
    <w:tblStylePr w:type="band2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insideV w:val="single" w:sz="8" w:space="0" w:color="82939A" w:themeColor="accent2"/>
        </w:tcBorders>
      </w:tcPr>
    </w:tblStylePr>
  </w:style>
  <w:style w:type="table" w:styleId="LightGrid-Accent3">
    <w:name w:val="Light Grid Accent 3"/>
    <w:basedOn w:val="TableNormal"/>
    <w:uiPriority w:val="62"/>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18" w:space="0" w:color="E5EFF0" w:themeColor="accent3"/>
          <w:right w:val="single" w:sz="8" w:space="0" w:color="E5EFF0" w:themeColor="accent3"/>
          <w:insideH w:val="nil"/>
          <w:insideV w:val="single" w:sz="8" w:space="0" w:color="E5EFF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insideH w:val="nil"/>
          <w:insideV w:val="single" w:sz="8" w:space="0" w:color="E5EFF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shd w:val="clear" w:color="auto" w:fill="F8FBFB" w:themeFill="accent3" w:themeFillTint="3F"/>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shd w:val="clear" w:color="auto" w:fill="F8FBFB" w:themeFill="accent3" w:themeFillTint="3F"/>
      </w:tcPr>
    </w:tblStylePr>
    <w:tblStylePr w:type="band2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insideV w:val="single" w:sz="8" w:space="0" w:color="E5EFF0" w:themeColor="accent3"/>
        </w:tcBorders>
      </w:tcPr>
    </w:tblStylePr>
  </w:style>
  <w:style w:type="table" w:styleId="LightGrid-Accent4">
    <w:name w:val="Light Grid Accent 4"/>
    <w:basedOn w:val="TableNormal"/>
    <w:uiPriority w:val="62"/>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18" w:space="0" w:color="CDDBDE" w:themeColor="accent4"/>
          <w:right w:val="single" w:sz="8" w:space="0" w:color="CDDBDE" w:themeColor="accent4"/>
          <w:insideH w:val="nil"/>
          <w:insideV w:val="single" w:sz="8" w:space="0" w:color="CDDBD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insideH w:val="nil"/>
          <w:insideV w:val="single" w:sz="8" w:space="0" w:color="CDDBD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shd w:val="clear" w:color="auto" w:fill="F2F6F6" w:themeFill="accent4" w:themeFillTint="3F"/>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shd w:val="clear" w:color="auto" w:fill="F2F6F6" w:themeFill="accent4" w:themeFillTint="3F"/>
      </w:tcPr>
    </w:tblStylePr>
    <w:tblStylePr w:type="band2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insideV w:val="single" w:sz="8" w:space="0" w:color="CDDBDE" w:themeColor="accent4"/>
        </w:tcBorders>
      </w:tcPr>
    </w:tblStylePr>
  </w:style>
  <w:style w:type="table" w:styleId="LightGrid-Accent5">
    <w:name w:val="Light Grid Accent 5"/>
    <w:basedOn w:val="TableNormal"/>
    <w:uiPriority w:val="62"/>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18" w:space="0" w:color="5D6D78" w:themeColor="accent5"/>
          <w:right w:val="single" w:sz="8" w:space="0" w:color="5D6D78" w:themeColor="accent5"/>
          <w:insideH w:val="nil"/>
          <w:insideV w:val="single" w:sz="8" w:space="0" w:color="5D6D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insideH w:val="nil"/>
          <w:insideV w:val="single" w:sz="8" w:space="0" w:color="5D6D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shd w:val="clear" w:color="auto" w:fill="D5DBDE" w:themeFill="accent5" w:themeFillTint="3F"/>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shd w:val="clear" w:color="auto" w:fill="D5DBDE" w:themeFill="accent5" w:themeFillTint="3F"/>
      </w:tcPr>
    </w:tblStylePr>
    <w:tblStylePr w:type="band2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insideV w:val="single" w:sz="8" w:space="0" w:color="5D6D78" w:themeColor="accent5"/>
        </w:tcBorders>
      </w:tcPr>
    </w:tblStylePr>
  </w:style>
  <w:style w:type="table" w:styleId="LightGrid-Accent6">
    <w:name w:val="Light Grid Accent 6"/>
    <w:basedOn w:val="TableNormal"/>
    <w:uiPriority w:val="62"/>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18" w:space="0" w:color="262836" w:themeColor="accent6"/>
          <w:right w:val="single" w:sz="8" w:space="0" w:color="262836" w:themeColor="accent6"/>
          <w:insideH w:val="nil"/>
          <w:insideV w:val="single" w:sz="8" w:space="0" w:color="2628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insideH w:val="nil"/>
          <w:insideV w:val="single" w:sz="8" w:space="0" w:color="2628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shd w:val="clear" w:color="auto" w:fill="C2C4D4" w:themeFill="accent6" w:themeFillTint="3F"/>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shd w:val="clear" w:color="auto" w:fill="C2C4D4" w:themeFill="accent6" w:themeFillTint="3F"/>
      </w:tcPr>
    </w:tblStylePr>
    <w:tblStylePr w:type="band2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insideV w:val="single" w:sz="8" w:space="0" w:color="262836" w:themeColor="accent6"/>
        </w:tcBorders>
      </w:tcPr>
    </w:tblStylePr>
  </w:style>
  <w:style w:type="table" w:styleId="LightList">
    <w:name w:val="Light List"/>
    <w:basedOn w:val="TableNormal"/>
    <w:uiPriority w:val="61"/>
    <w:rsid w:val="00C5169B"/>
    <w:pPr>
      <w:spacing w:after="0" w:line="240" w:lineRule="auto"/>
    </w:p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pPr>
        <w:spacing w:before="0" w:after="0" w:line="240" w:lineRule="auto"/>
      </w:pPr>
      <w:rPr>
        <w:b/>
        <w:bCs/>
        <w:color w:val="FFFFFF" w:themeColor="background1"/>
      </w:rPr>
      <w:tblPr/>
      <w:tcPr>
        <w:shd w:val="clear" w:color="auto" w:fill="5D6D78" w:themeFill="text1"/>
      </w:tcPr>
    </w:tblStylePr>
    <w:tblStylePr w:type="lastRow">
      <w:pPr>
        <w:spacing w:before="0" w:after="0" w:line="240" w:lineRule="auto"/>
      </w:pPr>
      <w:rPr>
        <w:b/>
        <w:bCs/>
      </w:rPr>
      <w:tblPr/>
      <w:tcPr>
        <w:tcBorders>
          <w:top w:val="double" w:sz="6" w:space="0" w:color="5D6D78" w:themeColor="text1"/>
          <w:left w:val="single" w:sz="8" w:space="0" w:color="5D6D78" w:themeColor="text1"/>
          <w:bottom w:val="single" w:sz="8" w:space="0" w:color="5D6D78" w:themeColor="text1"/>
          <w:right w:val="single" w:sz="8" w:space="0" w:color="5D6D78" w:themeColor="text1"/>
        </w:tcBorders>
      </w:tcPr>
    </w:tblStylePr>
    <w:tblStylePr w:type="firstCol">
      <w:rPr>
        <w:b/>
        <w:bCs/>
      </w:rPr>
    </w:tblStylePr>
    <w:tblStylePr w:type="lastCol">
      <w:rPr>
        <w:b/>
        <w:bCs/>
      </w:rPr>
    </w:tblStylePr>
    <w:tblStylePr w:type="band1Vert">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tblStylePr w:type="band1Horz">
      <w:tblPr/>
      <w:tcPr>
        <w:tcBorders>
          <w:top w:val="single" w:sz="8" w:space="0" w:color="5D6D78" w:themeColor="text1"/>
          <w:left w:val="single" w:sz="8" w:space="0" w:color="5D6D78" w:themeColor="text1"/>
          <w:bottom w:val="single" w:sz="8" w:space="0" w:color="5D6D78" w:themeColor="text1"/>
          <w:right w:val="single" w:sz="8" w:space="0" w:color="5D6D78" w:themeColor="text1"/>
        </w:tcBorders>
      </w:tcPr>
    </w:tblStylePr>
  </w:style>
  <w:style w:type="table" w:styleId="LightList-Accent1">
    <w:name w:val="Light List Accent 1"/>
    <w:basedOn w:val="TableNormal"/>
    <w:uiPriority w:val="61"/>
    <w:rsid w:val="00C5169B"/>
    <w:pPr>
      <w:spacing w:after="0" w:line="240" w:lineRule="auto"/>
    </w:p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pPr>
        <w:spacing w:before="0" w:after="0" w:line="240" w:lineRule="auto"/>
      </w:pPr>
      <w:rPr>
        <w:b/>
        <w:bCs/>
        <w:color w:val="FFFFFF" w:themeColor="background1"/>
      </w:rPr>
      <w:tblPr/>
      <w:tcPr>
        <w:shd w:val="clear" w:color="auto" w:fill="EB0017" w:themeFill="accent1"/>
      </w:tcPr>
    </w:tblStylePr>
    <w:tblStylePr w:type="lastRow">
      <w:pPr>
        <w:spacing w:before="0" w:after="0" w:line="240" w:lineRule="auto"/>
      </w:pPr>
      <w:rPr>
        <w:b/>
        <w:bCs/>
      </w:rPr>
      <w:tblPr/>
      <w:tcPr>
        <w:tcBorders>
          <w:top w:val="double" w:sz="6" w:space="0" w:color="EB0017" w:themeColor="accent1"/>
          <w:left w:val="single" w:sz="8" w:space="0" w:color="EB0017" w:themeColor="accent1"/>
          <w:bottom w:val="single" w:sz="8" w:space="0" w:color="EB0017" w:themeColor="accent1"/>
          <w:right w:val="single" w:sz="8" w:space="0" w:color="EB0017" w:themeColor="accent1"/>
        </w:tcBorders>
      </w:tcPr>
    </w:tblStylePr>
    <w:tblStylePr w:type="firstCol">
      <w:rPr>
        <w:b/>
        <w:bCs/>
      </w:rPr>
    </w:tblStylePr>
    <w:tblStylePr w:type="lastCol">
      <w:rPr>
        <w:b/>
        <w:bCs/>
      </w:rPr>
    </w:tblStylePr>
    <w:tblStylePr w:type="band1Vert">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tblStylePr w:type="band1Horz">
      <w:tblPr/>
      <w:tcPr>
        <w:tcBorders>
          <w:top w:val="single" w:sz="8" w:space="0" w:color="EB0017" w:themeColor="accent1"/>
          <w:left w:val="single" w:sz="8" w:space="0" w:color="EB0017" w:themeColor="accent1"/>
          <w:bottom w:val="single" w:sz="8" w:space="0" w:color="EB0017" w:themeColor="accent1"/>
          <w:right w:val="single" w:sz="8" w:space="0" w:color="EB0017" w:themeColor="accent1"/>
        </w:tcBorders>
      </w:tcPr>
    </w:tblStylePr>
  </w:style>
  <w:style w:type="table" w:styleId="LightList-Accent2">
    <w:name w:val="Light List Accent 2"/>
    <w:basedOn w:val="TableNormal"/>
    <w:uiPriority w:val="61"/>
    <w:rsid w:val="00C5169B"/>
    <w:pPr>
      <w:spacing w:after="0" w:line="240" w:lineRule="auto"/>
    </w:p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pPr>
        <w:spacing w:before="0" w:after="0" w:line="240" w:lineRule="auto"/>
      </w:pPr>
      <w:rPr>
        <w:b/>
        <w:bCs/>
        <w:color w:val="FFFFFF" w:themeColor="background1"/>
      </w:rPr>
      <w:tblPr/>
      <w:tcPr>
        <w:shd w:val="clear" w:color="auto" w:fill="82939A" w:themeFill="accent2"/>
      </w:tcPr>
    </w:tblStylePr>
    <w:tblStylePr w:type="lastRow">
      <w:pPr>
        <w:spacing w:before="0" w:after="0" w:line="240" w:lineRule="auto"/>
      </w:pPr>
      <w:rPr>
        <w:b/>
        <w:bCs/>
      </w:rPr>
      <w:tblPr/>
      <w:tcPr>
        <w:tcBorders>
          <w:top w:val="double" w:sz="6" w:space="0" w:color="82939A" w:themeColor="accent2"/>
          <w:left w:val="single" w:sz="8" w:space="0" w:color="82939A" w:themeColor="accent2"/>
          <w:bottom w:val="single" w:sz="8" w:space="0" w:color="82939A" w:themeColor="accent2"/>
          <w:right w:val="single" w:sz="8" w:space="0" w:color="82939A" w:themeColor="accent2"/>
        </w:tcBorders>
      </w:tcPr>
    </w:tblStylePr>
    <w:tblStylePr w:type="firstCol">
      <w:rPr>
        <w:b/>
        <w:bCs/>
      </w:rPr>
    </w:tblStylePr>
    <w:tblStylePr w:type="lastCol">
      <w:rPr>
        <w:b/>
        <w:bCs/>
      </w:rPr>
    </w:tblStylePr>
    <w:tblStylePr w:type="band1Vert">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tblStylePr w:type="band1Horz">
      <w:tblPr/>
      <w:tcPr>
        <w:tcBorders>
          <w:top w:val="single" w:sz="8" w:space="0" w:color="82939A" w:themeColor="accent2"/>
          <w:left w:val="single" w:sz="8" w:space="0" w:color="82939A" w:themeColor="accent2"/>
          <w:bottom w:val="single" w:sz="8" w:space="0" w:color="82939A" w:themeColor="accent2"/>
          <w:right w:val="single" w:sz="8" w:space="0" w:color="82939A" w:themeColor="accent2"/>
        </w:tcBorders>
      </w:tcPr>
    </w:tblStylePr>
  </w:style>
  <w:style w:type="table" w:styleId="LightList-Accent3">
    <w:name w:val="Light List Accent 3"/>
    <w:basedOn w:val="TableNormal"/>
    <w:uiPriority w:val="61"/>
    <w:rsid w:val="00C5169B"/>
    <w:pPr>
      <w:spacing w:after="0" w:line="240" w:lineRule="auto"/>
    </w:p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pPr>
        <w:spacing w:before="0" w:after="0" w:line="240" w:lineRule="auto"/>
      </w:pPr>
      <w:rPr>
        <w:b/>
        <w:bCs/>
        <w:color w:val="FFFFFF" w:themeColor="background1"/>
      </w:rPr>
      <w:tblPr/>
      <w:tcPr>
        <w:shd w:val="clear" w:color="auto" w:fill="E5EFF0" w:themeFill="accent3"/>
      </w:tcPr>
    </w:tblStylePr>
    <w:tblStylePr w:type="lastRow">
      <w:pPr>
        <w:spacing w:before="0" w:after="0" w:line="240" w:lineRule="auto"/>
      </w:pPr>
      <w:rPr>
        <w:b/>
        <w:bCs/>
      </w:rPr>
      <w:tblPr/>
      <w:tcPr>
        <w:tcBorders>
          <w:top w:val="double" w:sz="6" w:space="0" w:color="E5EFF0" w:themeColor="accent3"/>
          <w:left w:val="single" w:sz="8" w:space="0" w:color="E5EFF0" w:themeColor="accent3"/>
          <w:bottom w:val="single" w:sz="8" w:space="0" w:color="E5EFF0" w:themeColor="accent3"/>
          <w:right w:val="single" w:sz="8" w:space="0" w:color="E5EFF0" w:themeColor="accent3"/>
        </w:tcBorders>
      </w:tcPr>
    </w:tblStylePr>
    <w:tblStylePr w:type="firstCol">
      <w:rPr>
        <w:b/>
        <w:bCs/>
      </w:rPr>
    </w:tblStylePr>
    <w:tblStylePr w:type="lastCol">
      <w:rPr>
        <w:b/>
        <w:bCs/>
      </w:rPr>
    </w:tblStylePr>
    <w:tblStylePr w:type="band1Vert">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tblStylePr w:type="band1Horz">
      <w:tblPr/>
      <w:tcPr>
        <w:tcBorders>
          <w:top w:val="single" w:sz="8" w:space="0" w:color="E5EFF0" w:themeColor="accent3"/>
          <w:left w:val="single" w:sz="8" w:space="0" w:color="E5EFF0" w:themeColor="accent3"/>
          <w:bottom w:val="single" w:sz="8" w:space="0" w:color="E5EFF0" w:themeColor="accent3"/>
          <w:right w:val="single" w:sz="8" w:space="0" w:color="E5EFF0" w:themeColor="accent3"/>
        </w:tcBorders>
      </w:tcPr>
    </w:tblStylePr>
  </w:style>
  <w:style w:type="table" w:styleId="LightList-Accent4">
    <w:name w:val="Light List Accent 4"/>
    <w:basedOn w:val="TableNormal"/>
    <w:uiPriority w:val="61"/>
    <w:rsid w:val="00C5169B"/>
    <w:pPr>
      <w:spacing w:after="0" w:line="240" w:lineRule="auto"/>
    </w:p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pPr>
        <w:spacing w:before="0" w:after="0" w:line="240" w:lineRule="auto"/>
      </w:pPr>
      <w:rPr>
        <w:b/>
        <w:bCs/>
        <w:color w:val="FFFFFF" w:themeColor="background1"/>
      </w:rPr>
      <w:tblPr/>
      <w:tcPr>
        <w:shd w:val="clear" w:color="auto" w:fill="CDDBDE" w:themeFill="accent4"/>
      </w:tcPr>
    </w:tblStylePr>
    <w:tblStylePr w:type="lastRow">
      <w:pPr>
        <w:spacing w:before="0" w:after="0" w:line="240" w:lineRule="auto"/>
      </w:pPr>
      <w:rPr>
        <w:b/>
        <w:bCs/>
      </w:rPr>
      <w:tblPr/>
      <w:tcPr>
        <w:tcBorders>
          <w:top w:val="double" w:sz="6" w:space="0" w:color="CDDBDE" w:themeColor="accent4"/>
          <w:left w:val="single" w:sz="8" w:space="0" w:color="CDDBDE" w:themeColor="accent4"/>
          <w:bottom w:val="single" w:sz="8" w:space="0" w:color="CDDBDE" w:themeColor="accent4"/>
          <w:right w:val="single" w:sz="8" w:space="0" w:color="CDDBDE" w:themeColor="accent4"/>
        </w:tcBorders>
      </w:tcPr>
    </w:tblStylePr>
    <w:tblStylePr w:type="firstCol">
      <w:rPr>
        <w:b/>
        <w:bCs/>
      </w:rPr>
    </w:tblStylePr>
    <w:tblStylePr w:type="lastCol">
      <w:rPr>
        <w:b/>
        <w:bCs/>
      </w:rPr>
    </w:tblStylePr>
    <w:tblStylePr w:type="band1Vert">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tblStylePr w:type="band1Horz">
      <w:tblPr/>
      <w:tcPr>
        <w:tcBorders>
          <w:top w:val="single" w:sz="8" w:space="0" w:color="CDDBDE" w:themeColor="accent4"/>
          <w:left w:val="single" w:sz="8" w:space="0" w:color="CDDBDE" w:themeColor="accent4"/>
          <w:bottom w:val="single" w:sz="8" w:space="0" w:color="CDDBDE" w:themeColor="accent4"/>
          <w:right w:val="single" w:sz="8" w:space="0" w:color="CDDBDE" w:themeColor="accent4"/>
        </w:tcBorders>
      </w:tcPr>
    </w:tblStylePr>
  </w:style>
  <w:style w:type="table" w:styleId="LightList-Accent5">
    <w:name w:val="Light List Accent 5"/>
    <w:basedOn w:val="TableNormal"/>
    <w:uiPriority w:val="61"/>
    <w:rsid w:val="00C5169B"/>
    <w:pPr>
      <w:spacing w:after="0" w:line="240" w:lineRule="auto"/>
    </w:p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pPr>
        <w:spacing w:before="0" w:after="0" w:line="240" w:lineRule="auto"/>
      </w:pPr>
      <w:rPr>
        <w:b/>
        <w:bCs/>
        <w:color w:val="FFFFFF" w:themeColor="background1"/>
      </w:rPr>
      <w:tblPr/>
      <w:tcPr>
        <w:shd w:val="clear" w:color="auto" w:fill="5D6D78" w:themeFill="accent5"/>
      </w:tcPr>
    </w:tblStylePr>
    <w:tblStylePr w:type="lastRow">
      <w:pPr>
        <w:spacing w:before="0" w:after="0" w:line="240" w:lineRule="auto"/>
      </w:pPr>
      <w:rPr>
        <w:b/>
        <w:bCs/>
      </w:rPr>
      <w:tblPr/>
      <w:tcPr>
        <w:tcBorders>
          <w:top w:val="double" w:sz="6" w:space="0" w:color="5D6D78" w:themeColor="accent5"/>
          <w:left w:val="single" w:sz="8" w:space="0" w:color="5D6D78" w:themeColor="accent5"/>
          <w:bottom w:val="single" w:sz="8" w:space="0" w:color="5D6D78" w:themeColor="accent5"/>
          <w:right w:val="single" w:sz="8" w:space="0" w:color="5D6D78" w:themeColor="accent5"/>
        </w:tcBorders>
      </w:tcPr>
    </w:tblStylePr>
    <w:tblStylePr w:type="firstCol">
      <w:rPr>
        <w:b/>
        <w:bCs/>
      </w:rPr>
    </w:tblStylePr>
    <w:tblStylePr w:type="lastCol">
      <w:rPr>
        <w:b/>
        <w:bCs/>
      </w:rPr>
    </w:tblStylePr>
    <w:tblStylePr w:type="band1Vert">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tblStylePr w:type="band1Horz">
      <w:tblPr/>
      <w:tcPr>
        <w:tcBorders>
          <w:top w:val="single" w:sz="8" w:space="0" w:color="5D6D78" w:themeColor="accent5"/>
          <w:left w:val="single" w:sz="8" w:space="0" w:color="5D6D78" w:themeColor="accent5"/>
          <w:bottom w:val="single" w:sz="8" w:space="0" w:color="5D6D78" w:themeColor="accent5"/>
          <w:right w:val="single" w:sz="8" w:space="0" w:color="5D6D78" w:themeColor="accent5"/>
        </w:tcBorders>
      </w:tcPr>
    </w:tblStylePr>
  </w:style>
  <w:style w:type="table" w:styleId="LightList-Accent6">
    <w:name w:val="Light List Accent 6"/>
    <w:basedOn w:val="TableNormal"/>
    <w:uiPriority w:val="61"/>
    <w:rsid w:val="00C5169B"/>
    <w:pPr>
      <w:spacing w:after="0" w:line="240" w:lineRule="auto"/>
    </w:p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pPr>
        <w:spacing w:before="0" w:after="0" w:line="240" w:lineRule="auto"/>
      </w:pPr>
      <w:rPr>
        <w:b/>
        <w:bCs/>
        <w:color w:val="FFFFFF" w:themeColor="background1"/>
      </w:rPr>
      <w:tblPr/>
      <w:tcPr>
        <w:shd w:val="clear" w:color="auto" w:fill="262836" w:themeFill="accent6"/>
      </w:tcPr>
    </w:tblStylePr>
    <w:tblStylePr w:type="lastRow">
      <w:pPr>
        <w:spacing w:before="0" w:after="0" w:line="240" w:lineRule="auto"/>
      </w:pPr>
      <w:rPr>
        <w:b/>
        <w:bCs/>
      </w:rPr>
      <w:tblPr/>
      <w:tcPr>
        <w:tcBorders>
          <w:top w:val="double" w:sz="6" w:space="0" w:color="262836" w:themeColor="accent6"/>
          <w:left w:val="single" w:sz="8" w:space="0" w:color="262836" w:themeColor="accent6"/>
          <w:bottom w:val="single" w:sz="8" w:space="0" w:color="262836" w:themeColor="accent6"/>
          <w:right w:val="single" w:sz="8" w:space="0" w:color="262836" w:themeColor="accent6"/>
        </w:tcBorders>
      </w:tcPr>
    </w:tblStylePr>
    <w:tblStylePr w:type="firstCol">
      <w:rPr>
        <w:b/>
        <w:bCs/>
      </w:rPr>
    </w:tblStylePr>
    <w:tblStylePr w:type="lastCol">
      <w:rPr>
        <w:b/>
        <w:bCs/>
      </w:rPr>
    </w:tblStylePr>
    <w:tblStylePr w:type="band1Vert">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tblStylePr w:type="band1Horz">
      <w:tblPr/>
      <w:tcPr>
        <w:tcBorders>
          <w:top w:val="single" w:sz="8" w:space="0" w:color="262836" w:themeColor="accent6"/>
          <w:left w:val="single" w:sz="8" w:space="0" w:color="262836" w:themeColor="accent6"/>
          <w:bottom w:val="single" w:sz="8" w:space="0" w:color="262836" w:themeColor="accent6"/>
          <w:right w:val="single" w:sz="8" w:space="0" w:color="262836" w:themeColor="accent6"/>
        </w:tcBorders>
      </w:tcPr>
    </w:tblStylePr>
  </w:style>
  <w:style w:type="table" w:styleId="LightShading">
    <w:name w:val="Light Shading"/>
    <w:basedOn w:val="TableNormal"/>
    <w:uiPriority w:val="60"/>
    <w:rsid w:val="00C5169B"/>
    <w:pPr>
      <w:spacing w:after="0" w:line="240" w:lineRule="auto"/>
    </w:pPr>
    <w:rPr>
      <w:color w:val="455159" w:themeColor="text1" w:themeShade="BF"/>
    </w:rPr>
    <w:tblPr>
      <w:tblStyleRowBandSize w:val="1"/>
      <w:tblStyleColBandSize w:val="1"/>
      <w:tblBorders>
        <w:top w:val="single" w:sz="8" w:space="0" w:color="5D6D78" w:themeColor="text1"/>
        <w:bottom w:val="single" w:sz="8" w:space="0" w:color="5D6D78" w:themeColor="text1"/>
      </w:tblBorders>
    </w:tblPr>
    <w:tblStylePr w:type="fir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lastRow">
      <w:pPr>
        <w:spacing w:before="0" w:after="0" w:line="240" w:lineRule="auto"/>
      </w:pPr>
      <w:rPr>
        <w:b/>
        <w:bCs/>
      </w:rPr>
      <w:tblPr/>
      <w:tcPr>
        <w:tcBorders>
          <w:top w:val="single" w:sz="8" w:space="0" w:color="5D6D78" w:themeColor="text1"/>
          <w:left w:val="nil"/>
          <w:bottom w:val="single" w:sz="8" w:space="0" w:color="5D6D7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left w:val="nil"/>
          <w:right w:val="nil"/>
          <w:insideH w:val="nil"/>
          <w:insideV w:val="nil"/>
        </w:tcBorders>
        <w:shd w:val="clear" w:color="auto" w:fill="D5DBDE" w:themeFill="text1" w:themeFillTint="3F"/>
      </w:tcPr>
    </w:tblStylePr>
  </w:style>
  <w:style w:type="table" w:styleId="LightShading-Accent1">
    <w:name w:val="Light Shading Accent 1"/>
    <w:basedOn w:val="TableNormal"/>
    <w:uiPriority w:val="60"/>
    <w:rsid w:val="00C5169B"/>
    <w:pPr>
      <w:spacing w:after="0" w:line="240" w:lineRule="auto"/>
    </w:pPr>
    <w:rPr>
      <w:color w:val="B00010" w:themeColor="accent1" w:themeShade="BF"/>
    </w:rPr>
    <w:tblPr>
      <w:tblStyleRowBandSize w:val="1"/>
      <w:tblStyleColBandSize w:val="1"/>
      <w:tblBorders>
        <w:top w:val="single" w:sz="8" w:space="0" w:color="EB0017" w:themeColor="accent1"/>
        <w:bottom w:val="single" w:sz="8" w:space="0" w:color="EB0017" w:themeColor="accent1"/>
      </w:tblBorders>
    </w:tblPr>
    <w:tblStylePr w:type="fir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lastRow">
      <w:pPr>
        <w:spacing w:before="0" w:after="0" w:line="240" w:lineRule="auto"/>
      </w:pPr>
      <w:rPr>
        <w:b/>
        <w:bCs/>
      </w:rPr>
      <w:tblPr/>
      <w:tcPr>
        <w:tcBorders>
          <w:top w:val="single" w:sz="8" w:space="0" w:color="EB0017" w:themeColor="accent1"/>
          <w:left w:val="nil"/>
          <w:bottom w:val="single" w:sz="8" w:space="0" w:color="EB00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left w:val="nil"/>
          <w:right w:val="nil"/>
          <w:insideH w:val="nil"/>
          <w:insideV w:val="nil"/>
        </w:tcBorders>
        <w:shd w:val="clear" w:color="auto" w:fill="FFBBC1" w:themeFill="accent1" w:themeFillTint="3F"/>
      </w:tcPr>
    </w:tblStylePr>
  </w:style>
  <w:style w:type="table" w:styleId="LightShading-Accent2">
    <w:name w:val="Light Shading Accent 2"/>
    <w:basedOn w:val="TableNormal"/>
    <w:uiPriority w:val="60"/>
    <w:rsid w:val="00C5169B"/>
    <w:pPr>
      <w:spacing w:after="0" w:line="240" w:lineRule="auto"/>
    </w:pPr>
    <w:rPr>
      <w:color w:val="5F6E75" w:themeColor="accent2" w:themeShade="BF"/>
    </w:rPr>
    <w:tblPr>
      <w:tblStyleRowBandSize w:val="1"/>
      <w:tblStyleColBandSize w:val="1"/>
      <w:tblBorders>
        <w:top w:val="single" w:sz="8" w:space="0" w:color="82939A" w:themeColor="accent2"/>
        <w:bottom w:val="single" w:sz="8" w:space="0" w:color="82939A" w:themeColor="accent2"/>
      </w:tblBorders>
    </w:tblPr>
    <w:tblStylePr w:type="fir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lastRow">
      <w:pPr>
        <w:spacing w:before="0" w:after="0" w:line="240" w:lineRule="auto"/>
      </w:pPr>
      <w:rPr>
        <w:b/>
        <w:bCs/>
      </w:rPr>
      <w:tblPr/>
      <w:tcPr>
        <w:tcBorders>
          <w:top w:val="single" w:sz="8" w:space="0" w:color="82939A" w:themeColor="accent2"/>
          <w:left w:val="nil"/>
          <w:bottom w:val="single" w:sz="8" w:space="0" w:color="82939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left w:val="nil"/>
          <w:right w:val="nil"/>
          <w:insideH w:val="nil"/>
          <w:insideV w:val="nil"/>
        </w:tcBorders>
        <w:shd w:val="clear" w:color="auto" w:fill="E0E4E6" w:themeFill="accent2" w:themeFillTint="3F"/>
      </w:tcPr>
    </w:tblStylePr>
  </w:style>
  <w:style w:type="table" w:styleId="LightShading-Accent3">
    <w:name w:val="Light Shading Accent 3"/>
    <w:basedOn w:val="TableNormal"/>
    <w:uiPriority w:val="60"/>
    <w:rsid w:val="00C5169B"/>
    <w:pPr>
      <w:spacing w:after="0" w:line="240" w:lineRule="auto"/>
    </w:pPr>
    <w:rPr>
      <w:color w:val="9AC0C4" w:themeColor="accent3" w:themeShade="BF"/>
    </w:rPr>
    <w:tblPr>
      <w:tblStyleRowBandSize w:val="1"/>
      <w:tblStyleColBandSize w:val="1"/>
      <w:tblBorders>
        <w:top w:val="single" w:sz="8" w:space="0" w:color="E5EFF0" w:themeColor="accent3"/>
        <w:bottom w:val="single" w:sz="8" w:space="0" w:color="E5EFF0" w:themeColor="accent3"/>
      </w:tblBorders>
    </w:tblPr>
    <w:tblStylePr w:type="fir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lastRow">
      <w:pPr>
        <w:spacing w:before="0" w:after="0" w:line="240" w:lineRule="auto"/>
      </w:pPr>
      <w:rPr>
        <w:b/>
        <w:bCs/>
      </w:rPr>
      <w:tblPr/>
      <w:tcPr>
        <w:tcBorders>
          <w:top w:val="single" w:sz="8" w:space="0" w:color="E5EFF0" w:themeColor="accent3"/>
          <w:left w:val="nil"/>
          <w:bottom w:val="single" w:sz="8" w:space="0" w:color="E5EFF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left w:val="nil"/>
          <w:right w:val="nil"/>
          <w:insideH w:val="nil"/>
          <w:insideV w:val="nil"/>
        </w:tcBorders>
        <w:shd w:val="clear" w:color="auto" w:fill="F8FBFB" w:themeFill="accent3" w:themeFillTint="3F"/>
      </w:tcPr>
    </w:tblStylePr>
  </w:style>
  <w:style w:type="table" w:styleId="LightShading-Accent4">
    <w:name w:val="Light Shading Accent 4"/>
    <w:basedOn w:val="TableNormal"/>
    <w:uiPriority w:val="60"/>
    <w:rsid w:val="00C5169B"/>
    <w:pPr>
      <w:spacing w:after="0" w:line="240" w:lineRule="auto"/>
    </w:pPr>
    <w:rPr>
      <w:color w:val="8CACB3" w:themeColor="accent4" w:themeShade="BF"/>
    </w:rPr>
    <w:tblPr>
      <w:tblStyleRowBandSize w:val="1"/>
      <w:tblStyleColBandSize w:val="1"/>
      <w:tblBorders>
        <w:top w:val="single" w:sz="8" w:space="0" w:color="CDDBDE" w:themeColor="accent4"/>
        <w:bottom w:val="single" w:sz="8" w:space="0" w:color="CDDBDE" w:themeColor="accent4"/>
      </w:tblBorders>
    </w:tblPr>
    <w:tblStylePr w:type="fir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lastRow">
      <w:pPr>
        <w:spacing w:before="0" w:after="0" w:line="240" w:lineRule="auto"/>
      </w:pPr>
      <w:rPr>
        <w:b/>
        <w:bCs/>
      </w:rPr>
      <w:tblPr/>
      <w:tcPr>
        <w:tcBorders>
          <w:top w:val="single" w:sz="8" w:space="0" w:color="CDDBDE" w:themeColor="accent4"/>
          <w:left w:val="nil"/>
          <w:bottom w:val="single" w:sz="8" w:space="0" w:color="CDDBD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left w:val="nil"/>
          <w:right w:val="nil"/>
          <w:insideH w:val="nil"/>
          <w:insideV w:val="nil"/>
        </w:tcBorders>
        <w:shd w:val="clear" w:color="auto" w:fill="F2F6F6" w:themeFill="accent4" w:themeFillTint="3F"/>
      </w:tcPr>
    </w:tblStylePr>
  </w:style>
  <w:style w:type="table" w:styleId="LightShading-Accent5">
    <w:name w:val="Light Shading Accent 5"/>
    <w:basedOn w:val="TableNormal"/>
    <w:uiPriority w:val="60"/>
    <w:rsid w:val="00C5169B"/>
    <w:pPr>
      <w:spacing w:after="0" w:line="240" w:lineRule="auto"/>
    </w:pPr>
    <w:rPr>
      <w:color w:val="455159" w:themeColor="accent5" w:themeShade="BF"/>
    </w:rPr>
    <w:tblPr>
      <w:tblStyleRowBandSize w:val="1"/>
      <w:tblStyleColBandSize w:val="1"/>
      <w:tblBorders>
        <w:top w:val="single" w:sz="8" w:space="0" w:color="5D6D78" w:themeColor="accent5"/>
        <w:bottom w:val="single" w:sz="8" w:space="0" w:color="5D6D78" w:themeColor="accent5"/>
      </w:tblBorders>
    </w:tblPr>
    <w:tblStylePr w:type="fir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lastRow">
      <w:pPr>
        <w:spacing w:before="0" w:after="0" w:line="240" w:lineRule="auto"/>
      </w:pPr>
      <w:rPr>
        <w:b/>
        <w:bCs/>
      </w:rPr>
      <w:tblPr/>
      <w:tcPr>
        <w:tcBorders>
          <w:top w:val="single" w:sz="8" w:space="0" w:color="5D6D78" w:themeColor="accent5"/>
          <w:left w:val="nil"/>
          <w:bottom w:val="single" w:sz="8" w:space="0" w:color="5D6D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left w:val="nil"/>
          <w:right w:val="nil"/>
          <w:insideH w:val="nil"/>
          <w:insideV w:val="nil"/>
        </w:tcBorders>
        <w:shd w:val="clear" w:color="auto" w:fill="D5DBDE" w:themeFill="accent5" w:themeFillTint="3F"/>
      </w:tcPr>
    </w:tblStylePr>
  </w:style>
  <w:style w:type="table" w:styleId="LightShading-Accent6">
    <w:name w:val="Light Shading Accent 6"/>
    <w:basedOn w:val="TableNormal"/>
    <w:uiPriority w:val="60"/>
    <w:rsid w:val="00C5169B"/>
    <w:pPr>
      <w:spacing w:after="0" w:line="240" w:lineRule="auto"/>
    </w:pPr>
    <w:rPr>
      <w:color w:val="1C1D28" w:themeColor="accent6" w:themeShade="BF"/>
    </w:rPr>
    <w:tblPr>
      <w:tblStyleRowBandSize w:val="1"/>
      <w:tblStyleColBandSize w:val="1"/>
      <w:tblBorders>
        <w:top w:val="single" w:sz="8" w:space="0" w:color="262836" w:themeColor="accent6"/>
        <w:bottom w:val="single" w:sz="8" w:space="0" w:color="262836" w:themeColor="accent6"/>
      </w:tblBorders>
    </w:tblPr>
    <w:tblStylePr w:type="fir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lastRow">
      <w:pPr>
        <w:spacing w:before="0" w:after="0" w:line="240" w:lineRule="auto"/>
      </w:pPr>
      <w:rPr>
        <w:b/>
        <w:bCs/>
      </w:rPr>
      <w:tblPr/>
      <w:tcPr>
        <w:tcBorders>
          <w:top w:val="single" w:sz="8" w:space="0" w:color="262836" w:themeColor="accent6"/>
          <w:left w:val="nil"/>
          <w:bottom w:val="single" w:sz="8" w:space="0" w:color="2628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left w:val="nil"/>
          <w:right w:val="nil"/>
          <w:insideH w:val="nil"/>
          <w:insideV w:val="nil"/>
        </w:tcBorders>
        <w:shd w:val="clear" w:color="auto" w:fill="C2C4D4" w:themeFill="accent6" w:themeFillTint="3F"/>
      </w:tcPr>
    </w:tblStylePr>
  </w:style>
  <w:style w:type="character" w:styleId="LineNumber">
    <w:name w:val="line number"/>
    <w:basedOn w:val="DefaultParagraphFont"/>
    <w:uiPriority w:val="99"/>
    <w:semiHidden/>
    <w:unhideWhenUsed/>
    <w:rsid w:val="00C5169B"/>
    <w:rPr>
      <w:lang w:val="en-GB"/>
    </w:rPr>
  </w:style>
  <w:style w:type="paragraph" w:styleId="List">
    <w:name w:val="List"/>
    <w:basedOn w:val="Normal"/>
    <w:uiPriority w:val="99"/>
    <w:semiHidden/>
    <w:unhideWhenUsed/>
    <w:rsid w:val="00C5169B"/>
    <w:pPr>
      <w:ind w:left="283" w:hanging="283"/>
      <w:contextualSpacing/>
    </w:pPr>
  </w:style>
  <w:style w:type="paragraph" w:styleId="List2">
    <w:name w:val="List 2"/>
    <w:basedOn w:val="Normal"/>
    <w:uiPriority w:val="99"/>
    <w:semiHidden/>
    <w:unhideWhenUsed/>
    <w:rsid w:val="00C5169B"/>
    <w:pPr>
      <w:ind w:left="566" w:hanging="283"/>
      <w:contextualSpacing/>
    </w:pPr>
  </w:style>
  <w:style w:type="paragraph" w:styleId="List3">
    <w:name w:val="List 3"/>
    <w:basedOn w:val="Normal"/>
    <w:uiPriority w:val="99"/>
    <w:semiHidden/>
    <w:unhideWhenUsed/>
    <w:rsid w:val="00C5169B"/>
    <w:pPr>
      <w:ind w:left="849" w:hanging="283"/>
      <w:contextualSpacing/>
    </w:pPr>
  </w:style>
  <w:style w:type="paragraph" w:styleId="List4">
    <w:name w:val="List 4"/>
    <w:basedOn w:val="Normal"/>
    <w:uiPriority w:val="99"/>
    <w:semiHidden/>
    <w:unhideWhenUsed/>
    <w:rsid w:val="00C5169B"/>
    <w:pPr>
      <w:ind w:left="1132" w:hanging="283"/>
      <w:contextualSpacing/>
    </w:pPr>
  </w:style>
  <w:style w:type="paragraph" w:styleId="List5">
    <w:name w:val="List 5"/>
    <w:basedOn w:val="Normal"/>
    <w:uiPriority w:val="99"/>
    <w:semiHidden/>
    <w:unhideWhenUsed/>
    <w:rsid w:val="00C5169B"/>
    <w:pPr>
      <w:ind w:left="1415" w:hanging="283"/>
      <w:contextualSpacing/>
    </w:pPr>
  </w:style>
  <w:style w:type="paragraph" w:styleId="ListBullet2">
    <w:name w:val="List Bullet 2"/>
    <w:basedOn w:val="Normal"/>
    <w:uiPriority w:val="99"/>
    <w:semiHidden/>
    <w:unhideWhenUsed/>
    <w:rsid w:val="00C5169B"/>
    <w:pPr>
      <w:numPr>
        <w:numId w:val="15"/>
      </w:numPr>
      <w:contextualSpacing/>
    </w:pPr>
  </w:style>
  <w:style w:type="paragraph" w:styleId="ListBullet3">
    <w:name w:val="List Bullet 3"/>
    <w:basedOn w:val="Normal"/>
    <w:uiPriority w:val="99"/>
    <w:semiHidden/>
    <w:unhideWhenUsed/>
    <w:rsid w:val="00C5169B"/>
    <w:pPr>
      <w:numPr>
        <w:numId w:val="16"/>
      </w:numPr>
      <w:contextualSpacing/>
    </w:pPr>
  </w:style>
  <w:style w:type="paragraph" w:styleId="ListBullet4">
    <w:name w:val="List Bullet 4"/>
    <w:basedOn w:val="Normal"/>
    <w:uiPriority w:val="99"/>
    <w:semiHidden/>
    <w:unhideWhenUsed/>
    <w:rsid w:val="00C5169B"/>
    <w:pPr>
      <w:numPr>
        <w:numId w:val="17"/>
      </w:numPr>
      <w:contextualSpacing/>
    </w:pPr>
  </w:style>
  <w:style w:type="paragraph" w:styleId="ListBullet5">
    <w:name w:val="List Bullet 5"/>
    <w:basedOn w:val="Normal"/>
    <w:uiPriority w:val="99"/>
    <w:semiHidden/>
    <w:unhideWhenUsed/>
    <w:rsid w:val="00C5169B"/>
    <w:pPr>
      <w:numPr>
        <w:numId w:val="18"/>
      </w:numPr>
      <w:contextualSpacing/>
    </w:pPr>
  </w:style>
  <w:style w:type="paragraph" w:styleId="ListContinue">
    <w:name w:val="List Continue"/>
    <w:basedOn w:val="Normal"/>
    <w:uiPriority w:val="99"/>
    <w:semiHidden/>
    <w:unhideWhenUsed/>
    <w:rsid w:val="00C5169B"/>
    <w:pPr>
      <w:ind w:left="283"/>
      <w:contextualSpacing/>
    </w:pPr>
  </w:style>
  <w:style w:type="paragraph" w:styleId="ListContinue2">
    <w:name w:val="List Continue 2"/>
    <w:basedOn w:val="Normal"/>
    <w:uiPriority w:val="99"/>
    <w:semiHidden/>
    <w:unhideWhenUsed/>
    <w:rsid w:val="00C5169B"/>
    <w:pPr>
      <w:ind w:left="566"/>
      <w:contextualSpacing/>
    </w:pPr>
  </w:style>
  <w:style w:type="paragraph" w:styleId="ListContinue3">
    <w:name w:val="List Continue 3"/>
    <w:basedOn w:val="Normal"/>
    <w:uiPriority w:val="99"/>
    <w:semiHidden/>
    <w:unhideWhenUsed/>
    <w:rsid w:val="00C5169B"/>
    <w:pPr>
      <w:ind w:left="849"/>
      <w:contextualSpacing/>
    </w:pPr>
  </w:style>
  <w:style w:type="paragraph" w:styleId="ListContinue4">
    <w:name w:val="List Continue 4"/>
    <w:basedOn w:val="Normal"/>
    <w:uiPriority w:val="99"/>
    <w:semiHidden/>
    <w:unhideWhenUsed/>
    <w:rsid w:val="00C5169B"/>
    <w:pPr>
      <w:ind w:left="1132"/>
      <w:contextualSpacing/>
    </w:pPr>
  </w:style>
  <w:style w:type="paragraph" w:styleId="ListContinue5">
    <w:name w:val="List Continue 5"/>
    <w:basedOn w:val="Normal"/>
    <w:uiPriority w:val="99"/>
    <w:semiHidden/>
    <w:unhideWhenUsed/>
    <w:rsid w:val="00C5169B"/>
    <w:pPr>
      <w:ind w:left="1415"/>
      <w:contextualSpacing/>
    </w:pPr>
  </w:style>
  <w:style w:type="paragraph" w:styleId="ListNumber">
    <w:name w:val="List Number"/>
    <w:basedOn w:val="BodyText"/>
    <w:uiPriority w:val="11"/>
    <w:rsid w:val="00C5169B"/>
    <w:pPr>
      <w:numPr>
        <w:numId w:val="19"/>
      </w:numPr>
    </w:pPr>
  </w:style>
  <w:style w:type="paragraph" w:styleId="ListNumber2">
    <w:name w:val="List Number 2"/>
    <w:basedOn w:val="Normal"/>
    <w:uiPriority w:val="99"/>
    <w:semiHidden/>
    <w:unhideWhenUsed/>
    <w:rsid w:val="00C5169B"/>
    <w:pPr>
      <w:numPr>
        <w:numId w:val="20"/>
      </w:numPr>
      <w:contextualSpacing/>
    </w:pPr>
  </w:style>
  <w:style w:type="paragraph" w:styleId="ListNumber3">
    <w:name w:val="List Number 3"/>
    <w:basedOn w:val="Normal"/>
    <w:uiPriority w:val="99"/>
    <w:semiHidden/>
    <w:unhideWhenUsed/>
    <w:rsid w:val="00C5169B"/>
    <w:pPr>
      <w:numPr>
        <w:numId w:val="21"/>
      </w:numPr>
      <w:contextualSpacing/>
    </w:pPr>
  </w:style>
  <w:style w:type="paragraph" w:styleId="ListNumber4">
    <w:name w:val="List Number 4"/>
    <w:basedOn w:val="Normal"/>
    <w:uiPriority w:val="99"/>
    <w:semiHidden/>
    <w:unhideWhenUsed/>
    <w:rsid w:val="00C5169B"/>
    <w:pPr>
      <w:numPr>
        <w:numId w:val="22"/>
      </w:numPr>
      <w:contextualSpacing/>
    </w:pPr>
  </w:style>
  <w:style w:type="paragraph" w:styleId="ListNumber5">
    <w:name w:val="List Number 5"/>
    <w:basedOn w:val="Normal"/>
    <w:uiPriority w:val="99"/>
    <w:semiHidden/>
    <w:unhideWhenUsed/>
    <w:rsid w:val="00C5169B"/>
    <w:pPr>
      <w:numPr>
        <w:numId w:val="23"/>
      </w:numPr>
      <w:contextualSpacing/>
    </w:pPr>
  </w:style>
  <w:style w:type="table" w:styleId="MediumGrid1">
    <w:name w:val="Medium Grid 1"/>
    <w:basedOn w:val="TableNormal"/>
    <w:uiPriority w:val="67"/>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insideV w:val="single" w:sz="8" w:space="0" w:color="81929D" w:themeColor="text1" w:themeTint="BF"/>
      </w:tblBorders>
    </w:tblPr>
    <w:tcPr>
      <w:shd w:val="clear" w:color="auto" w:fill="D5DBDE" w:themeFill="text1" w:themeFillTint="3F"/>
    </w:tcPr>
    <w:tblStylePr w:type="firstRow">
      <w:rPr>
        <w:b/>
        <w:bCs/>
      </w:rPr>
    </w:tblStylePr>
    <w:tblStylePr w:type="lastRow">
      <w:rPr>
        <w:b/>
        <w:bCs/>
      </w:rPr>
      <w:tblPr/>
      <w:tcPr>
        <w:tcBorders>
          <w:top w:val="single" w:sz="18" w:space="0" w:color="81929D" w:themeColor="text1" w:themeTint="BF"/>
        </w:tcBorders>
      </w:tcPr>
    </w:tblStylePr>
    <w:tblStylePr w:type="firstCol">
      <w:rPr>
        <w:b/>
        <w:bCs/>
      </w:rPr>
    </w:tblStylePr>
    <w:tblStylePr w:type="lastCol">
      <w:rPr>
        <w:b/>
        <w:bCs/>
      </w:rPr>
    </w:tblStylePr>
    <w:tblStylePr w:type="band1Vert">
      <w:tblPr/>
      <w:tcPr>
        <w:shd w:val="clear" w:color="auto" w:fill="ABB6BE" w:themeFill="text1" w:themeFillTint="7F"/>
      </w:tcPr>
    </w:tblStylePr>
    <w:tblStylePr w:type="band1Horz">
      <w:tblPr/>
      <w:tcPr>
        <w:shd w:val="clear" w:color="auto" w:fill="ABB6BE" w:themeFill="text1" w:themeFillTint="7F"/>
      </w:tcPr>
    </w:tblStylePr>
  </w:style>
  <w:style w:type="table" w:styleId="MediumGrid1-Accent1">
    <w:name w:val="Medium Grid 1 Accent 1"/>
    <w:basedOn w:val="TableNormal"/>
    <w:uiPriority w:val="67"/>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insideV w:val="single" w:sz="8" w:space="0" w:color="FF3144" w:themeColor="accent1" w:themeTint="BF"/>
      </w:tblBorders>
    </w:tblPr>
    <w:tcPr>
      <w:shd w:val="clear" w:color="auto" w:fill="FFBBC1" w:themeFill="accent1" w:themeFillTint="3F"/>
    </w:tcPr>
    <w:tblStylePr w:type="firstRow">
      <w:rPr>
        <w:b/>
        <w:bCs/>
      </w:rPr>
    </w:tblStylePr>
    <w:tblStylePr w:type="lastRow">
      <w:rPr>
        <w:b/>
        <w:bCs/>
      </w:rPr>
      <w:tblPr/>
      <w:tcPr>
        <w:tcBorders>
          <w:top w:val="single" w:sz="18" w:space="0" w:color="FF3144" w:themeColor="accent1" w:themeTint="BF"/>
        </w:tcBorders>
      </w:tcPr>
    </w:tblStylePr>
    <w:tblStylePr w:type="firstCol">
      <w:rPr>
        <w:b/>
        <w:bCs/>
      </w:rPr>
    </w:tblStylePr>
    <w:tblStylePr w:type="lastCol">
      <w:rPr>
        <w:b/>
        <w:bCs/>
      </w:rPr>
    </w:tblStylePr>
    <w:tblStylePr w:type="band1Vert">
      <w:tblPr/>
      <w:tcPr>
        <w:shd w:val="clear" w:color="auto" w:fill="FF7682" w:themeFill="accent1" w:themeFillTint="7F"/>
      </w:tcPr>
    </w:tblStylePr>
    <w:tblStylePr w:type="band1Horz">
      <w:tblPr/>
      <w:tcPr>
        <w:shd w:val="clear" w:color="auto" w:fill="FF7682" w:themeFill="accent1" w:themeFillTint="7F"/>
      </w:tcPr>
    </w:tblStylePr>
  </w:style>
  <w:style w:type="table" w:styleId="MediumGrid1-Accent2">
    <w:name w:val="Medium Grid 1 Accent 2"/>
    <w:basedOn w:val="TableNormal"/>
    <w:uiPriority w:val="67"/>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insideV w:val="single" w:sz="8" w:space="0" w:color="A1AEB3" w:themeColor="accent2" w:themeTint="BF"/>
      </w:tblBorders>
    </w:tblPr>
    <w:tcPr>
      <w:shd w:val="clear" w:color="auto" w:fill="E0E4E6" w:themeFill="accent2" w:themeFillTint="3F"/>
    </w:tcPr>
    <w:tblStylePr w:type="firstRow">
      <w:rPr>
        <w:b/>
        <w:bCs/>
      </w:rPr>
    </w:tblStylePr>
    <w:tblStylePr w:type="lastRow">
      <w:rPr>
        <w:b/>
        <w:bCs/>
      </w:rPr>
      <w:tblPr/>
      <w:tcPr>
        <w:tcBorders>
          <w:top w:val="single" w:sz="18" w:space="0" w:color="A1AEB3" w:themeColor="accent2" w:themeTint="BF"/>
        </w:tcBorders>
      </w:tcPr>
    </w:tblStylePr>
    <w:tblStylePr w:type="firstCol">
      <w:rPr>
        <w:b/>
        <w:bCs/>
      </w:rPr>
    </w:tblStylePr>
    <w:tblStylePr w:type="lastCol">
      <w:rPr>
        <w:b/>
        <w:bCs/>
      </w:rPr>
    </w:tblStylePr>
    <w:tblStylePr w:type="band1Vert">
      <w:tblPr/>
      <w:tcPr>
        <w:shd w:val="clear" w:color="auto" w:fill="C0C9CC" w:themeFill="accent2" w:themeFillTint="7F"/>
      </w:tcPr>
    </w:tblStylePr>
    <w:tblStylePr w:type="band1Horz">
      <w:tblPr/>
      <w:tcPr>
        <w:shd w:val="clear" w:color="auto" w:fill="C0C9CC" w:themeFill="accent2" w:themeFillTint="7F"/>
      </w:tcPr>
    </w:tblStylePr>
  </w:style>
  <w:style w:type="table" w:styleId="MediumGrid1-Accent3">
    <w:name w:val="Medium Grid 1 Accent 3"/>
    <w:basedOn w:val="TableNormal"/>
    <w:uiPriority w:val="67"/>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insideV w:val="single" w:sz="8" w:space="0" w:color="EBF2F3" w:themeColor="accent3" w:themeTint="BF"/>
      </w:tblBorders>
    </w:tblPr>
    <w:tcPr>
      <w:shd w:val="clear" w:color="auto" w:fill="F8FBFB" w:themeFill="accent3" w:themeFillTint="3F"/>
    </w:tcPr>
    <w:tblStylePr w:type="firstRow">
      <w:rPr>
        <w:b/>
        <w:bCs/>
      </w:rPr>
    </w:tblStylePr>
    <w:tblStylePr w:type="lastRow">
      <w:rPr>
        <w:b/>
        <w:bCs/>
      </w:rPr>
      <w:tblPr/>
      <w:tcPr>
        <w:tcBorders>
          <w:top w:val="single" w:sz="18" w:space="0" w:color="EBF2F3" w:themeColor="accent3" w:themeTint="BF"/>
        </w:tcBorders>
      </w:tcPr>
    </w:tblStylePr>
    <w:tblStylePr w:type="firstCol">
      <w:rPr>
        <w:b/>
        <w:bCs/>
      </w:rPr>
    </w:tblStylePr>
    <w:tblStylePr w:type="lastCol">
      <w:rPr>
        <w:b/>
        <w:bCs/>
      </w:rPr>
    </w:tblStylePr>
    <w:tblStylePr w:type="band1Vert">
      <w:tblPr/>
      <w:tcPr>
        <w:shd w:val="clear" w:color="auto" w:fill="F1F6F7" w:themeFill="accent3" w:themeFillTint="7F"/>
      </w:tcPr>
    </w:tblStylePr>
    <w:tblStylePr w:type="band1Horz">
      <w:tblPr/>
      <w:tcPr>
        <w:shd w:val="clear" w:color="auto" w:fill="F1F6F7" w:themeFill="accent3" w:themeFillTint="7F"/>
      </w:tcPr>
    </w:tblStylePr>
  </w:style>
  <w:style w:type="table" w:styleId="MediumGrid1-Accent4">
    <w:name w:val="Medium Grid 1 Accent 4"/>
    <w:basedOn w:val="TableNormal"/>
    <w:uiPriority w:val="67"/>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insideV w:val="single" w:sz="8" w:space="0" w:color="D9E4E6" w:themeColor="accent4" w:themeTint="BF"/>
      </w:tblBorders>
    </w:tblPr>
    <w:tcPr>
      <w:shd w:val="clear" w:color="auto" w:fill="F2F6F6" w:themeFill="accent4" w:themeFillTint="3F"/>
    </w:tcPr>
    <w:tblStylePr w:type="firstRow">
      <w:rPr>
        <w:b/>
        <w:bCs/>
      </w:rPr>
    </w:tblStylePr>
    <w:tblStylePr w:type="lastRow">
      <w:rPr>
        <w:b/>
        <w:bCs/>
      </w:rPr>
      <w:tblPr/>
      <w:tcPr>
        <w:tcBorders>
          <w:top w:val="single" w:sz="18" w:space="0" w:color="D9E4E6" w:themeColor="accent4" w:themeTint="BF"/>
        </w:tcBorders>
      </w:tcPr>
    </w:tblStylePr>
    <w:tblStylePr w:type="firstCol">
      <w:rPr>
        <w:b/>
        <w:bCs/>
      </w:rPr>
    </w:tblStylePr>
    <w:tblStylePr w:type="lastCol">
      <w:rPr>
        <w:b/>
        <w:bCs/>
      </w:rPr>
    </w:tblStylePr>
    <w:tblStylePr w:type="band1Vert">
      <w:tblPr/>
      <w:tcPr>
        <w:shd w:val="clear" w:color="auto" w:fill="E5ECEE" w:themeFill="accent4" w:themeFillTint="7F"/>
      </w:tcPr>
    </w:tblStylePr>
    <w:tblStylePr w:type="band1Horz">
      <w:tblPr/>
      <w:tcPr>
        <w:shd w:val="clear" w:color="auto" w:fill="E5ECEE" w:themeFill="accent4" w:themeFillTint="7F"/>
      </w:tcPr>
    </w:tblStylePr>
  </w:style>
  <w:style w:type="table" w:styleId="MediumGrid1-Accent5">
    <w:name w:val="Medium Grid 1 Accent 5"/>
    <w:basedOn w:val="TableNormal"/>
    <w:uiPriority w:val="67"/>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insideV w:val="single" w:sz="8" w:space="0" w:color="81929D" w:themeColor="accent5" w:themeTint="BF"/>
      </w:tblBorders>
    </w:tblPr>
    <w:tcPr>
      <w:shd w:val="clear" w:color="auto" w:fill="D5DBDE" w:themeFill="accent5" w:themeFillTint="3F"/>
    </w:tcPr>
    <w:tblStylePr w:type="firstRow">
      <w:rPr>
        <w:b/>
        <w:bCs/>
      </w:rPr>
    </w:tblStylePr>
    <w:tblStylePr w:type="lastRow">
      <w:rPr>
        <w:b/>
        <w:bCs/>
      </w:rPr>
      <w:tblPr/>
      <w:tcPr>
        <w:tcBorders>
          <w:top w:val="single" w:sz="18" w:space="0" w:color="81929D" w:themeColor="accent5" w:themeTint="BF"/>
        </w:tcBorders>
      </w:tcPr>
    </w:tblStylePr>
    <w:tblStylePr w:type="firstCol">
      <w:rPr>
        <w:b/>
        <w:bCs/>
      </w:rPr>
    </w:tblStylePr>
    <w:tblStylePr w:type="lastCol">
      <w:rPr>
        <w:b/>
        <w:bCs/>
      </w:rPr>
    </w:tblStylePr>
    <w:tblStylePr w:type="band1Vert">
      <w:tblPr/>
      <w:tcPr>
        <w:shd w:val="clear" w:color="auto" w:fill="ABB6BE" w:themeFill="accent5" w:themeFillTint="7F"/>
      </w:tcPr>
    </w:tblStylePr>
    <w:tblStylePr w:type="band1Horz">
      <w:tblPr/>
      <w:tcPr>
        <w:shd w:val="clear" w:color="auto" w:fill="ABB6BE" w:themeFill="accent5" w:themeFillTint="7F"/>
      </w:tcPr>
    </w:tblStylePr>
  </w:style>
  <w:style w:type="table" w:styleId="MediumGrid1-Accent6">
    <w:name w:val="Medium Grid 1 Accent 6"/>
    <w:basedOn w:val="TableNormal"/>
    <w:uiPriority w:val="67"/>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insideV w:val="single" w:sz="8" w:space="0" w:color="515573" w:themeColor="accent6" w:themeTint="BF"/>
      </w:tblBorders>
    </w:tblPr>
    <w:tcPr>
      <w:shd w:val="clear" w:color="auto" w:fill="C2C4D4" w:themeFill="accent6" w:themeFillTint="3F"/>
    </w:tcPr>
    <w:tblStylePr w:type="firstRow">
      <w:rPr>
        <w:b/>
        <w:bCs/>
      </w:rPr>
    </w:tblStylePr>
    <w:tblStylePr w:type="lastRow">
      <w:rPr>
        <w:b/>
        <w:bCs/>
      </w:rPr>
      <w:tblPr/>
      <w:tcPr>
        <w:tcBorders>
          <w:top w:val="single" w:sz="18" w:space="0" w:color="515573" w:themeColor="accent6" w:themeTint="BF"/>
        </w:tcBorders>
      </w:tcPr>
    </w:tblStylePr>
    <w:tblStylePr w:type="firstCol">
      <w:rPr>
        <w:b/>
        <w:bCs/>
      </w:rPr>
    </w:tblStylePr>
    <w:tblStylePr w:type="lastCol">
      <w:rPr>
        <w:b/>
        <w:bCs/>
      </w:rPr>
    </w:tblStylePr>
    <w:tblStylePr w:type="band1Vert">
      <w:tblPr/>
      <w:tcPr>
        <w:shd w:val="clear" w:color="auto" w:fill="8489A9" w:themeFill="accent6" w:themeFillTint="7F"/>
      </w:tcPr>
    </w:tblStylePr>
    <w:tblStylePr w:type="band1Horz">
      <w:tblPr/>
      <w:tcPr>
        <w:shd w:val="clear" w:color="auto" w:fill="8489A9" w:themeFill="accent6" w:themeFillTint="7F"/>
      </w:tcPr>
    </w:tblStylePr>
  </w:style>
  <w:style w:type="table" w:styleId="MediumGrid2">
    <w:name w:val="Medium Grid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insideH w:val="single" w:sz="8" w:space="0" w:color="5D6D78" w:themeColor="text1"/>
        <w:insideV w:val="single" w:sz="8" w:space="0" w:color="5D6D78" w:themeColor="text1"/>
      </w:tblBorders>
    </w:tblPr>
    <w:tcPr>
      <w:shd w:val="clear" w:color="auto" w:fill="D5DBDE" w:themeFill="text1" w:themeFillTint="3F"/>
    </w:tcPr>
    <w:tblStylePr w:type="firstRow">
      <w:rPr>
        <w:b/>
        <w:bCs/>
        <w:color w:val="5D6D78" w:themeColor="text1"/>
      </w:rPr>
      <w:tblPr/>
      <w:tcPr>
        <w:shd w:val="clear" w:color="auto" w:fill="EEF0F2" w:themeFill="tex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text1" w:themeFillTint="33"/>
      </w:tcPr>
    </w:tblStylePr>
    <w:tblStylePr w:type="band1Vert">
      <w:tblPr/>
      <w:tcPr>
        <w:shd w:val="clear" w:color="auto" w:fill="ABB6BE" w:themeFill="text1" w:themeFillTint="7F"/>
      </w:tcPr>
    </w:tblStylePr>
    <w:tblStylePr w:type="band1Horz">
      <w:tblPr/>
      <w:tcPr>
        <w:tcBorders>
          <w:insideH w:val="single" w:sz="6" w:space="0" w:color="5D6D78" w:themeColor="text1"/>
          <w:insideV w:val="single" w:sz="6" w:space="0" w:color="5D6D78" w:themeColor="text1"/>
        </w:tcBorders>
        <w:shd w:val="clear" w:color="auto" w:fill="ABB6B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insideH w:val="single" w:sz="8" w:space="0" w:color="EB0017" w:themeColor="accent1"/>
        <w:insideV w:val="single" w:sz="8" w:space="0" w:color="EB0017" w:themeColor="accent1"/>
      </w:tblBorders>
    </w:tblPr>
    <w:tcPr>
      <w:shd w:val="clear" w:color="auto" w:fill="FFBBC1" w:themeFill="accent1" w:themeFillTint="3F"/>
    </w:tcPr>
    <w:tblStylePr w:type="firstRow">
      <w:rPr>
        <w:b/>
        <w:bCs/>
        <w:color w:val="5D6D78" w:themeColor="text1"/>
      </w:rPr>
      <w:tblPr/>
      <w:tcPr>
        <w:shd w:val="clear" w:color="auto" w:fill="FFE4E6" w:themeFill="accent1"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FC8CD" w:themeFill="accent1" w:themeFillTint="33"/>
      </w:tcPr>
    </w:tblStylePr>
    <w:tblStylePr w:type="band1Vert">
      <w:tblPr/>
      <w:tcPr>
        <w:shd w:val="clear" w:color="auto" w:fill="FF7682" w:themeFill="accent1" w:themeFillTint="7F"/>
      </w:tcPr>
    </w:tblStylePr>
    <w:tblStylePr w:type="band1Horz">
      <w:tblPr/>
      <w:tcPr>
        <w:tcBorders>
          <w:insideH w:val="single" w:sz="6" w:space="0" w:color="EB0017" w:themeColor="accent1"/>
          <w:insideV w:val="single" w:sz="6" w:space="0" w:color="EB0017" w:themeColor="accent1"/>
        </w:tcBorders>
        <w:shd w:val="clear" w:color="auto" w:fill="FF768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insideH w:val="single" w:sz="8" w:space="0" w:color="82939A" w:themeColor="accent2"/>
        <w:insideV w:val="single" w:sz="8" w:space="0" w:color="82939A" w:themeColor="accent2"/>
      </w:tblBorders>
    </w:tblPr>
    <w:tcPr>
      <w:shd w:val="clear" w:color="auto" w:fill="E0E4E6" w:themeFill="accent2" w:themeFillTint="3F"/>
    </w:tcPr>
    <w:tblStylePr w:type="firstRow">
      <w:rPr>
        <w:b/>
        <w:bCs/>
        <w:color w:val="5D6D78" w:themeColor="text1"/>
      </w:rPr>
      <w:tblPr/>
      <w:tcPr>
        <w:shd w:val="clear" w:color="auto" w:fill="F2F4F5" w:themeFill="accent2"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E5E9EA" w:themeFill="accent2" w:themeFillTint="33"/>
      </w:tcPr>
    </w:tblStylePr>
    <w:tblStylePr w:type="band1Vert">
      <w:tblPr/>
      <w:tcPr>
        <w:shd w:val="clear" w:color="auto" w:fill="C0C9CC" w:themeFill="accent2" w:themeFillTint="7F"/>
      </w:tcPr>
    </w:tblStylePr>
    <w:tblStylePr w:type="band1Horz">
      <w:tblPr/>
      <w:tcPr>
        <w:tcBorders>
          <w:insideH w:val="single" w:sz="6" w:space="0" w:color="82939A" w:themeColor="accent2"/>
          <w:insideV w:val="single" w:sz="6" w:space="0" w:color="82939A" w:themeColor="accent2"/>
        </w:tcBorders>
        <w:shd w:val="clear" w:color="auto" w:fill="C0C9C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insideH w:val="single" w:sz="8" w:space="0" w:color="E5EFF0" w:themeColor="accent3"/>
        <w:insideV w:val="single" w:sz="8" w:space="0" w:color="E5EFF0" w:themeColor="accent3"/>
      </w:tblBorders>
    </w:tblPr>
    <w:tcPr>
      <w:shd w:val="clear" w:color="auto" w:fill="F8FBFB" w:themeFill="accent3" w:themeFillTint="3F"/>
    </w:tcPr>
    <w:tblStylePr w:type="firstRow">
      <w:rPr>
        <w:b/>
        <w:bCs/>
        <w:color w:val="5D6D78" w:themeColor="text1"/>
      </w:rPr>
      <w:tblPr/>
      <w:tcPr>
        <w:shd w:val="clear" w:color="auto" w:fill="FCFDFD" w:themeFill="accent3"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9FBFC" w:themeFill="accent3" w:themeFillTint="33"/>
      </w:tcPr>
    </w:tblStylePr>
    <w:tblStylePr w:type="band1Vert">
      <w:tblPr/>
      <w:tcPr>
        <w:shd w:val="clear" w:color="auto" w:fill="F1F6F7" w:themeFill="accent3" w:themeFillTint="7F"/>
      </w:tcPr>
    </w:tblStylePr>
    <w:tblStylePr w:type="band1Horz">
      <w:tblPr/>
      <w:tcPr>
        <w:tcBorders>
          <w:insideH w:val="single" w:sz="6" w:space="0" w:color="E5EFF0" w:themeColor="accent3"/>
          <w:insideV w:val="single" w:sz="6" w:space="0" w:color="E5EFF0" w:themeColor="accent3"/>
        </w:tcBorders>
        <w:shd w:val="clear" w:color="auto" w:fill="F1F6F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insideH w:val="single" w:sz="8" w:space="0" w:color="CDDBDE" w:themeColor="accent4"/>
        <w:insideV w:val="single" w:sz="8" w:space="0" w:color="CDDBDE" w:themeColor="accent4"/>
      </w:tblBorders>
    </w:tblPr>
    <w:tcPr>
      <w:shd w:val="clear" w:color="auto" w:fill="F2F6F6" w:themeFill="accent4" w:themeFillTint="3F"/>
    </w:tcPr>
    <w:tblStylePr w:type="firstRow">
      <w:rPr>
        <w:b/>
        <w:bCs/>
        <w:color w:val="5D6D78" w:themeColor="text1"/>
      </w:rPr>
      <w:tblPr/>
      <w:tcPr>
        <w:shd w:val="clear" w:color="auto" w:fill="F9FBFB" w:themeFill="accent4"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F4F7F8" w:themeFill="accent4" w:themeFillTint="33"/>
      </w:tcPr>
    </w:tblStylePr>
    <w:tblStylePr w:type="band1Vert">
      <w:tblPr/>
      <w:tcPr>
        <w:shd w:val="clear" w:color="auto" w:fill="E5ECEE" w:themeFill="accent4" w:themeFillTint="7F"/>
      </w:tcPr>
    </w:tblStylePr>
    <w:tblStylePr w:type="band1Horz">
      <w:tblPr/>
      <w:tcPr>
        <w:tcBorders>
          <w:insideH w:val="single" w:sz="6" w:space="0" w:color="CDDBDE" w:themeColor="accent4"/>
          <w:insideV w:val="single" w:sz="6" w:space="0" w:color="CDDBDE" w:themeColor="accent4"/>
        </w:tcBorders>
        <w:shd w:val="clear" w:color="auto" w:fill="E5EC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insideH w:val="single" w:sz="8" w:space="0" w:color="5D6D78" w:themeColor="accent5"/>
        <w:insideV w:val="single" w:sz="8" w:space="0" w:color="5D6D78" w:themeColor="accent5"/>
      </w:tblBorders>
    </w:tblPr>
    <w:tcPr>
      <w:shd w:val="clear" w:color="auto" w:fill="D5DBDE" w:themeFill="accent5" w:themeFillTint="3F"/>
    </w:tcPr>
    <w:tblStylePr w:type="firstRow">
      <w:rPr>
        <w:b/>
        <w:bCs/>
        <w:color w:val="5D6D78" w:themeColor="text1"/>
      </w:rPr>
      <w:tblPr/>
      <w:tcPr>
        <w:shd w:val="clear" w:color="auto" w:fill="EEF0F2" w:themeFill="accent5"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DDE1E5" w:themeFill="accent5" w:themeFillTint="33"/>
      </w:tcPr>
    </w:tblStylePr>
    <w:tblStylePr w:type="band1Vert">
      <w:tblPr/>
      <w:tcPr>
        <w:shd w:val="clear" w:color="auto" w:fill="ABB6BE" w:themeFill="accent5" w:themeFillTint="7F"/>
      </w:tcPr>
    </w:tblStylePr>
    <w:tblStylePr w:type="band1Horz">
      <w:tblPr/>
      <w:tcPr>
        <w:tcBorders>
          <w:insideH w:val="single" w:sz="6" w:space="0" w:color="5D6D78" w:themeColor="accent5"/>
          <w:insideV w:val="single" w:sz="6" w:space="0" w:color="5D6D78" w:themeColor="accent5"/>
        </w:tcBorders>
        <w:shd w:val="clear" w:color="auto" w:fill="ABB6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insideH w:val="single" w:sz="8" w:space="0" w:color="262836" w:themeColor="accent6"/>
        <w:insideV w:val="single" w:sz="8" w:space="0" w:color="262836" w:themeColor="accent6"/>
      </w:tblBorders>
    </w:tblPr>
    <w:tcPr>
      <w:shd w:val="clear" w:color="auto" w:fill="C2C4D4" w:themeFill="accent6" w:themeFillTint="3F"/>
    </w:tcPr>
    <w:tblStylePr w:type="firstRow">
      <w:rPr>
        <w:b/>
        <w:bCs/>
        <w:color w:val="5D6D78" w:themeColor="text1"/>
      </w:rPr>
      <w:tblPr/>
      <w:tcPr>
        <w:shd w:val="clear" w:color="auto" w:fill="E6E7EE" w:themeFill="accent6" w:themeFillTint="19"/>
      </w:tcPr>
    </w:tblStylePr>
    <w:tblStylePr w:type="lastRow">
      <w:rPr>
        <w:b/>
        <w:bCs/>
        <w:color w:val="5D6D78" w:themeColor="text1"/>
      </w:rPr>
      <w:tblPr/>
      <w:tcPr>
        <w:tcBorders>
          <w:top w:val="single" w:sz="12" w:space="0" w:color="5D6D78" w:themeColor="text1"/>
          <w:left w:val="nil"/>
          <w:bottom w:val="nil"/>
          <w:right w:val="nil"/>
          <w:insideH w:val="nil"/>
          <w:insideV w:val="nil"/>
        </w:tcBorders>
        <w:shd w:val="clear" w:color="auto" w:fill="FFFFFF" w:themeFill="background1"/>
      </w:tcPr>
    </w:tblStylePr>
    <w:tblStylePr w:type="firstCol">
      <w:rPr>
        <w:b/>
        <w:bCs/>
        <w:color w:val="5D6D7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D6D78" w:themeColor="text1"/>
      </w:rPr>
      <w:tblPr/>
      <w:tcPr>
        <w:tcBorders>
          <w:top w:val="nil"/>
          <w:left w:val="nil"/>
          <w:bottom w:val="nil"/>
          <w:right w:val="nil"/>
          <w:insideH w:val="nil"/>
          <w:insideV w:val="nil"/>
        </w:tcBorders>
        <w:shd w:val="clear" w:color="auto" w:fill="CDCFDC" w:themeFill="accent6" w:themeFillTint="33"/>
      </w:tcPr>
    </w:tblStylePr>
    <w:tblStylePr w:type="band1Vert">
      <w:tblPr/>
      <w:tcPr>
        <w:shd w:val="clear" w:color="auto" w:fill="8489A9" w:themeFill="accent6" w:themeFillTint="7F"/>
      </w:tcPr>
    </w:tblStylePr>
    <w:tblStylePr w:type="band1Horz">
      <w:tblPr/>
      <w:tcPr>
        <w:tcBorders>
          <w:insideH w:val="single" w:sz="6" w:space="0" w:color="262836" w:themeColor="accent6"/>
          <w:insideV w:val="single" w:sz="6" w:space="0" w:color="262836" w:themeColor="accent6"/>
        </w:tcBorders>
        <w:shd w:val="clear" w:color="auto" w:fill="8489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text1" w:themeFillTint="7F"/>
      </w:tcPr>
    </w:tblStylePr>
  </w:style>
  <w:style w:type="table" w:styleId="MediumGrid3-Accent1">
    <w:name w:val="Medium Grid 3 Accent 1"/>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00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00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00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82" w:themeFill="accent1" w:themeFillTint="7F"/>
      </w:tcPr>
    </w:tblStylePr>
  </w:style>
  <w:style w:type="table" w:styleId="MediumGrid3-Accent2">
    <w:name w:val="Medium Grid 3 Accent 2"/>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4E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939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939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939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9C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9CC" w:themeFill="accent2" w:themeFillTint="7F"/>
      </w:tcPr>
    </w:tblStylePr>
  </w:style>
  <w:style w:type="table" w:styleId="MediumGrid3-Accent3">
    <w:name w:val="Medium Grid 3 Accent 3"/>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B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FF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FF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FF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6F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6F7" w:themeFill="accent3" w:themeFillTint="7F"/>
      </w:tcPr>
    </w:tblStylePr>
  </w:style>
  <w:style w:type="table" w:styleId="MediumGrid3-Accent4">
    <w:name w:val="Medium Grid 3 Accent 4"/>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6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B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B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B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C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CEE" w:themeFill="accent4" w:themeFillTint="7F"/>
      </w:tcPr>
    </w:tblStylePr>
  </w:style>
  <w:style w:type="table" w:styleId="MediumGrid3-Accent5">
    <w:name w:val="Medium Grid 3 Accent 5"/>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BD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D6D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D6D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D6D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B6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B6BE" w:themeFill="accent5" w:themeFillTint="7F"/>
      </w:tcPr>
    </w:tblStylePr>
  </w:style>
  <w:style w:type="table" w:styleId="MediumGrid3-Accent6">
    <w:name w:val="Medium Grid 3 Accent 6"/>
    <w:basedOn w:val="TableNormal"/>
    <w:uiPriority w:val="69"/>
    <w:rsid w:val="00C5169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C4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8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8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8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489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489A9" w:themeFill="accent6" w:themeFillTint="7F"/>
      </w:tcPr>
    </w:tblStylePr>
  </w:style>
  <w:style w:type="table" w:styleId="MediumList1">
    <w:name w:val="Medium List 1"/>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text1"/>
        <w:bottom w:val="single" w:sz="8" w:space="0" w:color="5D6D78" w:themeColor="text1"/>
      </w:tblBorders>
    </w:tblPr>
    <w:tblStylePr w:type="firstRow">
      <w:rPr>
        <w:rFonts w:asciiTheme="majorHAnsi" w:eastAsiaTheme="majorEastAsia" w:hAnsiTheme="majorHAnsi" w:cstheme="majorBidi"/>
      </w:rPr>
      <w:tblPr/>
      <w:tcPr>
        <w:tcBorders>
          <w:top w:val="nil"/>
          <w:bottom w:val="single" w:sz="8" w:space="0" w:color="5D6D78" w:themeColor="text1"/>
        </w:tcBorders>
      </w:tcPr>
    </w:tblStylePr>
    <w:tblStylePr w:type="lastRow">
      <w:rPr>
        <w:b/>
        <w:bCs/>
        <w:color w:val="262836" w:themeColor="text2"/>
      </w:rPr>
      <w:tblPr/>
      <w:tcPr>
        <w:tcBorders>
          <w:top w:val="single" w:sz="8" w:space="0" w:color="5D6D78" w:themeColor="text1"/>
          <w:bottom w:val="single" w:sz="8" w:space="0" w:color="5D6D78" w:themeColor="text1"/>
        </w:tcBorders>
      </w:tcPr>
    </w:tblStylePr>
    <w:tblStylePr w:type="firstCol">
      <w:rPr>
        <w:b/>
        <w:bCs/>
      </w:rPr>
    </w:tblStylePr>
    <w:tblStylePr w:type="lastCol">
      <w:rPr>
        <w:b/>
        <w:bCs/>
      </w:rPr>
      <w:tblPr/>
      <w:tcPr>
        <w:tcBorders>
          <w:top w:val="single" w:sz="8" w:space="0" w:color="5D6D78" w:themeColor="text1"/>
          <w:bottom w:val="single" w:sz="8" w:space="0" w:color="5D6D78" w:themeColor="text1"/>
        </w:tcBorders>
      </w:tcPr>
    </w:tblStylePr>
    <w:tblStylePr w:type="band1Vert">
      <w:tblPr/>
      <w:tcPr>
        <w:shd w:val="clear" w:color="auto" w:fill="D5DBDE" w:themeFill="text1" w:themeFillTint="3F"/>
      </w:tcPr>
    </w:tblStylePr>
    <w:tblStylePr w:type="band1Horz">
      <w:tblPr/>
      <w:tcPr>
        <w:shd w:val="clear" w:color="auto" w:fill="D5DBDE" w:themeFill="text1" w:themeFillTint="3F"/>
      </w:tcPr>
    </w:tblStylePr>
  </w:style>
  <w:style w:type="table" w:styleId="MediumList1-Accent1">
    <w:name w:val="Medium List 1 Accent 1"/>
    <w:basedOn w:val="TableNormal"/>
    <w:uiPriority w:val="65"/>
    <w:rsid w:val="00C5169B"/>
    <w:pPr>
      <w:spacing w:after="0" w:line="240" w:lineRule="auto"/>
    </w:pPr>
    <w:rPr>
      <w:color w:val="5D6D78" w:themeColor="text1"/>
    </w:rPr>
    <w:tblPr>
      <w:tblStyleRowBandSize w:val="1"/>
      <w:tblStyleColBandSize w:val="1"/>
      <w:tblBorders>
        <w:top w:val="single" w:sz="8" w:space="0" w:color="EB0017" w:themeColor="accent1"/>
        <w:bottom w:val="single" w:sz="8" w:space="0" w:color="EB0017" w:themeColor="accent1"/>
      </w:tblBorders>
    </w:tblPr>
    <w:tblStylePr w:type="firstRow">
      <w:rPr>
        <w:rFonts w:asciiTheme="majorHAnsi" w:eastAsiaTheme="majorEastAsia" w:hAnsiTheme="majorHAnsi" w:cstheme="majorBidi"/>
      </w:rPr>
      <w:tblPr/>
      <w:tcPr>
        <w:tcBorders>
          <w:top w:val="nil"/>
          <w:bottom w:val="single" w:sz="8" w:space="0" w:color="EB0017" w:themeColor="accent1"/>
        </w:tcBorders>
      </w:tcPr>
    </w:tblStylePr>
    <w:tblStylePr w:type="lastRow">
      <w:rPr>
        <w:b/>
        <w:bCs/>
        <w:color w:val="262836" w:themeColor="text2"/>
      </w:rPr>
      <w:tblPr/>
      <w:tcPr>
        <w:tcBorders>
          <w:top w:val="single" w:sz="8" w:space="0" w:color="EB0017" w:themeColor="accent1"/>
          <w:bottom w:val="single" w:sz="8" w:space="0" w:color="EB0017" w:themeColor="accent1"/>
        </w:tcBorders>
      </w:tcPr>
    </w:tblStylePr>
    <w:tblStylePr w:type="firstCol">
      <w:rPr>
        <w:b/>
        <w:bCs/>
      </w:rPr>
    </w:tblStylePr>
    <w:tblStylePr w:type="lastCol">
      <w:rPr>
        <w:b/>
        <w:bCs/>
      </w:rPr>
      <w:tblPr/>
      <w:tcPr>
        <w:tcBorders>
          <w:top w:val="single" w:sz="8" w:space="0" w:color="EB0017" w:themeColor="accent1"/>
          <w:bottom w:val="single" w:sz="8" w:space="0" w:color="EB0017" w:themeColor="accent1"/>
        </w:tcBorders>
      </w:tcPr>
    </w:tblStylePr>
    <w:tblStylePr w:type="band1Vert">
      <w:tblPr/>
      <w:tcPr>
        <w:shd w:val="clear" w:color="auto" w:fill="FFBBC1" w:themeFill="accent1" w:themeFillTint="3F"/>
      </w:tcPr>
    </w:tblStylePr>
    <w:tblStylePr w:type="band1Horz">
      <w:tblPr/>
      <w:tcPr>
        <w:shd w:val="clear" w:color="auto" w:fill="FFBBC1" w:themeFill="accent1" w:themeFillTint="3F"/>
      </w:tcPr>
    </w:tblStylePr>
  </w:style>
  <w:style w:type="table" w:styleId="MediumList1-Accent2">
    <w:name w:val="Medium List 1 Accent 2"/>
    <w:basedOn w:val="TableNormal"/>
    <w:uiPriority w:val="65"/>
    <w:rsid w:val="00C5169B"/>
    <w:pPr>
      <w:spacing w:after="0" w:line="240" w:lineRule="auto"/>
    </w:pPr>
    <w:rPr>
      <w:color w:val="5D6D78" w:themeColor="text1"/>
    </w:rPr>
    <w:tblPr>
      <w:tblStyleRowBandSize w:val="1"/>
      <w:tblStyleColBandSize w:val="1"/>
      <w:tblBorders>
        <w:top w:val="single" w:sz="8" w:space="0" w:color="82939A" w:themeColor="accent2"/>
        <w:bottom w:val="single" w:sz="8" w:space="0" w:color="82939A" w:themeColor="accent2"/>
      </w:tblBorders>
    </w:tblPr>
    <w:tblStylePr w:type="firstRow">
      <w:rPr>
        <w:rFonts w:asciiTheme="majorHAnsi" w:eastAsiaTheme="majorEastAsia" w:hAnsiTheme="majorHAnsi" w:cstheme="majorBidi"/>
      </w:rPr>
      <w:tblPr/>
      <w:tcPr>
        <w:tcBorders>
          <w:top w:val="nil"/>
          <w:bottom w:val="single" w:sz="8" w:space="0" w:color="82939A" w:themeColor="accent2"/>
        </w:tcBorders>
      </w:tcPr>
    </w:tblStylePr>
    <w:tblStylePr w:type="lastRow">
      <w:rPr>
        <w:b/>
        <w:bCs/>
        <w:color w:val="262836" w:themeColor="text2"/>
      </w:rPr>
      <w:tblPr/>
      <w:tcPr>
        <w:tcBorders>
          <w:top w:val="single" w:sz="8" w:space="0" w:color="82939A" w:themeColor="accent2"/>
          <w:bottom w:val="single" w:sz="8" w:space="0" w:color="82939A" w:themeColor="accent2"/>
        </w:tcBorders>
      </w:tcPr>
    </w:tblStylePr>
    <w:tblStylePr w:type="firstCol">
      <w:rPr>
        <w:b/>
        <w:bCs/>
      </w:rPr>
    </w:tblStylePr>
    <w:tblStylePr w:type="lastCol">
      <w:rPr>
        <w:b/>
        <w:bCs/>
      </w:rPr>
      <w:tblPr/>
      <w:tcPr>
        <w:tcBorders>
          <w:top w:val="single" w:sz="8" w:space="0" w:color="82939A" w:themeColor="accent2"/>
          <w:bottom w:val="single" w:sz="8" w:space="0" w:color="82939A" w:themeColor="accent2"/>
        </w:tcBorders>
      </w:tcPr>
    </w:tblStylePr>
    <w:tblStylePr w:type="band1Vert">
      <w:tblPr/>
      <w:tcPr>
        <w:shd w:val="clear" w:color="auto" w:fill="E0E4E6" w:themeFill="accent2" w:themeFillTint="3F"/>
      </w:tcPr>
    </w:tblStylePr>
    <w:tblStylePr w:type="band1Horz">
      <w:tblPr/>
      <w:tcPr>
        <w:shd w:val="clear" w:color="auto" w:fill="E0E4E6" w:themeFill="accent2" w:themeFillTint="3F"/>
      </w:tcPr>
    </w:tblStylePr>
  </w:style>
  <w:style w:type="table" w:styleId="MediumList1-Accent3">
    <w:name w:val="Medium List 1 Accent 3"/>
    <w:basedOn w:val="TableNormal"/>
    <w:uiPriority w:val="65"/>
    <w:rsid w:val="00C5169B"/>
    <w:pPr>
      <w:spacing w:after="0" w:line="240" w:lineRule="auto"/>
    </w:pPr>
    <w:rPr>
      <w:color w:val="5D6D78" w:themeColor="text1"/>
    </w:rPr>
    <w:tblPr>
      <w:tblStyleRowBandSize w:val="1"/>
      <w:tblStyleColBandSize w:val="1"/>
      <w:tblBorders>
        <w:top w:val="single" w:sz="8" w:space="0" w:color="E5EFF0" w:themeColor="accent3"/>
        <w:bottom w:val="single" w:sz="8" w:space="0" w:color="E5EFF0" w:themeColor="accent3"/>
      </w:tblBorders>
    </w:tblPr>
    <w:tblStylePr w:type="firstRow">
      <w:rPr>
        <w:rFonts w:asciiTheme="majorHAnsi" w:eastAsiaTheme="majorEastAsia" w:hAnsiTheme="majorHAnsi" w:cstheme="majorBidi"/>
      </w:rPr>
      <w:tblPr/>
      <w:tcPr>
        <w:tcBorders>
          <w:top w:val="nil"/>
          <w:bottom w:val="single" w:sz="8" w:space="0" w:color="E5EFF0" w:themeColor="accent3"/>
        </w:tcBorders>
      </w:tcPr>
    </w:tblStylePr>
    <w:tblStylePr w:type="lastRow">
      <w:rPr>
        <w:b/>
        <w:bCs/>
        <w:color w:val="262836" w:themeColor="text2"/>
      </w:rPr>
      <w:tblPr/>
      <w:tcPr>
        <w:tcBorders>
          <w:top w:val="single" w:sz="8" w:space="0" w:color="E5EFF0" w:themeColor="accent3"/>
          <w:bottom w:val="single" w:sz="8" w:space="0" w:color="E5EFF0" w:themeColor="accent3"/>
        </w:tcBorders>
      </w:tcPr>
    </w:tblStylePr>
    <w:tblStylePr w:type="firstCol">
      <w:rPr>
        <w:b/>
        <w:bCs/>
      </w:rPr>
    </w:tblStylePr>
    <w:tblStylePr w:type="lastCol">
      <w:rPr>
        <w:b/>
        <w:bCs/>
      </w:rPr>
      <w:tblPr/>
      <w:tcPr>
        <w:tcBorders>
          <w:top w:val="single" w:sz="8" w:space="0" w:color="E5EFF0" w:themeColor="accent3"/>
          <w:bottom w:val="single" w:sz="8" w:space="0" w:color="E5EFF0" w:themeColor="accent3"/>
        </w:tcBorders>
      </w:tcPr>
    </w:tblStylePr>
    <w:tblStylePr w:type="band1Vert">
      <w:tblPr/>
      <w:tcPr>
        <w:shd w:val="clear" w:color="auto" w:fill="F8FBFB" w:themeFill="accent3" w:themeFillTint="3F"/>
      </w:tcPr>
    </w:tblStylePr>
    <w:tblStylePr w:type="band1Horz">
      <w:tblPr/>
      <w:tcPr>
        <w:shd w:val="clear" w:color="auto" w:fill="F8FBFB" w:themeFill="accent3" w:themeFillTint="3F"/>
      </w:tcPr>
    </w:tblStylePr>
  </w:style>
  <w:style w:type="table" w:styleId="MediumList1-Accent4">
    <w:name w:val="Medium List 1 Accent 4"/>
    <w:basedOn w:val="TableNormal"/>
    <w:uiPriority w:val="65"/>
    <w:rsid w:val="00C5169B"/>
    <w:pPr>
      <w:spacing w:after="0" w:line="240" w:lineRule="auto"/>
    </w:pPr>
    <w:rPr>
      <w:color w:val="5D6D78" w:themeColor="text1"/>
    </w:rPr>
    <w:tblPr>
      <w:tblStyleRowBandSize w:val="1"/>
      <w:tblStyleColBandSize w:val="1"/>
      <w:tblBorders>
        <w:top w:val="single" w:sz="8" w:space="0" w:color="CDDBDE" w:themeColor="accent4"/>
        <w:bottom w:val="single" w:sz="8" w:space="0" w:color="CDDBDE" w:themeColor="accent4"/>
      </w:tblBorders>
    </w:tblPr>
    <w:tblStylePr w:type="firstRow">
      <w:rPr>
        <w:rFonts w:asciiTheme="majorHAnsi" w:eastAsiaTheme="majorEastAsia" w:hAnsiTheme="majorHAnsi" w:cstheme="majorBidi"/>
      </w:rPr>
      <w:tblPr/>
      <w:tcPr>
        <w:tcBorders>
          <w:top w:val="nil"/>
          <w:bottom w:val="single" w:sz="8" w:space="0" w:color="CDDBDE" w:themeColor="accent4"/>
        </w:tcBorders>
      </w:tcPr>
    </w:tblStylePr>
    <w:tblStylePr w:type="lastRow">
      <w:rPr>
        <w:b/>
        <w:bCs/>
        <w:color w:val="262836" w:themeColor="text2"/>
      </w:rPr>
      <w:tblPr/>
      <w:tcPr>
        <w:tcBorders>
          <w:top w:val="single" w:sz="8" w:space="0" w:color="CDDBDE" w:themeColor="accent4"/>
          <w:bottom w:val="single" w:sz="8" w:space="0" w:color="CDDBDE" w:themeColor="accent4"/>
        </w:tcBorders>
      </w:tcPr>
    </w:tblStylePr>
    <w:tblStylePr w:type="firstCol">
      <w:rPr>
        <w:b/>
        <w:bCs/>
      </w:rPr>
    </w:tblStylePr>
    <w:tblStylePr w:type="lastCol">
      <w:rPr>
        <w:b/>
        <w:bCs/>
      </w:rPr>
      <w:tblPr/>
      <w:tcPr>
        <w:tcBorders>
          <w:top w:val="single" w:sz="8" w:space="0" w:color="CDDBDE" w:themeColor="accent4"/>
          <w:bottom w:val="single" w:sz="8" w:space="0" w:color="CDDBDE" w:themeColor="accent4"/>
        </w:tcBorders>
      </w:tcPr>
    </w:tblStylePr>
    <w:tblStylePr w:type="band1Vert">
      <w:tblPr/>
      <w:tcPr>
        <w:shd w:val="clear" w:color="auto" w:fill="F2F6F6" w:themeFill="accent4" w:themeFillTint="3F"/>
      </w:tcPr>
    </w:tblStylePr>
    <w:tblStylePr w:type="band1Horz">
      <w:tblPr/>
      <w:tcPr>
        <w:shd w:val="clear" w:color="auto" w:fill="F2F6F6" w:themeFill="accent4" w:themeFillTint="3F"/>
      </w:tcPr>
    </w:tblStylePr>
  </w:style>
  <w:style w:type="table" w:styleId="MediumList1-Accent5">
    <w:name w:val="Medium List 1 Accent 5"/>
    <w:basedOn w:val="TableNormal"/>
    <w:uiPriority w:val="65"/>
    <w:rsid w:val="00C5169B"/>
    <w:pPr>
      <w:spacing w:after="0" w:line="240" w:lineRule="auto"/>
    </w:pPr>
    <w:rPr>
      <w:color w:val="5D6D78" w:themeColor="text1"/>
    </w:rPr>
    <w:tblPr>
      <w:tblStyleRowBandSize w:val="1"/>
      <w:tblStyleColBandSize w:val="1"/>
      <w:tblBorders>
        <w:top w:val="single" w:sz="8" w:space="0" w:color="5D6D78" w:themeColor="accent5"/>
        <w:bottom w:val="single" w:sz="8" w:space="0" w:color="5D6D78" w:themeColor="accent5"/>
      </w:tblBorders>
    </w:tblPr>
    <w:tblStylePr w:type="firstRow">
      <w:rPr>
        <w:rFonts w:asciiTheme="majorHAnsi" w:eastAsiaTheme="majorEastAsia" w:hAnsiTheme="majorHAnsi" w:cstheme="majorBidi"/>
      </w:rPr>
      <w:tblPr/>
      <w:tcPr>
        <w:tcBorders>
          <w:top w:val="nil"/>
          <w:bottom w:val="single" w:sz="8" w:space="0" w:color="5D6D78" w:themeColor="accent5"/>
        </w:tcBorders>
      </w:tcPr>
    </w:tblStylePr>
    <w:tblStylePr w:type="lastRow">
      <w:rPr>
        <w:b/>
        <w:bCs/>
        <w:color w:val="262836" w:themeColor="text2"/>
      </w:rPr>
      <w:tblPr/>
      <w:tcPr>
        <w:tcBorders>
          <w:top w:val="single" w:sz="8" w:space="0" w:color="5D6D78" w:themeColor="accent5"/>
          <w:bottom w:val="single" w:sz="8" w:space="0" w:color="5D6D78" w:themeColor="accent5"/>
        </w:tcBorders>
      </w:tcPr>
    </w:tblStylePr>
    <w:tblStylePr w:type="firstCol">
      <w:rPr>
        <w:b/>
        <w:bCs/>
      </w:rPr>
    </w:tblStylePr>
    <w:tblStylePr w:type="lastCol">
      <w:rPr>
        <w:b/>
        <w:bCs/>
      </w:rPr>
      <w:tblPr/>
      <w:tcPr>
        <w:tcBorders>
          <w:top w:val="single" w:sz="8" w:space="0" w:color="5D6D78" w:themeColor="accent5"/>
          <w:bottom w:val="single" w:sz="8" w:space="0" w:color="5D6D78" w:themeColor="accent5"/>
        </w:tcBorders>
      </w:tcPr>
    </w:tblStylePr>
    <w:tblStylePr w:type="band1Vert">
      <w:tblPr/>
      <w:tcPr>
        <w:shd w:val="clear" w:color="auto" w:fill="D5DBDE" w:themeFill="accent5" w:themeFillTint="3F"/>
      </w:tcPr>
    </w:tblStylePr>
    <w:tblStylePr w:type="band1Horz">
      <w:tblPr/>
      <w:tcPr>
        <w:shd w:val="clear" w:color="auto" w:fill="D5DBDE" w:themeFill="accent5" w:themeFillTint="3F"/>
      </w:tcPr>
    </w:tblStylePr>
  </w:style>
  <w:style w:type="table" w:styleId="MediumList1-Accent6">
    <w:name w:val="Medium List 1 Accent 6"/>
    <w:basedOn w:val="TableNormal"/>
    <w:uiPriority w:val="65"/>
    <w:rsid w:val="00C5169B"/>
    <w:pPr>
      <w:spacing w:after="0" w:line="240" w:lineRule="auto"/>
    </w:pPr>
    <w:rPr>
      <w:color w:val="5D6D78" w:themeColor="text1"/>
    </w:rPr>
    <w:tblPr>
      <w:tblStyleRowBandSize w:val="1"/>
      <w:tblStyleColBandSize w:val="1"/>
      <w:tblBorders>
        <w:top w:val="single" w:sz="8" w:space="0" w:color="262836" w:themeColor="accent6"/>
        <w:bottom w:val="single" w:sz="8" w:space="0" w:color="262836" w:themeColor="accent6"/>
      </w:tblBorders>
    </w:tblPr>
    <w:tblStylePr w:type="firstRow">
      <w:rPr>
        <w:rFonts w:asciiTheme="majorHAnsi" w:eastAsiaTheme="majorEastAsia" w:hAnsiTheme="majorHAnsi" w:cstheme="majorBidi"/>
      </w:rPr>
      <w:tblPr/>
      <w:tcPr>
        <w:tcBorders>
          <w:top w:val="nil"/>
          <w:bottom w:val="single" w:sz="8" w:space="0" w:color="262836" w:themeColor="accent6"/>
        </w:tcBorders>
      </w:tcPr>
    </w:tblStylePr>
    <w:tblStylePr w:type="lastRow">
      <w:rPr>
        <w:b/>
        <w:bCs/>
        <w:color w:val="262836" w:themeColor="text2"/>
      </w:rPr>
      <w:tblPr/>
      <w:tcPr>
        <w:tcBorders>
          <w:top w:val="single" w:sz="8" w:space="0" w:color="262836" w:themeColor="accent6"/>
          <w:bottom w:val="single" w:sz="8" w:space="0" w:color="262836" w:themeColor="accent6"/>
        </w:tcBorders>
      </w:tcPr>
    </w:tblStylePr>
    <w:tblStylePr w:type="firstCol">
      <w:rPr>
        <w:b/>
        <w:bCs/>
      </w:rPr>
    </w:tblStylePr>
    <w:tblStylePr w:type="lastCol">
      <w:rPr>
        <w:b/>
        <w:bCs/>
      </w:rPr>
      <w:tblPr/>
      <w:tcPr>
        <w:tcBorders>
          <w:top w:val="single" w:sz="8" w:space="0" w:color="262836" w:themeColor="accent6"/>
          <w:bottom w:val="single" w:sz="8" w:space="0" w:color="262836" w:themeColor="accent6"/>
        </w:tcBorders>
      </w:tcPr>
    </w:tblStylePr>
    <w:tblStylePr w:type="band1Vert">
      <w:tblPr/>
      <w:tcPr>
        <w:shd w:val="clear" w:color="auto" w:fill="C2C4D4" w:themeFill="accent6" w:themeFillTint="3F"/>
      </w:tcPr>
    </w:tblStylePr>
    <w:tblStylePr w:type="band1Horz">
      <w:tblPr/>
      <w:tcPr>
        <w:shd w:val="clear" w:color="auto" w:fill="C2C4D4" w:themeFill="accent6" w:themeFillTint="3F"/>
      </w:tcPr>
    </w:tblStylePr>
  </w:style>
  <w:style w:type="table" w:styleId="MediumList2">
    <w:name w:val="Medium Lis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text1"/>
        <w:left w:val="single" w:sz="8" w:space="0" w:color="5D6D78" w:themeColor="text1"/>
        <w:bottom w:val="single" w:sz="8" w:space="0" w:color="5D6D78" w:themeColor="text1"/>
        <w:right w:val="single" w:sz="8" w:space="0" w:color="5D6D78" w:themeColor="text1"/>
      </w:tblBorders>
    </w:tblPr>
    <w:tblStylePr w:type="firstRow">
      <w:rPr>
        <w:sz w:val="24"/>
        <w:szCs w:val="24"/>
      </w:rPr>
      <w:tblPr/>
      <w:tcPr>
        <w:tcBorders>
          <w:top w:val="nil"/>
          <w:left w:val="nil"/>
          <w:bottom w:val="single" w:sz="24" w:space="0" w:color="5D6D78" w:themeColor="text1"/>
          <w:right w:val="nil"/>
          <w:insideH w:val="nil"/>
          <w:insideV w:val="nil"/>
        </w:tcBorders>
        <w:shd w:val="clear" w:color="auto" w:fill="FFFFFF" w:themeFill="background1"/>
      </w:tcPr>
    </w:tblStylePr>
    <w:tblStylePr w:type="lastRow">
      <w:tblPr/>
      <w:tcPr>
        <w:tcBorders>
          <w:top w:val="single" w:sz="8" w:space="0" w:color="5D6D78"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text1"/>
          <w:insideH w:val="nil"/>
          <w:insideV w:val="nil"/>
        </w:tcBorders>
        <w:shd w:val="clear" w:color="auto" w:fill="FFFFFF" w:themeFill="background1"/>
      </w:tcPr>
    </w:tblStylePr>
    <w:tblStylePr w:type="lastCol">
      <w:tblPr/>
      <w:tcPr>
        <w:tcBorders>
          <w:top w:val="nil"/>
          <w:left w:val="single" w:sz="8" w:space="0" w:color="5D6D7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text1" w:themeFillTint="3F"/>
      </w:tcPr>
    </w:tblStylePr>
    <w:tblStylePr w:type="band1Horz">
      <w:tblPr/>
      <w:tcPr>
        <w:tcBorders>
          <w:top w:val="nil"/>
          <w:bottom w:val="nil"/>
          <w:insideH w:val="nil"/>
          <w:insideV w:val="nil"/>
        </w:tcBorders>
        <w:shd w:val="clear" w:color="auto" w:fill="D5DBD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B0017" w:themeColor="accent1"/>
        <w:left w:val="single" w:sz="8" w:space="0" w:color="EB0017" w:themeColor="accent1"/>
        <w:bottom w:val="single" w:sz="8" w:space="0" w:color="EB0017" w:themeColor="accent1"/>
        <w:right w:val="single" w:sz="8" w:space="0" w:color="EB0017" w:themeColor="accent1"/>
      </w:tblBorders>
    </w:tblPr>
    <w:tblStylePr w:type="firstRow">
      <w:rPr>
        <w:sz w:val="24"/>
        <w:szCs w:val="24"/>
      </w:rPr>
      <w:tblPr/>
      <w:tcPr>
        <w:tcBorders>
          <w:top w:val="nil"/>
          <w:left w:val="nil"/>
          <w:bottom w:val="single" w:sz="24" w:space="0" w:color="EB0017" w:themeColor="accent1"/>
          <w:right w:val="nil"/>
          <w:insideH w:val="nil"/>
          <w:insideV w:val="nil"/>
        </w:tcBorders>
        <w:shd w:val="clear" w:color="auto" w:fill="FFFFFF" w:themeFill="background1"/>
      </w:tcPr>
    </w:tblStylePr>
    <w:tblStylePr w:type="lastRow">
      <w:tblPr/>
      <w:tcPr>
        <w:tcBorders>
          <w:top w:val="single" w:sz="8" w:space="0" w:color="EB001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0017" w:themeColor="accent1"/>
          <w:insideH w:val="nil"/>
          <w:insideV w:val="nil"/>
        </w:tcBorders>
        <w:shd w:val="clear" w:color="auto" w:fill="FFFFFF" w:themeFill="background1"/>
      </w:tcPr>
    </w:tblStylePr>
    <w:tblStylePr w:type="lastCol">
      <w:tblPr/>
      <w:tcPr>
        <w:tcBorders>
          <w:top w:val="nil"/>
          <w:left w:val="single" w:sz="8" w:space="0" w:color="EB001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C1" w:themeFill="accent1" w:themeFillTint="3F"/>
      </w:tcPr>
    </w:tblStylePr>
    <w:tblStylePr w:type="band1Horz">
      <w:tblPr/>
      <w:tcPr>
        <w:tcBorders>
          <w:top w:val="nil"/>
          <w:bottom w:val="nil"/>
          <w:insideH w:val="nil"/>
          <w:insideV w:val="nil"/>
        </w:tcBorders>
        <w:shd w:val="clear" w:color="auto" w:fill="FFBB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82939A" w:themeColor="accent2"/>
        <w:left w:val="single" w:sz="8" w:space="0" w:color="82939A" w:themeColor="accent2"/>
        <w:bottom w:val="single" w:sz="8" w:space="0" w:color="82939A" w:themeColor="accent2"/>
        <w:right w:val="single" w:sz="8" w:space="0" w:color="82939A" w:themeColor="accent2"/>
      </w:tblBorders>
    </w:tblPr>
    <w:tblStylePr w:type="firstRow">
      <w:rPr>
        <w:sz w:val="24"/>
        <w:szCs w:val="24"/>
      </w:rPr>
      <w:tblPr/>
      <w:tcPr>
        <w:tcBorders>
          <w:top w:val="nil"/>
          <w:left w:val="nil"/>
          <w:bottom w:val="single" w:sz="24" w:space="0" w:color="82939A" w:themeColor="accent2"/>
          <w:right w:val="nil"/>
          <w:insideH w:val="nil"/>
          <w:insideV w:val="nil"/>
        </w:tcBorders>
        <w:shd w:val="clear" w:color="auto" w:fill="FFFFFF" w:themeFill="background1"/>
      </w:tcPr>
    </w:tblStylePr>
    <w:tblStylePr w:type="lastRow">
      <w:tblPr/>
      <w:tcPr>
        <w:tcBorders>
          <w:top w:val="single" w:sz="8" w:space="0" w:color="82939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939A" w:themeColor="accent2"/>
          <w:insideH w:val="nil"/>
          <w:insideV w:val="nil"/>
        </w:tcBorders>
        <w:shd w:val="clear" w:color="auto" w:fill="FFFFFF" w:themeFill="background1"/>
      </w:tcPr>
    </w:tblStylePr>
    <w:tblStylePr w:type="lastCol">
      <w:tblPr/>
      <w:tcPr>
        <w:tcBorders>
          <w:top w:val="nil"/>
          <w:left w:val="single" w:sz="8" w:space="0" w:color="82939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4E6" w:themeFill="accent2" w:themeFillTint="3F"/>
      </w:tcPr>
    </w:tblStylePr>
    <w:tblStylePr w:type="band1Horz">
      <w:tblPr/>
      <w:tcPr>
        <w:tcBorders>
          <w:top w:val="nil"/>
          <w:bottom w:val="nil"/>
          <w:insideH w:val="nil"/>
          <w:insideV w:val="nil"/>
        </w:tcBorders>
        <w:shd w:val="clear" w:color="auto" w:fill="E0E4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E5EFF0" w:themeColor="accent3"/>
        <w:left w:val="single" w:sz="8" w:space="0" w:color="E5EFF0" w:themeColor="accent3"/>
        <w:bottom w:val="single" w:sz="8" w:space="0" w:color="E5EFF0" w:themeColor="accent3"/>
        <w:right w:val="single" w:sz="8" w:space="0" w:color="E5EFF0" w:themeColor="accent3"/>
      </w:tblBorders>
    </w:tblPr>
    <w:tblStylePr w:type="firstRow">
      <w:rPr>
        <w:sz w:val="24"/>
        <w:szCs w:val="24"/>
      </w:rPr>
      <w:tblPr/>
      <w:tcPr>
        <w:tcBorders>
          <w:top w:val="nil"/>
          <w:left w:val="nil"/>
          <w:bottom w:val="single" w:sz="24" w:space="0" w:color="E5EFF0" w:themeColor="accent3"/>
          <w:right w:val="nil"/>
          <w:insideH w:val="nil"/>
          <w:insideV w:val="nil"/>
        </w:tcBorders>
        <w:shd w:val="clear" w:color="auto" w:fill="FFFFFF" w:themeFill="background1"/>
      </w:tcPr>
    </w:tblStylePr>
    <w:tblStylePr w:type="lastRow">
      <w:tblPr/>
      <w:tcPr>
        <w:tcBorders>
          <w:top w:val="single" w:sz="8" w:space="0" w:color="E5EFF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FF0" w:themeColor="accent3"/>
          <w:insideH w:val="nil"/>
          <w:insideV w:val="nil"/>
        </w:tcBorders>
        <w:shd w:val="clear" w:color="auto" w:fill="FFFFFF" w:themeFill="background1"/>
      </w:tcPr>
    </w:tblStylePr>
    <w:tblStylePr w:type="lastCol">
      <w:tblPr/>
      <w:tcPr>
        <w:tcBorders>
          <w:top w:val="nil"/>
          <w:left w:val="single" w:sz="8" w:space="0" w:color="E5EFF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BFB" w:themeFill="accent3" w:themeFillTint="3F"/>
      </w:tcPr>
    </w:tblStylePr>
    <w:tblStylePr w:type="band1Horz">
      <w:tblPr/>
      <w:tcPr>
        <w:tcBorders>
          <w:top w:val="nil"/>
          <w:bottom w:val="nil"/>
          <w:insideH w:val="nil"/>
          <w:insideV w:val="nil"/>
        </w:tcBorders>
        <w:shd w:val="clear" w:color="auto" w:fill="F8FB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CDDBDE" w:themeColor="accent4"/>
        <w:left w:val="single" w:sz="8" w:space="0" w:color="CDDBDE" w:themeColor="accent4"/>
        <w:bottom w:val="single" w:sz="8" w:space="0" w:color="CDDBDE" w:themeColor="accent4"/>
        <w:right w:val="single" w:sz="8" w:space="0" w:color="CDDBDE" w:themeColor="accent4"/>
      </w:tblBorders>
    </w:tblPr>
    <w:tblStylePr w:type="firstRow">
      <w:rPr>
        <w:sz w:val="24"/>
        <w:szCs w:val="24"/>
      </w:rPr>
      <w:tblPr/>
      <w:tcPr>
        <w:tcBorders>
          <w:top w:val="nil"/>
          <w:left w:val="nil"/>
          <w:bottom w:val="single" w:sz="24" w:space="0" w:color="CDDBDE" w:themeColor="accent4"/>
          <w:right w:val="nil"/>
          <w:insideH w:val="nil"/>
          <w:insideV w:val="nil"/>
        </w:tcBorders>
        <w:shd w:val="clear" w:color="auto" w:fill="FFFFFF" w:themeFill="background1"/>
      </w:tcPr>
    </w:tblStylePr>
    <w:tblStylePr w:type="lastRow">
      <w:tblPr/>
      <w:tcPr>
        <w:tcBorders>
          <w:top w:val="single" w:sz="8" w:space="0" w:color="CDDBD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BDE" w:themeColor="accent4"/>
          <w:insideH w:val="nil"/>
          <w:insideV w:val="nil"/>
        </w:tcBorders>
        <w:shd w:val="clear" w:color="auto" w:fill="FFFFFF" w:themeFill="background1"/>
      </w:tcPr>
    </w:tblStylePr>
    <w:tblStylePr w:type="lastCol">
      <w:tblPr/>
      <w:tcPr>
        <w:tcBorders>
          <w:top w:val="nil"/>
          <w:left w:val="single" w:sz="8" w:space="0" w:color="CDDBD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6F6" w:themeFill="accent4" w:themeFillTint="3F"/>
      </w:tcPr>
    </w:tblStylePr>
    <w:tblStylePr w:type="band1Horz">
      <w:tblPr/>
      <w:tcPr>
        <w:tcBorders>
          <w:top w:val="nil"/>
          <w:bottom w:val="nil"/>
          <w:insideH w:val="nil"/>
          <w:insideV w:val="nil"/>
        </w:tcBorders>
        <w:shd w:val="clear" w:color="auto" w:fill="F2F6F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5D6D78" w:themeColor="accent5"/>
        <w:left w:val="single" w:sz="8" w:space="0" w:color="5D6D78" w:themeColor="accent5"/>
        <w:bottom w:val="single" w:sz="8" w:space="0" w:color="5D6D78" w:themeColor="accent5"/>
        <w:right w:val="single" w:sz="8" w:space="0" w:color="5D6D78" w:themeColor="accent5"/>
      </w:tblBorders>
    </w:tblPr>
    <w:tblStylePr w:type="firstRow">
      <w:rPr>
        <w:sz w:val="24"/>
        <w:szCs w:val="24"/>
      </w:rPr>
      <w:tblPr/>
      <w:tcPr>
        <w:tcBorders>
          <w:top w:val="nil"/>
          <w:left w:val="nil"/>
          <w:bottom w:val="single" w:sz="24" w:space="0" w:color="5D6D78" w:themeColor="accent5"/>
          <w:right w:val="nil"/>
          <w:insideH w:val="nil"/>
          <w:insideV w:val="nil"/>
        </w:tcBorders>
        <w:shd w:val="clear" w:color="auto" w:fill="FFFFFF" w:themeFill="background1"/>
      </w:tcPr>
    </w:tblStylePr>
    <w:tblStylePr w:type="lastRow">
      <w:tblPr/>
      <w:tcPr>
        <w:tcBorders>
          <w:top w:val="single" w:sz="8" w:space="0" w:color="5D6D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D6D78" w:themeColor="accent5"/>
          <w:insideH w:val="nil"/>
          <w:insideV w:val="nil"/>
        </w:tcBorders>
        <w:shd w:val="clear" w:color="auto" w:fill="FFFFFF" w:themeFill="background1"/>
      </w:tcPr>
    </w:tblStylePr>
    <w:tblStylePr w:type="lastCol">
      <w:tblPr/>
      <w:tcPr>
        <w:tcBorders>
          <w:top w:val="nil"/>
          <w:left w:val="single" w:sz="8" w:space="0" w:color="5D6D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BDE" w:themeFill="accent5" w:themeFillTint="3F"/>
      </w:tcPr>
    </w:tblStylePr>
    <w:tblStylePr w:type="band1Horz">
      <w:tblPr/>
      <w:tcPr>
        <w:tcBorders>
          <w:top w:val="nil"/>
          <w:bottom w:val="nil"/>
          <w:insideH w:val="nil"/>
          <w:insideV w:val="nil"/>
        </w:tcBorders>
        <w:shd w:val="clear" w:color="auto" w:fill="D5DBD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5169B"/>
    <w:pPr>
      <w:spacing w:after="0" w:line="240" w:lineRule="auto"/>
    </w:pPr>
    <w:rPr>
      <w:rFonts w:asciiTheme="majorHAnsi" w:eastAsiaTheme="majorEastAsia" w:hAnsiTheme="majorHAnsi" w:cstheme="majorBidi"/>
      <w:color w:val="5D6D78" w:themeColor="text1"/>
    </w:rPr>
    <w:tblPr>
      <w:tblStyleRowBandSize w:val="1"/>
      <w:tblStyleColBandSize w:val="1"/>
      <w:tblBorders>
        <w:top w:val="single" w:sz="8" w:space="0" w:color="262836" w:themeColor="accent6"/>
        <w:left w:val="single" w:sz="8" w:space="0" w:color="262836" w:themeColor="accent6"/>
        <w:bottom w:val="single" w:sz="8" w:space="0" w:color="262836" w:themeColor="accent6"/>
        <w:right w:val="single" w:sz="8" w:space="0" w:color="262836" w:themeColor="accent6"/>
      </w:tblBorders>
    </w:tblPr>
    <w:tblStylePr w:type="firstRow">
      <w:rPr>
        <w:sz w:val="24"/>
        <w:szCs w:val="24"/>
      </w:rPr>
      <w:tblPr/>
      <w:tcPr>
        <w:tcBorders>
          <w:top w:val="nil"/>
          <w:left w:val="nil"/>
          <w:bottom w:val="single" w:sz="24" w:space="0" w:color="262836" w:themeColor="accent6"/>
          <w:right w:val="nil"/>
          <w:insideH w:val="nil"/>
          <w:insideV w:val="nil"/>
        </w:tcBorders>
        <w:shd w:val="clear" w:color="auto" w:fill="FFFFFF" w:themeFill="background1"/>
      </w:tcPr>
    </w:tblStylePr>
    <w:tblStylePr w:type="lastRow">
      <w:tblPr/>
      <w:tcPr>
        <w:tcBorders>
          <w:top w:val="single" w:sz="8" w:space="0" w:color="2628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836" w:themeColor="accent6"/>
          <w:insideH w:val="nil"/>
          <w:insideV w:val="nil"/>
        </w:tcBorders>
        <w:shd w:val="clear" w:color="auto" w:fill="FFFFFF" w:themeFill="background1"/>
      </w:tcPr>
    </w:tblStylePr>
    <w:tblStylePr w:type="lastCol">
      <w:tblPr/>
      <w:tcPr>
        <w:tcBorders>
          <w:top w:val="nil"/>
          <w:left w:val="single" w:sz="8" w:space="0" w:color="2628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C4D4" w:themeFill="accent6" w:themeFillTint="3F"/>
      </w:tcPr>
    </w:tblStylePr>
    <w:tblStylePr w:type="band1Horz">
      <w:tblPr/>
      <w:tcPr>
        <w:tcBorders>
          <w:top w:val="nil"/>
          <w:bottom w:val="nil"/>
          <w:insideH w:val="nil"/>
          <w:insideV w:val="nil"/>
        </w:tcBorders>
        <w:shd w:val="clear" w:color="auto" w:fill="C2C4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C5169B"/>
    <w:pPr>
      <w:spacing w:after="0" w:line="240" w:lineRule="auto"/>
    </w:pPr>
    <w:tblPr>
      <w:tblStyleRowBandSize w:val="1"/>
      <w:tblStyleColBandSize w:val="1"/>
      <w:tbl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single" w:sz="8" w:space="0" w:color="81929D" w:themeColor="text1" w:themeTint="BF"/>
      </w:tblBorders>
    </w:tblPr>
    <w:tblStylePr w:type="firstRow">
      <w:pPr>
        <w:spacing w:before="0" w:after="0" w:line="240" w:lineRule="auto"/>
      </w:pPr>
      <w:rPr>
        <w:b/>
        <w:bCs/>
        <w:color w:val="FFFFFF" w:themeColor="background1"/>
      </w:rPr>
      <w:tblPr/>
      <w:tcPr>
        <w:tcBorders>
          <w:top w:val="single" w:sz="8"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shd w:val="clear" w:color="auto" w:fill="5D6D78" w:themeFill="text1"/>
      </w:tcPr>
    </w:tblStylePr>
    <w:tblStylePr w:type="lastRow">
      <w:pPr>
        <w:spacing w:before="0" w:after="0" w:line="240" w:lineRule="auto"/>
      </w:pPr>
      <w:rPr>
        <w:b/>
        <w:bCs/>
      </w:rPr>
      <w:tblPr/>
      <w:tcPr>
        <w:tcBorders>
          <w:top w:val="double" w:sz="6" w:space="0" w:color="81929D" w:themeColor="text1" w:themeTint="BF"/>
          <w:left w:val="single" w:sz="8" w:space="0" w:color="81929D" w:themeColor="text1" w:themeTint="BF"/>
          <w:bottom w:val="single" w:sz="8" w:space="0" w:color="81929D" w:themeColor="text1" w:themeTint="BF"/>
          <w:right w:val="single" w:sz="8" w:space="0" w:color="81929D" w:themeColor="text1" w:themeTint="BF"/>
          <w:insideH w:val="nil"/>
          <w:insideV w:val="nil"/>
        </w:tcBorders>
      </w:tcPr>
    </w:tblStylePr>
    <w:tblStylePr w:type="firstCol">
      <w:rPr>
        <w:b/>
        <w:bCs/>
      </w:rPr>
    </w:tblStylePr>
    <w:tblStylePr w:type="lastCol">
      <w:rPr>
        <w:b/>
        <w:bCs/>
      </w:rPr>
    </w:tblStylePr>
    <w:tblStylePr w:type="band1Vert">
      <w:tblPr/>
      <w:tcPr>
        <w:shd w:val="clear" w:color="auto" w:fill="D5DBDE" w:themeFill="text1" w:themeFillTint="3F"/>
      </w:tcPr>
    </w:tblStylePr>
    <w:tblStylePr w:type="band1Horz">
      <w:tblPr/>
      <w:tcPr>
        <w:tcBorders>
          <w:insideH w:val="nil"/>
          <w:insideV w:val="nil"/>
        </w:tcBorders>
        <w:shd w:val="clear" w:color="auto" w:fill="D5DBDE"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5169B"/>
    <w:pPr>
      <w:spacing w:after="0" w:line="240" w:lineRule="auto"/>
    </w:pPr>
    <w:tblPr>
      <w:tblStyleRowBandSize w:val="1"/>
      <w:tblStyleColBandSize w:val="1"/>
      <w:tbl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single" w:sz="8" w:space="0" w:color="FF3144" w:themeColor="accent1" w:themeTint="BF"/>
      </w:tblBorders>
    </w:tblPr>
    <w:tblStylePr w:type="firstRow">
      <w:pPr>
        <w:spacing w:before="0" w:after="0" w:line="240" w:lineRule="auto"/>
      </w:pPr>
      <w:rPr>
        <w:b/>
        <w:bCs/>
        <w:color w:val="FFFFFF" w:themeColor="background1"/>
      </w:rPr>
      <w:tblPr/>
      <w:tcPr>
        <w:tcBorders>
          <w:top w:val="single" w:sz="8"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shd w:val="clear" w:color="auto" w:fill="EB0017" w:themeFill="accent1"/>
      </w:tcPr>
    </w:tblStylePr>
    <w:tblStylePr w:type="lastRow">
      <w:pPr>
        <w:spacing w:before="0" w:after="0" w:line="240" w:lineRule="auto"/>
      </w:pPr>
      <w:rPr>
        <w:b/>
        <w:bCs/>
      </w:rPr>
      <w:tblPr/>
      <w:tcPr>
        <w:tcBorders>
          <w:top w:val="double" w:sz="6" w:space="0" w:color="FF3144" w:themeColor="accent1" w:themeTint="BF"/>
          <w:left w:val="single" w:sz="8" w:space="0" w:color="FF3144" w:themeColor="accent1" w:themeTint="BF"/>
          <w:bottom w:val="single" w:sz="8" w:space="0" w:color="FF3144" w:themeColor="accent1" w:themeTint="BF"/>
          <w:right w:val="single" w:sz="8" w:space="0" w:color="FF31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BC1" w:themeFill="accent1" w:themeFillTint="3F"/>
      </w:tcPr>
    </w:tblStylePr>
    <w:tblStylePr w:type="band1Horz">
      <w:tblPr/>
      <w:tcPr>
        <w:tcBorders>
          <w:insideH w:val="nil"/>
          <w:insideV w:val="nil"/>
        </w:tcBorders>
        <w:shd w:val="clear" w:color="auto" w:fill="FFBBC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169B"/>
    <w:pPr>
      <w:spacing w:after="0" w:line="240" w:lineRule="auto"/>
    </w:pPr>
    <w:tblPr>
      <w:tblStyleRowBandSize w:val="1"/>
      <w:tblStyleColBandSize w:val="1"/>
      <w:tbl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single" w:sz="8" w:space="0" w:color="A1AEB3" w:themeColor="accent2" w:themeTint="BF"/>
      </w:tblBorders>
    </w:tblPr>
    <w:tblStylePr w:type="firstRow">
      <w:pPr>
        <w:spacing w:before="0" w:after="0" w:line="240" w:lineRule="auto"/>
      </w:pPr>
      <w:rPr>
        <w:b/>
        <w:bCs/>
        <w:color w:val="FFFFFF" w:themeColor="background1"/>
      </w:rPr>
      <w:tblPr/>
      <w:tcPr>
        <w:tcBorders>
          <w:top w:val="single" w:sz="8"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shd w:val="clear" w:color="auto" w:fill="82939A" w:themeFill="accent2"/>
      </w:tcPr>
    </w:tblStylePr>
    <w:tblStylePr w:type="lastRow">
      <w:pPr>
        <w:spacing w:before="0" w:after="0" w:line="240" w:lineRule="auto"/>
      </w:pPr>
      <w:rPr>
        <w:b/>
        <w:bCs/>
      </w:rPr>
      <w:tblPr/>
      <w:tcPr>
        <w:tcBorders>
          <w:top w:val="double" w:sz="6" w:space="0" w:color="A1AEB3" w:themeColor="accent2" w:themeTint="BF"/>
          <w:left w:val="single" w:sz="8" w:space="0" w:color="A1AEB3" w:themeColor="accent2" w:themeTint="BF"/>
          <w:bottom w:val="single" w:sz="8" w:space="0" w:color="A1AEB3" w:themeColor="accent2" w:themeTint="BF"/>
          <w:right w:val="single" w:sz="8" w:space="0" w:color="A1AEB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E4E6" w:themeFill="accent2" w:themeFillTint="3F"/>
      </w:tcPr>
    </w:tblStylePr>
    <w:tblStylePr w:type="band1Horz">
      <w:tblPr/>
      <w:tcPr>
        <w:tcBorders>
          <w:insideH w:val="nil"/>
          <w:insideV w:val="nil"/>
        </w:tcBorders>
        <w:shd w:val="clear" w:color="auto" w:fill="E0E4E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169B"/>
    <w:pPr>
      <w:spacing w:after="0" w:line="240" w:lineRule="auto"/>
    </w:pPr>
    <w:tblPr>
      <w:tblStyleRowBandSize w:val="1"/>
      <w:tblStyleColBandSize w:val="1"/>
      <w:tbl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single" w:sz="8" w:space="0" w:color="EBF2F3" w:themeColor="accent3" w:themeTint="BF"/>
      </w:tblBorders>
    </w:tblPr>
    <w:tblStylePr w:type="firstRow">
      <w:pPr>
        <w:spacing w:before="0" w:after="0" w:line="240" w:lineRule="auto"/>
      </w:pPr>
      <w:rPr>
        <w:b/>
        <w:bCs/>
        <w:color w:val="FFFFFF" w:themeColor="background1"/>
      </w:rPr>
      <w:tblPr/>
      <w:tcPr>
        <w:tcBorders>
          <w:top w:val="single" w:sz="8"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shd w:val="clear" w:color="auto" w:fill="E5EFF0" w:themeFill="accent3"/>
      </w:tcPr>
    </w:tblStylePr>
    <w:tblStylePr w:type="lastRow">
      <w:pPr>
        <w:spacing w:before="0" w:after="0" w:line="240" w:lineRule="auto"/>
      </w:pPr>
      <w:rPr>
        <w:b/>
        <w:bCs/>
      </w:rPr>
      <w:tblPr/>
      <w:tcPr>
        <w:tcBorders>
          <w:top w:val="double" w:sz="6" w:space="0" w:color="EBF2F3" w:themeColor="accent3" w:themeTint="BF"/>
          <w:left w:val="single" w:sz="8" w:space="0" w:color="EBF2F3" w:themeColor="accent3" w:themeTint="BF"/>
          <w:bottom w:val="single" w:sz="8" w:space="0" w:color="EBF2F3" w:themeColor="accent3" w:themeTint="BF"/>
          <w:right w:val="single" w:sz="8" w:space="0" w:color="EBF2F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BFB" w:themeFill="accent3" w:themeFillTint="3F"/>
      </w:tcPr>
    </w:tblStylePr>
    <w:tblStylePr w:type="band1Horz">
      <w:tblPr/>
      <w:tcPr>
        <w:tcBorders>
          <w:insideH w:val="nil"/>
          <w:insideV w:val="nil"/>
        </w:tcBorders>
        <w:shd w:val="clear" w:color="auto" w:fill="F8FB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169B"/>
    <w:pPr>
      <w:spacing w:after="0" w:line="240" w:lineRule="auto"/>
    </w:pPr>
    <w:tblPr>
      <w:tblStyleRowBandSize w:val="1"/>
      <w:tblStyleColBandSize w:val="1"/>
      <w:tbl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single" w:sz="8" w:space="0" w:color="D9E4E6" w:themeColor="accent4" w:themeTint="BF"/>
      </w:tblBorders>
    </w:tblPr>
    <w:tblStylePr w:type="firstRow">
      <w:pPr>
        <w:spacing w:before="0" w:after="0" w:line="240" w:lineRule="auto"/>
      </w:pPr>
      <w:rPr>
        <w:b/>
        <w:bCs/>
        <w:color w:val="FFFFFF" w:themeColor="background1"/>
      </w:rPr>
      <w:tblPr/>
      <w:tcPr>
        <w:tcBorders>
          <w:top w:val="single" w:sz="8"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shd w:val="clear" w:color="auto" w:fill="CDDBDE" w:themeFill="accent4"/>
      </w:tcPr>
    </w:tblStylePr>
    <w:tblStylePr w:type="lastRow">
      <w:pPr>
        <w:spacing w:before="0" w:after="0" w:line="240" w:lineRule="auto"/>
      </w:pPr>
      <w:rPr>
        <w:b/>
        <w:bCs/>
      </w:rPr>
      <w:tblPr/>
      <w:tcPr>
        <w:tcBorders>
          <w:top w:val="double" w:sz="6" w:space="0" w:color="D9E4E6" w:themeColor="accent4" w:themeTint="BF"/>
          <w:left w:val="single" w:sz="8" w:space="0" w:color="D9E4E6" w:themeColor="accent4" w:themeTint="BF"/>
          <w:bottom w:val="single" w:sz="8" w:space="0" w:color="D9E4E6" w:themeColor="accent4" w:themeTint="BF"/>
          <w:right w:val="single" w:sz="8" w:space="0" w:color="D9E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2F6F6" w:themeFill="accent4" w:themeFillTint="3F"/>
      </w:tcPr>
    </w:tblStylePr>
    <w:tblStylePr w:type="band1Horz">
      <w:tblPr/>
      <w:tcPr>
        <w:tcBorders>
          <w:insideH w:val="nil"/>
          <w:insideV w:val="nil"/>
        </w:tcBorders>
        <w:shd w:val="clear" w:color="auto" w:fill="F2F6F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169B"/>
    <w:pPr>
      <w:spacing w:after="0" w:line="240" w:lineRule="auto"/>
    </w:pPr>
    <w:tblPr>
      <w:tblStyleRowBandSize w:val="1"/>
      <w:tblStyleColBandSize w:val="1"/>
      <w:tbl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single" w:sz="8" w:space="0" w:color="81929D" w:themeColor="accent5" w:themeTint="BF"/>
      </w:tblBorders>
    </w:tblPr>
    <w:tblStylePr w:type="firstRow">
      <w:pPr>
        <w:spacing w:before="0" w:after="0" w:line="240" w:lineRule="auto"/>
      </w:pPr>
      <w:rPr>
        <w:b/>
        <w:bCs/>
        <w:color w:val="FFFFFF" w:themeColor="background1"/>
      </w:rPr>
      <w:tblPr/>
      <w:tcPr>
        <w:tcBorders>
          <w:top w:val="single" w:sz="8"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shd w:val="clear" w:color="auto" w:fill="5D6D78" w:themeFill="accent5"/>
      </w:tcPr>
    </w:tblStylePr>
    <w:tblStylePr w:type="lastRow">
      <w:pPr>
        <w:spacing w:before="0" w:after="0" w:line="240" w:lineRule="auto"/>
      </w:pPr>
      <w:rPr>
        <w:b/>
        <w:bCs/>
      </w:rPr>
      <w:tblPr/>
      <w:tcPr>
        <w:tcBorders>
          <w:top w:val="double" w:sz="6" w:space="0" w:color="81929D" w:themeColor="accent5" w:themeTint="BF"/>
          <w:left w:val="single" w:sz="8" w:space="0" w:color="81929D" w:themeColor="accent5" w:themeTint="BF"/>
          <w:bottom w:val="single" w:sz="8" w:space="0" w:color="81929D" w:themeColor="accent5" w:themeTint="BF"/>
          <w:right w:val="single" w:sz="8" w:space="0" w:color="81929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5DBDE" w:themeFill="accent5" w:themeFillTint="3F"/>
      </w:tcPr>
    </w:tblStylePr>
    <w:tblStylePr w:type="band1Horz">
      <w:tblPr/>
      <w:tcPr>
        <w:tcBorders>
          <w:insideH w:val="nil"/>
          <w:insideV w:val="nil"/>
        </w:tcBorders>
        <w:shd w:val="clear" w:color="auto" w:fill="D5DBD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169B"/>
    <w:pPr>
      <w:spacing w:after="0" w:line="240" w:lineRule="auto"/>
    </w:pPr>
    <w:tblPr>
      <w:tblStyleRowBandSize w:val="1"/>
      <w:tblStyleColBandSize w:val="1"/>
      <w:tbl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single" w:sz="8" w:space="0" w:color="515573" w:themeColor="accent6" w:themeTint="BF"/>
      </w:tblBorders>
    </w:tblPr>
    <w:tblStylePr w:type="firstRow">
      <w:pPr>
        <w:spacing w:before="0" w:after="0" w:line="240" w:lineRule="auto"/>
      </w:pPr>
      <w:rPr>
        <w:b/>
        <w:bCs/>
        <w:color w:val="FFFFFF" w:themeColor="background1"/>
      </w:rPr>
      <w:tblPr/>
      <w:tcPr>
        <w:tcBorders>
          <w:top w:val="single" w:sz="8"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shd w:val="clear" w:color="auto" w:fill="262836" w:themeFill="accent6"/>
      </w:tcPr>
    </w:tblStylePr>
    <w:tblStylePr w:type="lastRow">
      <w:pPr>
        <w:spacing w:before="0" w:after="0" w:line="240" w:lineRule="auto"/>
      </w:pPr>
      <w:rPr>
        <w:b/>
        <w:bCs/>
      </w:rPr>
      <w:tblPr/>
      <w:tcPr>
        <w:tcBorders>
          <w:top w:val="double" w:sz="6" w:space="0" w:color="515573" w:themeColor="accent6" w:themeTint="BF"/>
          <w:left w:val="single" w:sz="8" w:space="0" w:color="515573" w:themeColor="accent6" w:themeTint="BF"/>
          <w:bottom w:val="single" w:sz="8" w:space="0" w:color="515573" w:themeColor="accent6" w:themeTint="BF"/>
          <w:right w:val="single" w:sz="8" w:space="0" w:color="51557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2C4D4" w:themeFill="accent6" w:themeFillTint="3F"/>
      </w:tcPr>
    </w:tblStylePr>
    <w:tblStylePr w:type="band1Horz">
      <w:tblPr/>
      <w:tcPr>
        <w:tcBorders>
          <w:insideH w:val="nil"/>
          <w:insideV w:val="nil"/>
        </w:tcBorders>
        <w:shd w:val="clear" w:color="auto" w:fill="C2C4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text1"/>
      </w:tcPr>
    </w:tblStylePr>
    <w:tblStylePr w:type="lastCol">
      <w:rPr>
        <w:b/>
        <w:bCs/>
        <w:color w:val="FFFFFF" w:themeColor="background1"/>
      </w:rPr>
      <w:tblPr/>
      <w:tcPr>
        <w:tcBorders>
          <w:left w:val="nil"/>
          <w:right w:val="nil"/>
          <w:insideH w:val="nil"/>
          <w:insideV w:val="nil"/>
        </w:tcBorders>
        <w:shd w:val="clear" w:color="auto" w:fill="5D6D7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00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0017" w:themeFill="accent1"/>
      </w:tcPr>
    </w:tblStylePr>
    <w:tblStylePr w:type="lastCol">
      <w:rPr>
        <w:b/>
        <w:bCs/>
        <w:color w:val="FFFFFF" w:themeColor="background1"/>
      </w:rPr>
      <w:tblPr/>
      <w:tcPr>
        <w:tcBorders>
          <w:left w:val="nil"/>
          <w:right w:val="nil"/>
          <w:insideH w:val="nil"/>
          <w:insideV w:val="nil"/>
        </w:tcBorders>
        <w:shd w:val="clear" w:color="auto" w:fill="EB00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939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2939A" w:themeFill="accent2"/>
      </w:tcPr>
    </w:tblStylePr>
    <w:tblStylePr w:type="lastCol">
      <w:rPr>
        <w:b/>
        <w:bCs/>
        <w:color w:val="FFFFFF" w:themeColor="background1"/>
      </w:rPr>
      <w:tblPr/>
      <w:tcPr>
        <w:tcBorders>
          <w:left w:val="nil"/>
          <w:right w:val="nil"/>
          <w:insideH w:val="nil"/>
          <w:insideV w:val="nil"/>
        </w:tcBorders>
        <w:shd w:val="clear" w:color="auto" w:fill="82939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FF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EFF0" w:themeFill="accent3"/>
      </w:tcPr>
    </w:tblStylePr>
    <w:tblStylePr w:type="lastCol">
      <w:rPr>
        <w:b/>
        <w:bCs/>
        <w:color w:val="FFFFFF" w:themeColor="background1"/>
      </w:rPr>
      <w:tblPr/>
      <w:tcPr>
        <w:tcBorders>
          <w:left w:val="nil"/>
          <w:right w:val="nil"/>
          <w:insideH w:val="nil"/>
          <w:insideV w:val="nil"/>
        </w:tcBorders>
        <w:shd w:val="clear" w:color="auto" w:fill="E5EFF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BD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DBDE" w:themeFill="accent4"/>
      </w:tcPr>
    </w:tblStylePr>
    <w:tblStylePr w:type="lastCol">
      <w:rPr>
        <w:b/>
        <w:bCs/>
        <w:color w:val="FFFFFF" w:themeColor="background1"/>
      </w:rPr>
      <w:tblPr/>
      <w:tcPr>
        <w:tcBorders>
          <w:left w:val="nil"/>
          <w:right w:val="nil"/>
          <w:insideH w:val="nil"/>
          <w:insideV w:val="nil"/>
        </w:tcBorders>
        <w:shd w:val="clear" w:color="auto" w:fill="CDDBD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D6D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D6D78" w:themeFill="accent5"/>
      </w:tcPr>
    </w:tblStylePr>
    <w:tblStylePr w:type="lastCol">
      <w:rPr>
        <w:b/>
        <w:bCs/>
        <w:color w:val="FFFFFF" w:themeColor="background1"/>
      </w:rPr>
      <w:tblPr/>
      <w:tcPr>
        <w:tcBorders>
          <w:left w:val="nil"/>
          <w:right w:val="nil"/>
          <w:insideH w:val="nil"/>
          <w:insideV w:val="nil"/>
        </w:tcBorders>
        <w:shd w:val="clear" w:color="auto" w:fill="5D6D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5169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8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2836" w:themeFill="accent6"/>
      </w:tcPr>
    </w:tblStylePr>
    <w:tblStylePr w:type="lastCol">
      <w:rPr>
        <w:b/>
        <w:bCs/>
        <w:color w:val="FFFFFF" w:themeColor="background1"/>
      </w:rPr>
      <w:tblPr/>
      <w:tcPr>
        <w:tcBorders>
          <w:left w:val="nil"/>
          <w:right w:val="nil"/>
          <w:insideH w:val="nil"/>
          <w:insideV w:val="nil"/>
        </w:tcBorders>
        <w:shd w:val="clear" w:color="auto" w:fill="2628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C5169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5169B"/>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unhideWhenUsed/>
    <w:rsid w:val="00C5169B"/>
    <w:rPr>
      <w:rFonts w:ascii="Times New Roman" w:hAnsi="Times New Roman" w:cs="Times New Roman"/>
      <w:sz w:val="24"/>
      <w:szCs w:val="24"/>
    </w:rPr>
  </w:style>
  <w:style w:type="paragraph" w:styleId="NormalIndent">
    <w:name w:val="Normal Indent"/>
    <w:basedOn w:val="Normal"/>
    <w:uiPriority w:val="99"/>
    <w:semiHidden/>
    <w:unhideWhenUsed/>
    <w:rsid w:val="00C5169B"/>
    <w:pPr>
      <w:ind w:left="720"/>
    </w:pPr>
  </w:style>
  <w:style w:type="paragraph" w:styleId="NoteHeading">
    <w:name w:val="Note Heading"/>
    <w:basedOn w:val="Normal"/>
    <w:next w:val="Normal"/>
    <w:link w:val="NoteHeadingChar"/>
    <w:uiPriority w:val="99"/>
    <w:semiHidden/>
    <w:unhideWhenUsed/>
    <w:rsid w:val="00C5169B"/>
    <w:pPr>
      <w:spacing w:after="0" w:line="240" w:lineRule="auto"/>
    </w:pPr>
  </w:style>
  <w:style w:type="character" w:customStyle="1" w:styleId="NoteHeadingChar">
    <w:name w:val="Note Heading Char"/>
    <w:basedOn w:val="DefaultParagraphFont"/>
    <w:link w:val="NoteHeading"/>
    <w:uiPriority w:val="99"/>
    <w:semiHidden/>
    <w:rsid w:val="00C5169B"/>
    <w:rPr>
      <w:sz w:val="20"/>
      <w:lang w:val="en-GB"/>
    </w:rPr>
  </w:style>
  <w:style w:type="character" w:styleId="PageNumber">
    <w:name w:val="page number"/>
    <w:basedOn w:val="DefaultParagraphFont"/>
    <w:uiPriority w:val="49"/>
    <w:semiHidden/>
    <w:rsid w:val="00C5169B"/>
    <w:rPr>
      <w:color w:val="5D6D78" w:themeColor="text1"/>
      <w:lang w:val="en-GB"/>
    </w:rPr>
  </w:style>
  <w:style w:type="character" w:styleId="PlaceholderText">
    <w:name w:val="Placeholder Text"/>
    <w:basedOn w:val="DefaultParagraphFont"/>
    <w:uiPriority w:val="99"/>
    <w:semiHidden/>
    <w:rsid w:val="00C5169B"/>
    <w:rPr>
      <w:color w:val="808080"/>
      <w:lang w:val="en-GB"/>
    </w:rPr>
  </w:style>
  <w:style w:type="paragraph" w:styleId="PlainText">
    <w:name w:val="Plain Text"/>
    <w:basedOn w:val="Normal"/>
    <w:link w:val="PlainTextChar"/>
    <w:uiPriority w:val="99"/>
    <w:semiHidden/>
    <w:unhideWhenUsed/>
    <w:rsid w:val="00C5169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5169B"/>
    <w:rPr>
      <w:rFonts w:ascii="Consolas" w:hAnsi="Consolas" w:cs="Consolas"/>
      <w:sz w:val="21"/>
      <w:szCs w:val="21"/>
      <w:lang w:val="en-GB"/>
    </w:rPr>
  </w:style>
  <w:style w:type="paragraph" w:styleId="Salutation">
    <w:name w:val="Salutation"/>
    <w:basedOn w:val="Normal"/>
    <w:next w:val="Normal"/>
    <w:link w:val="SalutationChar"/>
    <w:uiPriority w:val="99"/>
    <w:semiHidden/>
    <w:unhideWhenUsed/>
    <w:rsid w:val="00C5169B"/>
  </w:style>
  <w:style w:type="character" w:customStyle="1" w:styleId="SalutationChar">
    <w:name w:val="Salutation Char"/>
    <w:basedOn w:val="DefaultParagraphFont"/>
    <w:link w:val="Salutation"/>
    <w:uiPriority w:val="99"/>
    <w:semiHidden/>
    <w:rsid w:val="00C5169B"/>
    <w:rPr>
      <w:sz w:val="20"/>
      <w:lang w:val="en-GB"/>
    </w:rPr>
  </w:style>
  <w:style w:type="paragraph" w:styleId="Signature">
    <w:name w:val="Signature"/>
    <w:basedOn w:val="Normal"/>
    <w:link w:val="SignatureChar"/>
    <w:uiPriority w:val="99"/>
    <w:semiHidden/>
    <w:unhideWhenUsed/>
    <w:rsid w:val="00C5169B"/>
    <w:pPr>
      <w:spacing w:after="0" w:line="240" w:lineRule="auto"/>
      <w:ind w:left="4252"/>
    </w:pPr>
  </w:style>
  <w:style w:type="character" w:customStyle="1" w:styleId="SignatureChar">
    <w:name w:val="Signature Char"/>
    <w:basedOn w:val="DefaultParagraphFont"/>
    <w:link w:val="Signature"/>
    <w:uiPriority w:val="99"/>
    <w:semiHidden/>
    <w:rsid w:val="00C5169B"/>
    <w:rPr>
      <w:sz w:val="20"/>
      <w:lang w:val="en-GB"/>
    </w:rPr>
  </w:style>
  <w:style w:type="table" w:styleId="Table3Deffects1">
    <w:name w:val="Table 3D effects 1"/>
    <w:basedOn w:val="TableNormal"/>
    <w:uiPriority w:val="99"/>
    <w:semiHidden/>
    <w:unhideWhenUsed/>
    <w:rsid w:val="00C5169B"/>
    <w:pPr>
      <w:spacing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5169B"/>
    <w:pPr>
      <w:spacing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5169B"/>
    <w:pPr>
      <w:spacing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5169B"/>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5169B"/>
    <w:pPr>
      <w:spacing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5169B"/>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5169B"/>
    <w:pPr>
      <w:spacing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5169B"/>
    <w:pPr>
      <w:spacing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5169B"/>
    <w:pPr>
      <w:spacing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5169B"/>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5169B"/>
    <w:pPr>
      <w:spacing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5169B"/>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5169B"/>
    <w:pPr>
      <w:spacing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5169B"/>
    <w:pPr>
      <w:spacing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5169B"/>
    <w:pPr>
      <w:spacing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5169B"/>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5169B"/>
    <w:pPr>
      <w:spacing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5169B"/>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5169B"/>
    <w:pPr>
      <w:spacing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5169B"/>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5169B"/>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5169B"/>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5169B"/>
    <w:pPr>
      <w:spacing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5169B"/>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5169B"/>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5169B"/>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5169B"/>
    <w:pPr>
      <w:spacing w:after="0"/>
      <w:ind w:left="200" w:hanging="200"/>
    </w:pPr>
  </w:style>
  <w:style w:type="paragraph" w:styleId="TableofFigures">
    <w:name w:val="table of figures"/>
    <w:basedOn w:val="Normal"/>
    <w:next w:val="Normal"/>
    <w:uiPriority w:val="99"/>
    <w:semiHidden/>
    <w:unhideWhenUsed/>
    <w:rsid w:val="00C5169B"/>
    <w:pPr>
      <w:spacing w:after="0"/>
    </w:pPr>
  </w:style>
  <w:style w:type="table" w:styleId="TableProfessional">
    <w:name w:val="Table Professional"/>
    <w:basedOn w:val="TableNormal"/>
    <w:uiPriority w:val="99"/>
    <w:semiHidden/>
    <w:unhideWhenUsed/>
    <w:rsid w:val="00C516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5169B"/>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5169B"/>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5169B"/>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5169B"/>
    <w:pPr>
      <w:spacing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5169B"/>
    <w:pPr>
      <w:spacing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5169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5169B"/>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5169B"/>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5169B"/>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5169B"/>
    <w:pPr>
      <w:spacing w:before="120"/>
    </w:pPr>
    <w:rPr>
      <w:rFonts w:asciiTheme="majorHAnsi" w:eastAsiaTheme="majorEastAsia" w:hAnsiTheme="majorHAnsi" w:cstheme="majorBidi"/>
      <w:b/>
      <w:bCs/>
      <w:sz w:val="24"/>
      <w:szCs w:val="24"/>
    </w:rPr>
  </w:style>
  <w:style w:type="paragraph" w:styleId="TOC1">
    <w:name w:val="toc 1"/>
    <w:basedOn w:val="BodyText"/>
    <w:uiPriority w:val="39"/>
    <w:rsid w:val="00C5169B"/>
    <w:pPr>
      <w:tabs>
        <w:tab w:val="right" w:leader="dot" w:pos="8505"/>
      </w:tabs>
      <w:spacing w:before="120" w:after="60"/>
    </w:pPr>
    <w:rPr>
      <w:noProof/>
      <w:color w:val="262836" w:themeColor="text2"/>
    </w:rPr>
  </w:style>
  <w:style w:type="paragraph" w:styleId="TOC2">
    <w:name w:val="toc 2"/>
    <w:basedOn w:val="TOC1"/>
    <w:uiPriority w:val="39"/>
    <w:unhideWhenUsed/>
    <w:rsid w:val="00C5169B"/>
    <w:pPr>
      <w:spacing w:before="0"/>
      <w:ind w:left="284"/>
    </w:pPr>
    <w:rPr>
      <w:sz w:val="16"/>
    </w:rPr>
  </w:style>
  <w:style w:type="paragraph" w:styleId="TOC3">
    <w:name w:val="toc 3"/>
    <w:basedOn w:val="TOC2"/>
    <w:uiPriority w:val="39"/>
    <w:unhideWhenUsed/>
    <w:rsid w:val="00C5169B"/>
    <w:pPr>
      <w:ind w:left="170" w:hanging="170"/>
    </w:pPr>
  </w:style>
  <w:style w:type="paragraph" w:styleId="TOC4">
    <w:name w:val="toc 4"/>
    <w:basedOn w:val="Normal"/>
    <w:next w:val="Normal"/>
    <w:autoRedefine/>
    <w:uiPriority w:val="39"/>
    <w:semiHidden/>
    <w:rsid w:val="00C5169B"/>
    <w:pPr>
      <w:spacing w:after="100"/>
      <w:ind w:left="600"/>
    </w:pPr>
  </w:style>
  <w:style w:type="paragraph" w:styleId="TOC5">
    <w:name w:val="toc 5"/>
    <w:basedOn w:val="Normal"/>
    <w:next w:val="Normal"/>
    <w:autoRedefine/>
    <w:uiPriority w:val="39"/>
    <w:semiHidden/>
    <w:unhideWhenUsed/>
    <w:rsid w:val="00C5169B"/>
    <w:pPr>
      <w:spacing w:after="100"/>
      <w:ind w:left="800"/>
    </w:pPr>
  </w:style>
  <w:style w:type="paragraph" w:styleId="TOC6">
    <w:name w:val="toc 6"/>
    <w:basedOn w:val="Normal"/>
    <w:next w:val="Normal"/>
    <w:autoRedefine/>
    <w:uiPriority w:val="39"/>
    <w:semiHidden/>
    <w:unhideWhenUsed/>
    <w:rsid w:val="00C5169B"/>
    <w:pPr>
      <w:spacing w:after="100"/>
      <w:ind w:left="1000"/>
    </w:pPr>
  </w:style>
  <w:style w:type="paragraph" w:styleId="TOC7">
    <w:name w:val="toc 7"/>
    <w:basedOn w:val="TOC1"/>
    <w:uiPriority w:val="39"/>
    <w:semiHidden/>
    <w:rsid w:val="00A73576"/>
    <w:pPr>
      <w:tabs>
        <w:tab w:val="right" w:leader="dot" w:pos="3175"/>
      </w:tabs>
      <w:spacing w:before="60" w:after="0"/>
    </w:pPr>
  </w:style>
  <w:style w:type="paragraph" w:styleId="TOC8">
    <w:name w:val="toc 8"/>
    <w:basedOn w:val="TOC7"/>
    <w:uiPriority w:val="39"/>
    <w:semiHidden/>
    <w:rsid w:val="00C5169B"/>
    <w:pPr>
      <w:framePr w:wrap="around" w:hAnchor="text"/>
      <w:spacing w:before="0"/>
    </w:pPr>
    <w:rPr>
      <w:sz w:val="16"/>
    </w:rPr>
  </w:style>
  <w:style w:type="paragraph" w:styleId="TOC9">
    <w:name w:val="toc 9"/>
    <w:basedOn w:val="Normal"/>
    <w:next w:val="Normal"/>
    <w:autoRedefine/>
    <w:uiPriority w:val="39"/>
    <w:semiHidden/>
    <w:unhideWhenUsed/>
    <w:rsid w:val="00C5169B"/>
    <w:pPr>
      <w:spacing w:after="100"/>
      <w:ind w:left="1600"/>
    </w:pPr>
  </w:style>
  <w:style w:type="paragraph" w:styleId="TOCHeading">
    <w:name w:val="TOC Heading"/>
    <w:aliases w:val="Aon TOC Heading"/>
    <w:basedOn w:val="Heading1"/>
    <w:next w:val="TOC1"/>
    <w:uiPriority w:val="39"/>
    <w:qFormat/>
    <w:rsid w:val="00C5169B"/>
    <w:pPr>
      <w:outlineLvl w:val="9"/>
    </w:pPr>
    <w:rPr>
      <w:szCs w:val="52"/>
    </w:rPr>
  </w:style>
  <w:style w:type="paragraph" w:customStyle="1" w:styleId="LeadParagraph">
    <w:name w:val="Lead Paragraph"/>
    <w:basedOn w:val="BodyText"/>
    <w:next w:val="BodyText"/>
    <w:uiPriority w:val="10"/>
    <w:qFormat/>
    <w:rsid w:val="000E1119"/>
    <w:pPr>
      <w:spacing w:after="240"/>
    </w:pPr>
    <w:rPr>
      <w:color w:val="5D6D78" w:themeColor="accent5"/>
      <w:sz w:val="26"/>
      <w:szCs w:val="28"/>
    </w:rPr>
  </w:style>
  <w:style w:type="paragraph" w:customStyle="1" w:styleId="ContactRole">
    <w:name w:val="Contact Role"/>
    <w:basedOn w:val="BodyText"/>
    <w:next w:val="ContactDetails"/>
    <w:uiPriority w:val="21"/>
    <w:rsid w:val="00C5169B"/>
    <w:rPr>
      <w:sz w:val="18"/>
      <w:szCs w:val="16"/>
    </w:rPr>
  </w:style>
  <w:style w:type="paragraph" w:customStyle="1" w:styleId="SECTIONBackCover">
    <w:name w:val="__SECTION BackCover"/>
    <w:basedOn w:val="BaseSECTION"/>
    <w:next w:val="BodyText"/>
    <w:semiHidden/>
    <w:rsid w:val="00C5169B"/>
  </w:style>
  <w:style w:type="paragraph" w:customStyle="1" w:styleId="SECTIONAppendix">
    <w:name w:val="__SECTION Appendix"/>
    <w:basedOn w:val="BaseSECTION"/>
    <w:next w:val="BodyText"/>
    <w:semiHidden/>
    <w:rsid w:val="00C5169B"/>
  </w:style>
  <w:style w:type="paragraph" w:customStyle="1" w:styleId="SECTIONLandscape">
    <w:name w:val="__SECTION Landscape"/>
    <w:basedOn w:val="BaseSECTION"/>
    <w:next w:val="BodyText"/>
    <w:semiHidden/>
    <w:rsid w:val="00C5169B"/>
  </w:style>
  <w:style w:type="paragraph" w:customStyle="1" w:styleId="FigureTitle">
    <w:name w:val="Figure Title"/>
    <w:basedOn w:val="BodyText"/>
    <w:uiPriority w:val="12"/>
    <w:qFormat/>
    <w:rsid w:val="00C5169B"/>
    <w:pPr>
      <w:keepNext/>
      <w:keepLines/>
      <w:spacing w:after="0"/>
    </w:pPr>
    <w:rPr>
      <w:b/>
      <w:color w:val="46535E"/>
      <w:sz w:val="18"/>
    </w:rPr>
  </w:style>
  <w:style w:type="table" w:customStyle="1" w:styleId="DataBasic">
    <w:name w:val="Data Basic"/>
    <w:basedOn w:val="TableNormal"/>
    <w:uiPriority w:val="99"/>
    <w:rsid w:val="001F76FE"/>
    <w:pPr>
      <w:spacing w:before="40" w:after="40" w:line="240" w:lineRule="auto"/>
      <w:ind w:left="79" w:right="79"/>
      <w:jc w:val="right"/>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LinkedPH">
    <w:name w:val="__Linked PH"/>
    <w:basedOn w:val="BaseText"/>
    <w:next w:val="BodyText"/>
    <w:semiHidden/>
    <w:rsid w:val="00C5169B"/>
    <w:pPr>
      <w:spacing w:line="20" w:lineRule="exact"/>
    </w:pPr>
    <w:rPr>
      <w:sz w:val="17"/>
      <w:szCs w:val="20"/>
    </w:rPr>
  </w:style>
  <w:style w:type="paragraph" w:customStyle="1" w:styleId="SECTIONMargin">
    <w:name w:val="__SECTION Margin"/>
    <w:basedOn w:val="BaseSECTION"/>
    <w:next w:val="BodyText"/>
    <w:semiHidden/>
    <w:rsid w:val="00C5169B"/>
  </w:style>
  <w:style w:type="paragraph" w:customStyle="1" w:styleId="SECTIONGrey">
    <w:name w:val="__SECTION Grey"/>
    <w:basedOn w:val="BaseSECTION"/>
    <w:next w:val="BodyText"/>
    <w:semiHidden/>
    <w:rsid w:val="00C5169B"/>
  </w:style>
  <w:style w:type="paragraph" w:customStyle="1" w:styleId="BackPageText">
    <w:name w:val="Back Page Text"/>
    <w:basedOn w:val="BodyText"/>
    <w:uiPriority w:val="34"/>
    <w:semiHidden/>
    <w:rsid w:val="00A61EBB"/>
    <w:rPr>
      <w:sz w:val="14"/>
      <w:szCs w:val="18"/>
    </w:rPr>
  </w:style>
  <w:style w:type="character" w:customStyle="1" w:styleId="DocumentStatusChar">
    <w:name w:val="Document Status Char"/>
    <w:basedOn w:val="FooterChar"/>
    <w:link w:val="DocumentStatus"/>
    <w:uiPriority w:val="41"/>
    <w:semiHidden/>
    <w:rsid w:val="0010456F"/>
    <w:rPr>
      <w:b/>
      <w:bCs/>
      <w:caps/>
      <w:color w:val="EB0017" w:themeColor="accent1"/>
      <w:sz w:val="20"/>
      <w:szCs w:val="20"/>
      <w:lang w:val="en-GB"/>
    </w:rPr>
  </w:style>
  <w:style w:type="paragraph" w:customStyle="1" w:styleId="Smallparagraph">
    <w:name w:val="Small paragraph"/>
    <w:basedOn w:val="BodyText"/>
    <w:next w:val="BodyText"/>
    <w:uiPriority w:val="33"/>
    <w:rsid w:val="00C5169B"/>
    <w:pPr>
      <w:spacing w:after="0" w:line="160" w:lineRule="exact"/>
    </w:pPr>
  </w:style>
  <w:style w:type="paragraph" w:customStyle="1" w:styleId="SECTIONToC">
    <w:name w:val="__SECTION ToC"/>
    <w:basedOn w:val="BaseSECTION"/>
    <w:next w:val="BodyText"/>
    <w:semiHidden/>
    <w:rsid w:val="00C5169B"/>
  </w:style>
  <w:style w:type="paragraph" w:customStyle="1" w:styleId="QuoteSource">
    <w:name w:val="Quote Source"/>
    <w:basedOn w:val="BodyText"/>
    <w:next w:val="BodyText"/>
    <w:uiPriority w:val="20"/>
    <w:rsid w:val="00C5169B"/>
    <w:pPr>
      <w:spacing w:after="240"/>
      <w:contextualSpacing/>
    </w:pPr>
    <w:rPr>
      <w:rFonts w:asciiTheme="majorHAnsi" w:hAnsiTheme="majorHAnsi"/>
      <w:b/>
      <w:bCs/>
      <w:sz w:val="16"/>
      <w:szCs w:val="24"/>
    </w:rPr>
  </w:style>
  <w:style w:type="paragraph" w:customStyle="1" w:styleId="DividerSubtitle">
    <w:name w:val="Divider Subtitle"/>
    <w:basedOn w:val="BaseHeading"/>
    <w:next w:val="BodyText"/>
    <w:uiPriority w:val="23"/>
    <w:rsid w:val="00C5169B"/>
    <w:pPr>
      <w:keepNext w:val="0"/>
    </w:pPr>
    <w:rPr>
      <w:color w:val="5D6D78" w:themeColor="text1"/>
      <w:sz w:val="36"/>
      <w:szCs w:val="36"/>
    </w:rPr>
  </w:style>
  <w:style w:type="paragraph" w:customStyle="1" w:styleId="DividerTitle">
    <w:name w:val="Divider Title"/>
    <w:basedOn w:val="BaseHeading"/>
    <w:next w:val="DividerSubtitle"/>
    <w:uiPriority w:val="22"/>
    <w:rsid w:val="000C255C"/>
    <w:pPr>
      <w:keepNext w:val="0"/>
    </w:pPr>
    <w:rPr>
      <w:color w:val="46535E"/>
      <w:sz w:val="80"/>
      <w:szCs w:val="80"/>
    </w:rPr>
  </w:style>
  <w:style w:type="paragraph" w:customStyle="1" w:styleId="SECTIONDivider">
    <w:name w:val="__SECTION Divider"/>
    <w:basedOn w:val="BaseSECTION"/>
    <w:next w:val="BodyText"/>
    <w:semiHidden/>
    <w:rsid w:val="00C5169B"/>
  </w:style>
  <w:style w:type="paragraph" w:customStyle="1" w:styleId="TableHeading">
    <w:name w:val="Table Heading"/>
    <w:basedOn w:val="TableText"/>
    <w:uiPriority w:val="14"/>
    <w:rsid w:val="00C5169B"/>
    <w:rPr>
      <w:b/>
      <w:color w:val="46535E"/>
    </w:rPr>
  </w:style>
  <w:style w:type="paragraph" w:customStyle="1" w:styleId="CalloutHeading">
    <w:name w:val="Callout Heading"/>
    <w:basedOn w:val="BaseHeading"/>
    <w:next w:val="BodyText"/>
    <w:uiPriority w:val="10"/>
    <w:qFormat/>
    <w:rsid w:val="00C5169B"/>
    <w:pPr>
      <w:spacing w:after="60"/>
    </w:pPr>
    <w:rPr>
      <w:color w:val="007585"/>
      <w:sz w:val="28"/>
    </w:rPr>
  </w:style>
  <w:style w:type="numbering" w:customStyle="1" w:styleId="ListBullets">
    <w:name w:val="_List Bullets"/>
    <w:uiPriority w:val="99"/>
    <w:rsid w:val="00C5169B"/>
    <w:pPr>
      <w:numPr>
        <w:numId w:val="1"/>
      </w:numPr>
    </w:pPr>
  </w:style>
  <w:style w:type="numbering" w:customStyle="1" w:styleId="ListNumbers">
    <w:name w:val="_List Numbers"/>
    <w:uiPriority w:val="99"/>
    <w:rsid w:val="00C5169B"/>
    <w:pPr>
      <w:numPr>
        <w:numId w:val="2"/>
      </w:numPr>
    </w:pPr>
  </w:style>
  <w:style w:type="paragraph" w:customStyle="1" w:styleId="CoverText">
    <w:name w:val="Cover Text"/>
    <w:basedOn w:val="Date"/>
    <w:uiPriority w:val="27"/>
    <w:semiHidden/>
    <w:rsid w:val="00C5169B"/>
    <w:pPr>
      <w:spacing w:after="60"/>
    </w:pPr>
  </w:style>
  <w:style w:type="paragraph" w:customStyle="1" w:styleId="TOCHeadingmargin">
    <w:name w:val="TOC Heading margin"/>
    <w:basedOn w:val="Heading2"/>
    <w:uiPriority w:val="38"/>
    <w:semiHidden/>
    <w:rsid w:val="00A73576"/>
    <w:pPr>
      <w:spacing w:before="0" w:after="120"/>
      <w:outlineLvl w:val="9"/>
    </w:pPr>
    <w:rPr>
      <w:color w:val="262836" w:themeColor="text2"/>
    </w:rPr>
  </w:style>
  <w:style w:type="numbering" w:customStyle="1" w:styleId="TOCBullets">
    <w:name w:val="_TOC Bullets"/>
    <w:uiPriority w:val="99"/>
    <w:rsid w:val="00C5169B"/>
    <w:pPr>
      <w:numPr>
        <w:numId w:val="5"/>
      </w:numPr>
    </w:pPr>
  </w:style>
  <w:style w:type="numbering" w:customStyle="1" w:styleId="TOCBulletsMargin">
    <w:name w:val="_TOC Bullets Margin"/>
    <w:rsid w:val="00C5169B"/>
    <w:pPr>
      <w:numPr>
        <w:numId w:val="6"/>
      </w:numPr>
    </w:pPr>
  </w:style>
  <w:style w:type="paragraph" w:customStyle="1" w:styleId="FigureSource">
    <w:name w:val="Figure Source"/>
    <w:basedOn w:val="BodyText"/>
    <w:next w:val="BodyText"/>
    <w:uiPriority w:val="13"/>
    <w:qFormat/>
    <w:rsid w:val="00C5169B"/>
    <w:pPr>
      <w:spacing w:before="60"/>
    </w:pPr>
    <w:rPr>
      <w:sz w:val="16"/>
    </w:rPr>
  </w:style>
  <w:style w:type="paragraph" w:customStyle="1" w:styleId="NotesHeading">
    <w:name w:val="Notes Heading"/>
    <w:basedOn w:val="NotesText"/>
    <w:next w:val="NotesText"/>
    <w:uiPriority w:val="17"/>
    <w:qFormat/>
    <w:rsid w:val="00C5169B"/>
    <w:rPr>
      <w:b/>
      <w:bCs/>
      <w:color w:val="262836" w:themeColor="text2"/>
    </w:rPr>
  </w:style>
  <w:style w:type="paragraph" w:customStyle="1" w:styleId="NotesText">
    <w:name w:val="Notes Text"/>
    <w:basedOn w:val="BodyText"/>
    <w:uiPriority w:val="17"/>
    <w:qFormat/>
    <w:rsid w:val="00C5169B"/>
    <w:pPr>
      <w:spacing w:after="0"/>
    </w:pPr>
    <w:rPr>
      <w:sz w:val="14"/>
      <w:szCs w:val="14"/>
    </w:rPr>
  </w:style>
  <w:style w:type="paragraph" w:customStyle="1" w:styleId="AppendixHeading">
    <w:name w:val="Appendix Heading"/>
    <w:basedOn w:val="Heading1"/>
    <w:next w:val="BodyText"/>
    <w:uiPriority w:val="25"/>
    <w:qFormat/>
    <w:rsid w:val="00C5169B"/>
    <w:rPr>
      <w:szCs w:val="56"/>
    </w:rPr>
  </w:style>
  <w:style w:type="character" w:customStyle="1" w:styleId="WhiteHighlight">
    <w:name w:val="White Highlight"/>
    <w:basedOn w:val="DefaultParagraphFont"/>
    <w:uiPriority w:val="37"/>
    <w:semiHidden/>
    <w:rsid w:val="00C5169B"/>
    <w:rPr>
      <w:rFonts w:asciiTheme="majorHAnsi" w:hAnsiTheme="majorHAnsi"/>
      <w:color w:val="FFFFFF" w:themeColor="background1"/>
      <w:lang w:val="en-GB"/>
    </w:rPr>
  </w:style>
  <w:style w:type="paragraph" w:customStyle="1" w:styleId="BackPageHeading">
    <w:name w:val="Back Page Heading"/>
    <w:basedOn w:val="BackPageText"/>
    <w:next w:val="BackPageText"/>
    <w:uiPriority w:val="34"/>
    <w:semiHidden/>
    <w:rsid w:val="001810D0"/>
    <w:pPr>
      <w:spacing w:before="60" w:after="0"/>
    </w:pPr>
    <w:rPr>
      <w:b/>
      <w:bCs/>
      <w:color w:val="46535E"/>
    </w:rPr>
  </w:style>
  <w:style w:type="paragraph" w:customStyle="1" w:styleId="AboutAonText">
    <w:name w:val="About Aon Text"/>
    <w:basedOn w:val="BodyText"/>
    <w:uiPriority w:val="34"/>
    <w:semiHidden/>
    <w:rsid w:val="00C5169B"/>
  </w:style>
  <w:style w:type="paragraph" w:customStyle="1" w:styleId="NotesBullet">
    <w:name w:val="Notes Bullet"/>
    <w:basedOn w:val="NotesText"/>
    <w:uiPriority w:val="18"/>
    <w:qFormat/>
    <w:rsid w:val="00C5169B"/>
    <w:pPr>
      <w:numPr>
        <w:numId w:val="24"/>
      </w:numPr>
    </w:pPr>
  </w:style>
  <w:style w:type="numbering" w:customStyle="1" w:styleId="NotesBullets">
    <w:name w:val="_Notes Bullets"/>
    <w:rsid w:val="00C5169B"/>
    <w:pPr>
      <w:numPr>
        <w:numId w:val="3"/>
      </w:numPr>
    </w:pPr>
  </w:style>
  <w:style w:type="paragraph" w:customStyle="1" w:styleId="DividerTitleWhite">
    <w:name w:val="Divider Title White"/>
    <w:basedOn w:val="DividerTitle"/>
    <w:next w:val="DividerSubtitleWhite"/>
    <w:uiPriority w:val="22"/>
    <w:rsid w:val="00C5169B"/>
    <w:rPr>
      <w:color w:val="FFFFFF" w:themeColor="background1"/>
    </w:rPr>
  </w:style>
  <w:style w:type="paragraph" w:customStyle="1" w:styleId="FPDocStatus">
    <w:name w:val="FP Doc Status"/>
    <w:basedOn w:val="DocumentStatus"/>
    <w:uiPriority w:val="40"/>
    <w:semiHidden/>
    <w:rsid w:val="00E16C48"/>
    <w:pPr>
      <w:spacing w:after="60" w:line="204" w:lineRule="auto"/>
      <w:jc w:val="right"/>
    </w:pPr>
    <w:rPr>
      <w:sz w:val="36"/>
      <w:szCs w:val="48"/>
    </w:rPr>
  </w:style>
  <w:style w:type="paragraph" w:customStyle="1" w:styleId="NotesNumber">
    <w:name w:val="Notes Number"/>
    <w:basedOn w:val="NotesText"/>
    <w:uiPriority w:val="18"/>
    <w:qFormat/>
    <w:rsid w:val="00C5169B"/>
    <w:pPr>
      <w:numPr>
        <w:numId w:val="25"/>
      </w:numPr>
    </w:pPr>
  </w:style>
  <w:style w:type="numbering" w:customStyle="1" w:styleId="NotesNumbers">
    <w:name w:val="_Notes Numbers"/>
    <w:uiPriority w:val="99"/>
    <w:rsid w:val="00C5169B"/>
    <w:pPr>
      <w:numPr>
        <w:numId w:val="4"/>
      </w:numPr>
    </w:pPr>
  </w:style>
  <w:style w:type="table" w:styleId="GridTable1Light">
    <w:name w:val="Grid Table 1 Light"/>
    <w:basedOn w:val="TableNormal"/>
    <w:uiPriority w:val="46"/>
    <w:rsid w:val="00C5169B"/>
    <w:pPr>
      <w:spacing w:after="0" w:line="240" w:lineRule="auto"/>
    </w:pPr>
    <w:tblPr>
      <w:tblStyleRowBandSize w:val="1"/>
      <w:tblStyleColBandSize w:val="1"/>
      <w:tblBorders>
        <w:top w:val="single" w:sz="4" w:space="0" w:color="BBC4CB" w:themeColor="text1" w:themeTint="66"/>
        <w:left w:val="single" w:sz="4" w:space="0" w:color="BBC4CB" w:themeColor="text1" w:themeTint="66"/>
        <w:bottom w:val="single" w:sz="4" w:space="0" w:color="BBC4CB" w:themeColor="text1" w:themeTint="66"/>
        <w:right w:val="single" w:sz="4" w:space="0" w:color="BBC4CB" w:themeColor="text1" w:themeTint="66"/>
        <w:insideH w:val="single" w:sz="4" w:space="0" w:color="BBC4CB" w:themeColor="text1" w:themeTint="66"/>
        <w:insideV w:val="single" w:sz="4" w:space="0" w:color="BBC4CB" w:themeColor="text1" w:themeTint="66"/>
      </w:tblBorders>
    </w:tblPr>
    <w:tblStylePr w:type="firstRow">
      <w:rPr>
        <w:b/>
        <w:bCs/>
      </w:rPr>
      <w:tblPr/>
      <w:tcPr>
        <w:tcBorders>
          <w:bottom w:val="single" w:sz="12" w:space="0" w:color="9AA7B1" w:themeColor="text1" w:themeTint="99"/>
        </w:tcBorders>
      </w:tcPr>
    </w:tblStylePr>
    <w:tblStylePr w:type="lastRow">
      <w:rPr>
        <w:b/>
        <w:bCs/>
      </w:rPr>
      <w:tblPr/>
      <w:tcPr>
        <w:tcBorders>
          <w:top w:val="double" w:sz="2" w:space="0" w:color="9AA7B1"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69B"/>
    <w:pPr>
      <w:spacing w:after="0" w:line="240" w:lineRule="auto"/>
    </w:pPr>
    <w:tblPr>
      <w:tblStyleRowBandSize w:val="1"/>
      <w:tblStyleColBandSize w:val="1"/>
      <w:tblBorders>
        <w:top w:val="single" w:sz="4" w:space="0" w:color="FF919B" w:themeColor="accent1" w:themeTint="66"/>
        <w:left w:val="single" w:sz="4" w:space="0" w:color="FF919B" w:themeColor="accent1" w:themeTint="66"/>
        <w:bottom w:val="single" w:sz="4" w:space="0" w:color="FF919B" w:themeColor="accent1" w:themeTint="66"/>
        <w:right w:val="single" w:sz="4" w:space="0" w:color="FF919B" w:themeColor="accent1" w:themeTint="66"/>
        <w:insideH w:val="single" w:sz="4" w:space="0" w:color="FF919B" w:themeColor="accent1" w:themeTint="66"/>
        <w:insideV w:val="single" w:sz="4" w:space="0" w:color="FF919B" w:themeColor="accent1" w:themeTint="66"/>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2" w:space="0" w:color="FF5A69"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5169B"/>
    <w:pPr>
      <w:spacing w:after="0" w:line="240" w:lineRule="auto"/>
    </w:pPr>
    <w:tblPr>
      <w:tblStyleRowBandSize w:val="1"/>
      <w:tblStyleColBandSize w:val="1"/>
      <w:tblBorders>
        <w:top w:val="single" w:sz="4" w:space="0" w:color="CCD3D6" w:themeColor="accent2" w:themeTint="66"/>
        <w:left w:val="single" w:sz="4" w:space="0" w:color="CCD3D6" w:themeColor="accent2" w:themeTint="66"/>
        <w:bottom w:val="single" w:sz="4" w:space="0" w:color="CCD3D6" w:themeColor="accent2" w:themeTint="66"/>
        <w:right w:val="single" w:sz="4" w:space="0" w:color="CCD3D6" w:themeColor="accent2" w:themeTint="66"/>
        <w:insideH w:val="single" w:sz="4" w:space="0" w:color="CCD3D6" w:themeColor="accent2" w:themeTint="66"/>
        <w:insideV w:val="single" w:sz="4" w:space="0" w:color="CCD3D6" w:themeColor="accent2" w:themeTint="66"/>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2" w:space="0" w:color="B3BEC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5169B"/>
    <w:pPr>
      <w:spacing w:after="0" w:line="240" w:lineRule="auto"/>
    </w:pPr>
    <w:tblPr>
      <w:tblStyleRowBandSize w:val="1"/>
      <w:tblStyleColBandSize w:val="1"/>
      <w:tblBorders>
        <w:top w:val="single" w:sz="4" w:space="0" w:color="F4F8F9" w:themeColor="accent3" w:themeTint="66"/>
        <w:left w:val="single" w:sz="4" w:space="0" w:color="F4F8F9" w:themeColor="accent3" w:themeTint="66"/>
        <w:bottom w:val="single" w:sz="4" w:space="0" w:color="F4F8F9" w:themeColor="accent3" w:themeTint="66"/>
        <w:right w:val="single" w:sz="4" w:space="0" w:color="F4F8F9" w:themeColor="accent3" w:themeTint="66"/>
        <w:insideH w:val="single" w:sz="4" w:space="0" w:color="F4F8F9" w:themeColor="accent3" w:themeTint="66"/>
        <w:insideV w:val="single" w:sz="4" w:space="0" w:color="F4F8F9" w:themeColor="accent3" w:themeTint="66"/>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2" w:space="0" w:color="EFF5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5169B"/>
    <w:pPr>
      <w:spacing w:after="0" w:line="240" w:lineRule="auto"/>
    </w:pPr>
    <w:tblPr>
      <w:tblStyleRowBandSize w:val="1"/>
      <w:tblStyleColBandSize w:val="1"/>
      <w:tblBorders>
        <w:top w:val="single" w:sz="4" w:space="0" w:color="EAF0F1" w:themeColor="accent4" w:themeTint="66"/>
        <w:left w:val="single" w:sz="4" w:space="0" w:color="EAF0F1" w:themeColor="accent4" w:themeTint="66"/>
        <w:bottom w:val="single" w:sz="4" w:space="0" w:color="EAF0F1" w:themeColor="accent4" w:themeTint="66"/>
        <w:right w:val="single" w:sz="4" w:space="0" w:color="EAF0F1" w:themeColor="accent4" w:themeTint="66"/>
        <w:insideH w:val="single" w:sz="4" w:space="0" w:color="EAF0F1" w:themeColor="accent4" w:themeTint="66"/>
        <w:insideV w:val="single" w:sz="4" w:space="0" w:color="EAF0F1" w:themeColor="accent4" w:themeTint="66"/>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2" w:space="0" w:color="E0E9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5169B"/>
    <w:pPr>
      <w:spacing w:after="0" w:line="240" w:lineRule="auto"/>
    </w:pPr>
    <w:tblPr>
      <w:tblStyleRowBandSize w:val="1"/>
      <w:tblStyleColBandSize w:val="1"/>
      <w:tblBorders>
        <w:top w:val="single" w:sz="4" w:space="0" w:color="BBC4CB" w:themeColor="accent5" w:themeTint="66"/>
        <w:left w:val="single" w:sz="4" w:space="0" w:color="BBC4CB" w:themeColor="accent5" w:themeTint="66"/>
        <w:bottom w:val="single" w:sz="4" w:space="0" w:color="BBC4CB" w:themeColor="accent5" w:themeTint="66"/>
        <w:right w:val="single" w:sz="4" w:space="0" w:color="BBC4CB" w:themeColor="accent5" w:themeTint="66"/>
        <w:insideH w:val="single" w:sz="4" w:space="0" w:color="BBC4CB" w:themeColor="accent5" w:themeTint="66"/>
        <w:insideV w:val="single" w:sz="4" w:space="0" w:color="BBC4CB" w:themeColor="accent5" w:themeTint="66"/>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2" w:space="0" w:color="9AA7B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5169B"/>
    <w:pPr>
      <w:spacing w:after="0" w:line="240" w:lineRule="auto"/>
    </w:pPr>
    <w:tblPr>
      <w:tblStyleRowBandSize w:val="1"/>
      <w:tblStyleColBandSize w:val="1"/>
      <w:tblBorders>
        <w:top w:val="single" w:sz="4" w:space="0" w:color="9CA0BA" w:themeColor="accent6" w:themeTint="66"/>
        <w:left w:val="single" w:sz="4" w:space="0" w:color="9CA0BA" w:themeColor="accent6" w:themeTint="66"/>
        <w:bottom w:val="single" w:sz="4" w:space="0" w:color="9CA0BA" w:themeColor="accent6" w:themeTint="66"/>
        <w:right w:val="single" w:sz="4" w:space="0" w:color="9CA0BA" w:themeColor="accent6" w:themeTint="66"/>
        <w:insideH w:val="single" w:sz="4" w:space="0" w:color="9CA0BA" w:themeColor="accent6" w:themeTint="66"/>
        <w:insideV w:val="single" w:sz="4" w:space="0" w:color="9CA0BA" w:themeColor="accent6" w:themeTint="66"/>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2" w:space="0" w:color="6B70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5169B"/>
    <w:pPr>
      <w:spacing w:after="0" w:line="240" w:lineRule="auto"/>
    </w:pPr>
    <w:tblPr>
      <w:tblStyleRowBandSize w:val="1"/>
      <w:tblStyleColBandSize w:val="1"/>
      <w:tblBorders>
        <w:top w:val="single" w:sz="2" w:space="0" w:color="9AA7B1" w:themeColor="text1" w:themeTint="99"/>
        <w:bottom w:val="single" w:sz="2" w:space="0" w:color="9AA7B1" w:themeColor="text1" w:themeTint="99"/>
        <w:insideH w:val="single" w:sz="2" w:space="0" w:color="9AA7B1" w:themeColor="text1" w:themeTint="99"/>
        <w:insideV w:val="single" w:sz="2" w:space="0" w:color="9AA7B1" w:themeColor="text1" w:themeTint="99"/>
      </w:tblBorders>
    </w:tblPr>
    <w:tblStylePr w:type="firstRow">
      <w:rPr>
        <w:b/>
        <w:bCs/>
      </w:rPr>
      <w:tblPr/>
      <w:tcPr>
        <w:tcBorders>
          <w:top w:val="nil"/>
          <w:bottom w:val="single" w:sz="12" w:space="0" w:color="9AA7B1" w:themeColor="text1" w:themeTint="99"/>
          <w:insideH w:val="nil"/>
          <w:insideV w:val="nil"/>
        </w:tcBorders>
        <w:shd w:val="clear" w:color="auto" w:fill="FFFFFF" w:themeFill="background1"/>
      </w:tcPr>
    </w:tblStylePr>
    <w:tblStylePr w:type="lastRow">
      <w:rPr>
        <w:b/>
        <w:bCs/>
      </w:rPr>
      <w:tblPr/>
      <w:tcPr>
        <w:tcBorders>
          <w:top w:val="double" w:sz="2" w:space="0" w:color="9AA7B1"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2-Accent1">
    <w:name w:val="Grid Table 2 Accent 1"/>
    <w:basedOn w:val="TableNormal"/>
    <w:uiPriority w:val="47"/>
    <w:rsid w:val="00C5169B"/>
    <w:pPr>
      <w:spacing w:after="0" w:line="240" w:lineRule="auto"/>
    </w:pPr>
    <w:tblPr>
      <w:tblStyleRowBandSize w:val="1"/>
      <w:tblStyleColBandSize w:val="1"/>
      <w:tblBorders>
        <w:top w:val="single" w:sz="2" w:space="0" w:color="FF5A69" w:themeColor="accent1" w:themeTint="99"/>
        <w:bottom w:val="single" w:sz="2" w:space="0" w:color="FF5A69" w:themeColor="accent1" w:themeTint="99"/>
        <w:insideH w:val="single" w:sz="2" w:space="0" w:color="FF5A69" w:themeColor="accent1" w:themeTint="99"/>
        <w:insideV w:val="single" w:sz="2" w:space="0" w:color="FF5A69" w:themeColor="accent1" w:themeTint="99"/>
      </w:tblBorders>
    </w:tblPr>
    <w:tblStylePr w:type="firstRow">
      <w:rPr>
        <w:b/>
        <w:bCs/>
      </w:rPr>
      <w:tblPr/>
      <w:tcPr>
        <w:tcBorders>
          <w:top w:val="nil"/>
          <w:bottom w:val="single" w:sz="12" w:space="0" w:color="FF5A69" w:themeColor="accent1" w:themeTint="99"/>
          <w:insideH w:val="nil"/>
          <w:insideV w:val="nil"/>
        </w:tcBorders>
        <w:shd w:val="clear" w:color="auto" w:fill="FFFFFF" w:themeFill="background1"/>
      </w:tcPr>
    </w:tblStylePr>
    <w:tblStylePr w:type="lastRow">
      <w:rPr>
        <w:b/>
        <w:bCs/>
      </w:rPr>
      <w:tblPr/>
      <w:tcPr>
        <w:tcBorders>
          <w:top w:val="double" w:sz="2" w:space="0" w:color="FF5A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2-Accent2">
    <w:name w:val="Grid Table 2 Accent 2"/>
    <w:basedOn w:val="TableNormal"/>
    <w:uiPriority w:val="47"/>
    <w:rsid w:val="00C5169B"/>
    <w:pPr>
      <w:spacing w:after="0" w:line="240" w:lineRule="auto"/>
    </w:pPr>
    <w:tblPr>
      <w:tblStyleRowBandSize w:val="1"/>
      <w:tblStyleColBandSize w:val="1"/>
      <w:tblBorders>
        <w:top w:val="single" w:sz="2" w:space="0" w:color="B3BEC2" w:themeColor="accent2" w:themeTint="99"/>
        <w:bottom w:val="single" w:sz="2" w:space="0" w:color="B3BEC2" w:themeColor="accent2" w:themeTint="99"/>
        <w:insideH w:val="single" w:sz="2" w:space="0" w:color="B3BEC2" w:themeColor="accent2" w:themeTint="99"/>
        <w:insideV w:val="single" w:sz="2" w:space="0" w:color="B3BEC2" w:themeColor="accent2" w:themeTint="99"/>
      </w:tblBorders>
    </w:tblPr>
    <w:tblStylePr w:type="firstRow">
      <w:rPr>
        <w:b/>
        <w:bCs/>
      </w:rPr>
      <w:tblPr/>
      <w:tcPr>
        <w:tcBorders>
          <w:top w:val="nil"/>
          <w:bottom w:val="single" w:sz="12" w:space="0" w:color="B3BEC2" w:themeColor="accent2" w:themeTint="99"/>
          <w:insideH w:val="nil"/>
          <w:insideV w:val="nil"/>
        </w:tcBorders>
        <w:shd w:val="clear" w:color="auto" w:fill="FFFFFF" w:themeFill="background1"/>
      </w:tcPr>
    </w:tblStylePr>
    <w:tblStylePr w:type="lastRow">
      <w:rPr>
        <w:b/>
        <w:bCs/>
      </w:rPr>
      <w:tblPr/>
      <w:tcPr>
        <w:tcBorders>
          <w:top w:val="double" w:sz="2" w:space="0" w:color="B3BEC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2-Accent3">
    <w:name w:val="Grid Table 2 Accent 3"/>
    <w:basedOn w:val="TableNormal"/>
    <w:uiPriority w:val="47"/>
    <w:rsid w:val="00C5169B"/>
    <w:pPr>
      <w:spacing w:after="0" w:line="240" w:lineRule="auto"/>
    </w:pPr>
    <w:tblPr>
      <w:tblStyleRowBandSize w:val="1"/>
      <w:tblStyleColBandSize w:val="1"/>
      <w:tblBorders>
        <w:top w:val="single" w:sz="2" w:space="0" w:color="EFF5F6" w:themeColor="accent3" w:themeTint="99"/>
        <w:bottom w:val="single" w:sz="2" w:space="0" w:color="EFF5F6" w:themeColor="accent3" w:themeTint="99"/>
        <w:insideH w:val="single" w:sz="2" w:space="0" w:color="EFF5F6" w:themeColor="accent3" w:themeTint="99"/>
        <w:insideV w:val="single" w:sz="2" w:space="0" w:color="EFF5F6" w:themeColor="accent3" w:themeTint="99"/>
      </w:tblBorders>
    </w:tblPr>
    <w:tblStylePr w:type="firstRow">
      <w:rPr>
        <w:b/>
        <w:bCs/>
      </w:rPr>
      <w:tblPr/>
      <w:tcPr>
        <w:tcBorders>
          <w:top w:val="nil"/>
          <w:bottom w:val="single" w:sz="12" w:space="0" w:color="EFF5F6" w:themeColor="accent3" w:themeTint="99"/>
          <w:insideH w:val="nil"/>
          <w:insideV w:val="nil"/>
        </w:tcBorders>
        <w:shd w:val="clear" w:color="auto" w:fill="FFFFFF" w:themeFill="background1"/>
      </w:tcPr>
    </w:tblStylePr>
    <w:tblStylePr w:type="lastRow">
      <w:rPr>
        <w:b/>
        <w:bCs/>
      </w:rPr>
      <w:tblPr/>
      <w:tcPr>
        <w:tcBorders>
          <w:top w:val="double" w:sz="2" w:space="0" w:color="EFF5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2-Accent4">
    <w:name w:val="Grid Table 2 Accent 4"/>
    <w:basedOn w:val="TableNormal"/>
    <w:uiPriority w:val="47"/>
    <w:rsid w:val="00C5169B"/>
    <w:pPr>
      <w:spacing w:after="0" w:line="240" w:lineRule="auto"/>
    </w:pPr>
    <w:tblPr>
      <w:tblStyleRowBandSize w:val="1"/>
      <w:tblStyleColBandSize w:val="1"/>
      <w:tblBorders>
        <w:top w:val="single" w:sz="2" w:space="0" w:color="E0E9EB" w:themeColor="accent4" w:themeTint="99"/>
        <w:bottom w:val="single" w:sz="2" w:space="0" w:color="E0E9EB" w:themeColor="accent4" w:themeTint="99"/>
        <w:insideH w:val="single" w:sz="2" w:space="0" w:color="E0E9EB" w:themeColor="accent4" w:themeTint="99"/>
        <w:insideV w:val="single" w:sz="2" w:space="0" w:color="E0E9EB" w:themeColor="accent4" w:themeTint="99"/>
      </w:tblBorders>
    </w:tblPr>
    <w:tblStylePr w:type="firstRow">
      <w:rPr>
        <w:b/>
        <w:bCs/>
      </w:rPr>
      <w:tblPr/>
      <w:tcPr>
        <w:tcBorders>
          <w:top w:val="nil"/>
          <w:bottom w:val="single" w:sz="12" w:space="0" w:color="E0E9EB" w:themeColor="accent4" w:themeTint="99"/>
          <w:insideH w:val="nil"/>
          <w:insideV w:val="nil"/>
        </w:tcBorders>
        <w:shd w:val="clear" w:color="auto" w:fill="FFFFFF" w:themeFill="background1"/>
      </w:tcPr>
    </w:tblStylePr>
    <w:tblStylePr w:type="lastRow">
      <w:rPr>
        <w:b/>
        <w:bCs/>
      </w:rPr>
      <w:tblPr/>
      <w:tcPr>
        <w:tcBorders>
          <w:top w:val="double" w:sz="2" w:space="0" w:color="E0E9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2-Accent5">
    <w:name w:val="Grid Table 2 Accent 5"/>
    <w:basedOn w:val="TableNormal"/>
    <w:uiPriority w:val="47"/>
    <w:rsid w:val="00C5169B"/>
    <w:pPr>
      <w:spacing w:after="0" w:line="240" w:lineRule="auto"/>
    </w:pPr>
    <w:tblPr>
      <w:tblStyleRowBandSize w:val="1"/>
      <w:tblStyleColBandSize w:val="1"/>
      <w:tblBorders>
        <w:top w:val="single" w:sz="2" w:space="0" w:color="9AA7B1" w:themeColor="accent5" w:themeTint="99"/>
        <w:bottom w:val="single" w:sz="2" w:space="0" w:color="9AA7B1" w:themeColor="accent5" w:themeTint="99"/>
        <w:insideH w:val="single" w:sz="2" w:space="0" w:color="9AA7B1" w:themeColor="accent5" w:themeTint="99"/>
        <w:insideV w:val="single" w:sz="2" w:space="0" w:color="9AA7B1" w:themeColor="accent5" w:themeTint="99"/>
      </w:tblBorders>
    </w:tblPr>
    <w:tblStylePr w:type="firstRow">
      <w:rPr>
        <w:b/>
        <w:bCs/>
      </w:rPr>
      <w:tblPr/>
      <w:tcPr>
        <w:tcBorders>
          <w:top w:val="nil"/>
          <w:bottom w:val="single" w:sz="12" w:space="0" w:color="9AA7B1" w:themeColor="accent5" w:themeTint="99"/>
          <w:insideH w:val="nil"/>
          <w:insideV w:val="nil"/>
        </w:tcBorders>
        <w:shd w:val="clear" w:color="auto" w:fill="FFFFFF" w:themeFill="background1"/>
      </w:tcPr>
    </w:tblStylePr>
    <w:tblStylePr w:type="lastRow">
      <w:rPr>
        <w:b/>
        <w:bCs/>
      </w:rPr>
      <w:tblPr/>
      <w:tcPr>
        <w:tcBorders>
          <w:top w:val="double" w:sz="2" w:space="0" w:color="9AA7B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2-Accent6">
    <w:name w:val="Grid Table 2 Accent 6"/>
    <w:basedOn w:val="TableNormal"/>
    <w:uiPriority w:val="47"/>
    <w:rsid w:val="00C5169B"/>
    <w:pPr>
      <w:spacing w:after="0" w:line="240" w:lineRule="auto"/>
    </w:pPr>
    <w:tblPr>
      <w:tblStyleRowBandSize w:val="1"/>
      <w:tblStyleColBandSize w:val="1"/>
      <w:tblBorders>
        <w:top w:val="single" w:sz="2" w:space="0" w:color="6B7097" w:themeColor="accent6" w:themeTint="99"/>
        <w:bottom w:val="single" w:sz="2" w:space="0" w:color="6B7097" w:themeColor="accent6" w:themeTint="99"/>
        <w:insideH w:val="single" w:sz="2" w:space="0" w:color="6B7097" w:themeColor="accent6" w:themeTint="99"/>
        <w:insideV w:val="single" w:sz="2" w:space="0" w:color="6B7097" w:themeColor="accent6" w:themeTint="99"/>
      </w:tblBorders>
    </w:tblPr>
    <w:tblStylePr w:type="firstRow">
      <w:rPr>
        <w:b/>
        <w:bCs/>
      </w:rPr>
      <w:tblPr/>
      <w:tcPr>
        <w:tcBorders>
          <w:top w:val="nil"/>
          <w:bottom w:val="single" w:sz="12" w:space="0" w:color="6B7097" w:themeColor="accent6" w:themeTint="99"/>
          <w:insideH w:val="nil"/>
          <w:insideV w:val="nil"/>
        </w:tcBorders>
        <w:shd w:val="clear" w:color="auto" w:fill="FFFFFF" w:themeFill="background1"/>
      </w:tcPr>
    </w:tblStylePr>
    <w:tblStylePr w:type="lastRow">
      <w:rPr>
        <w:b/>
        <w:bCs/>
      </w:rPr>
      <w:tblPr/>
      <w:tcPr>
        <w:tcBorders>
          <w:top w:val="double" w:sz="2" w:space="0" w:color="6B70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3">
    <w:name w:val="Grid Table 3"/>
    <w:basedOn w:val="TableNormal"/>
    <w:uiPriority w:val="48"/>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3-Accent1">
    <w:name w:val="Grid Table 3 Accent 1"/>
    <w:basedOn w:val="TableNormal"/>
    <w:uiPriority w:val="48"/>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3-Accent2">
    <w:name w:val="Grid Table 3 Accent 2"/>
    <w:basedOn w:val="TableNormal"/>
    <w:uiPriority w:val="48"/>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3-Accent3">
    <w:name w:val="Grid Table 3 Accent 3"/>
    <w:basedOn w:val="TableNormal"/>
    <w:uiPriority w:val="48"/>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3-Accent4">
    <w:name w:val="Grid Table 3 Accent 4"/>
    <w:basedOn w:val="TableNormal"/>
    <w:uiPriority w:val="48"/>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3-Accent5">
    <w:name w:val="Grid Table 3 Accent 5"/>
    <w:basedOn w:val="TableNormal"/>
    <w:uiPriority w:val="48"/>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3-Accent6">
    <w:name w:val="Grid Table 3 Accent 6"/>
    <w:basedOn w:val="TableNormal"/>
    <w:uiPriority w:val="48"/>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table" w:styleId="GridTable4">
    <w:name w:val="Grid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insideV w:val="nil"/>
        </w:tcBorders>
        <w:shd w:val="clear" w:color="auto" w:fill="5D6D78" w:themeFill="text1"/>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4-Accent1">
    <w:name w:val="Grid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insideV w:val="nil"/>
        </w:tcBorders>
        <w:shd w:val="clear" w:color="auto" w:fill="EB0017" w:themeFill="accent1"/>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4-Accent2">
    <w:name w:val="Grid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insideV w:val="nil"/>
        </w:tcBorders>
        <w:shd w:val="clear" w:color="auto" w:fill="82939A" w:themeFill="accent2"/>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4-Accent3">
    <w:name w:val="Grid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insideV w:val="nil"/>
        </w:tcBorders>
        <w:shd w:val="clear" w:color="auto" w:fill="E5EFF0" w:themeFill="accent3"/>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4-Accent4">
    <w:name w:val="Grid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insideV w:val="nil"/>
        </w:tcBorders>
        <w:shd w:val="clear" w:color="auto" w:fill="CDDBDE" w:themeFill="accent4"/>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4-Accent5">
    <w:name w:val="Grid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insideV w:val="nil"/>
        </w:tcBorders>
        <w:shd w:val="clear" w:color="auto" w:fill="5D6D78" w:themeFill="accent5"/>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4-Accent6">
    <w:name w:val="Grid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insideV w:val="nil"/>
        </w:tcBorders>
        <w:shd w:val="clear" w:color="auto" w:fill="262836" w:themeFill="accent6"/>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5Dark">
    <w:name w:val="Grid Table 5 Dark"/>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text1"/>
      </w:tcPr>
    </w:tblStylePr>
    <w:tblStylePr w:type="band1Vert">
      <w:tblPr/>
      <w:tcPr>
        <w:shd w:val="clear" w:color="auto" w:fill="BBC4CB" w:themeFill="text1" w:themeFillTint="66"/>
      </w:tcPr>
    </w:tblStylePr>
    <w:tblStylePr w:type="band1Horz">
      <w:tblPr/>
      <w:tcPr>
        <w:shd w:val="clear" w:color="auto" w:fill="BBC4CB" w:themeFill="text1" w:themeFillTint="66"/>
      </w:tcPr>
    </w:tblStylePr>
  </w:style>
  <w:style w:type="table" w:styleId="GridTable5Dark-Accent1">
    <w:name w:val="Grid Table 5 Dark Accent 1"/>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17"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17"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17"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17" w:themeFill="accent1"/>
      </w:tcPr>
    </w:tblStylePr>
    <w:tblStylePr w:type="band1Vert">
      <w:tblPr/>
      <w:tcPr>
        <w:shd w:val="clear" w:color="auto" w:fill="FF919B" w:themeFill="accent1" w:themeFillTint="66"/>
      </w:tcPr>
    </w:tblStylePr>
    <w:tblStylePr w:type="band1Horz">
      <w:tblPr/>
      <w:tcPr>
        <w:shd w:val="clear" w:color="auto" w:fill="FF919B" w:themeFill="accent1" w:themeFillTint="66"/>
      </w:tcPr>
    </w:tblStylePr>
  </w:style>
  <w:style w:type="table" w:styleId="GridTable5Dark-Accent2">
    <w:name w:val="Grid Table 5 Dark Accent 2"/>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9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939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939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939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939A" w:themeFill="accent2"/>
      </w:tcPr>
    </w:tblStylePr>
    <w:tblStylePr w:type="band1Vert">
      <w:tblPr/>
      <w:tcPr>
        <w:shd w:val="clear" w:color="auto" w:fill="CCD3D6" w:themeFill="accent2" w:themeFillTint="66"/>
      </w:tcPr>
    </w:tblStylePr>
    <w:tblStylePr w:type="band1Horz">
      <w:tblPr/>
      <w:tcPr>
        <w:shd w:val="clear" w:color="auto" w:fill="CCD3D6" w:themeFill="accent2" w:themeFillTint="66"/>
      </w:tcPr>
    </w:tblStylePr>
  </w:style>
  <w:style w:type="table" w:styleId="GridTable5Dark-Accent3">
    <w:name w:val="Grid Table 5 Dark Accent 3"/>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B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FF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FF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FF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FF0" w:themeFill="accent3"/>
      </w:tcPr>
    </w:tblStylePr>
    <w:tblStylePr w:type="band1Vert">
      <w:tblPr/>
      <w:tcPr>
        <w:shd w:val="clear" w:color="auto" w:fill="F4F8F9" w:themeFill="accent3" w:themeFillTint="66"/>
      </w:tcPr>
    </w:tblStylePr>
    <w:tblStylePr w:type="band1Horz">
      <w:tblPr/>
      <w:tcPr>
        <w:shd w:val="clear" w:color="auto" w:fill="F4F8F9" w:themeFill="accent3" w:themeFillTint="66"/>
      </w:tcPr>
    </w:tblStylePr>
  </w:style>
  <w:style w:type="table" w:styleId="GridTable5Dark-Accent4">
    <w:name w:val="Grid Table 5 Dark Accent 4"/>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BD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BD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BD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BDE" w:themeFill="accent4"/>
      </w:tcPr>
    </w:tblStylePr>
    <w:tblStylePr w:type="band1Vert">
      <w:tblPr/>
      <w:tcPr>
        <w:shd w:val="clear" w:color="auto" w:fill="EAF0F1" w:themeFill="accent4" w:themeFillTint="66"/>
      </w:tcPr>
    </w:tblStylePr>
    <w:tblStylePr w:type="band1Horz">
      <w:tblPr/>
      <w:tcPr>
        <w:shd w:val="clear" w:color="auto" w:fill="EAF0F1" w:themeFill="accent4" w:themeFillTint="66"/>
      </w:tcPr>
    </w:tblStylePr>
  </w:style>
  <w:style w:type="table" w:styleId="GridTable5Dark-Accent5">
    <w:name w:val="Grid Table 5 Dark Accent 5"/>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D6D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D6D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D6D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D6D78" w:themeFill="accent5"/>
      </w:tcPr>
    </w:tblStylePr>
    <w:tblStylePr w:type="band1Vert">
      <w:tblPr/>
      <w:tcPr>
        <w:shd w:val="clear" w:color="auto" w:fill="BBC4CB" w:themeFill="accent5" w:themeFillTint="66"/>
      </w:tcPr>
    </w:tblStylePr>
    <w:tblStylePr w:type="band1Horz">
      <w:tblPr/>
      <w:tcPr>
        <w:shd w:val="clear" w:color="auto" w:fill="BBC4CB" w:themeFill="accent5" w:themeFillTint="66"/>
      </w:tcPr>
    </w:tblStylePr>
  </w:style>
  <w:style w:type="table" w:styleId="GridTable5Dark-Accent6">
    <w:name w:val="Grid Table 5 Dark Accent 6"/>
    <w:basedOn w:val="TableNormal"/>
    <w:uiPriority w:val="50"/>
    <w:rsid w:val="00C516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CF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83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83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83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836" w:themeFill="accent6"/>
      </w:tcPr>
    </w:tblStylePr>
    <w:tblStylePr w:type="band1Vert">
      <w:tblPr/>
      <w:tcPr>
        <w:shd w:val="clear" w:color="auto" w:fill="9CA0BA" w:themeFill="accent6" w:themeFillTint="66"/>
      </w:tcPr>
    </w:tblStylePr>
    <w:tblStylePr w:type="band1Horz">
      <w:tblPr/>
      <w:tcPr>
        <w:shd w:val="clear" w:color="auto" w:fill="9CA0BA" w:themeFill="accent6" w:themeFillTint="66"/>
      </w:tcPr>
    </w:tblStylePr>
  </w:style>
  <w:style w:type="table" w:styleId="GridTable6Colorful">
    <w:name w:val="Grid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bottom w:val="single" w:sz="12" w:space="0" w:color="9AA7B1" w:themeColor="text1" w:themeTint="99"/>
        </w:tcBorders>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GridTable6Colorful-Accent1">
    <w:name w:val="Grid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bottom w:val="single" w:sz="12" w:space="0" w:color="FF5A69" w:themeColor="accent1" w:themeTint="99"/>
        </w:tcBorders>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GridTable6Colorful-Accent2">
    <w:name w:val="Grid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bottom w:val="single" w:sz="12" w:space="0" w:color="B3BEC2" w:themeColor="accent2" w:themeTint="99"/>
        </w:tcBorders>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GridTable6Colorful-Accent3">
    <w:name w:val="Grid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bottom w:val="single" w:sz="12" w:space="0" w:color="EFF5F6" w:themeColor="accent3" w:themeTint="99"/>
        </w:tcBorders>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GridTable6Colorful-Accent4">
    <w:name w:val="Grid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bottom w:val="single" w:sz="12" w:space="0" w:color="E0E9EB" w:themeColor="accent4" w:themeTint="99"/>
        </w:tcBorders>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GridTable6Colorful-Accent5">
    <w:name w:val="Grid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bottom w:val="single" w:sz="12" w:space="0" w:color="9AA7B1" w:themeColor="accent5" w:themeTint="99"/>
        </w:tcBorders>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GridTable6Colorful-Accent6">
    <w:name w:val="Grid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bottom w:val="single" w:sz="12" w:space="0" w:color="6B7097" w:themeColor="accent6" w:themeTint="99"/>
        </w:tcBorders>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GridTable7Colorful">
    <w:name w:val="Grid Table 7 Colorful"/>
    <w:basedOn w:val="TableNormal"/>
    <w:uiPriority w:val="52"/>
    <w:rsid w:val="00C5169B"/>
    <w:pPr>
      <w:spacing w:after="0" w:line="240" w:lineRule="auto"/>
    </w:pPr>
    <w:rPr>
      <w:color w:val="5D6D78" w:themeColor="text1"/>
    </w:r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insideV w:val="single" w:sz="4" w:space="0" w:color="9AA7B1"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bottom w:val="single" w:sz="4" w:space="0" w:color="9AA7B1" w:themeColor="text1" w:themeTint="99"/>
        </w:tcBorders>
      </w:tcPr>
    </w:tblStylePr>
    <w:tblStylePr w:type="nwCell">
      <w:tblPr/>
      <w:tcPr>
        <w:tcBorders>
          <w:bottom w:val="single" w:sz="4" w:space="0" w:color="9AA7B1" w:themeColor="text1" w:themeTint="99"/>
        </w:tcBorders>
      </w:tcPr>
    </w:tblStylePr>
    <w:tblStylePr w:type="seCell">
      <w:tblPr/>
      <w:tcPr>
        <w:tcBorders>
          <w:top w:val="single" w:sz="4" w:space="0" w:color="9AA7B1" w:themeColor="text1" w:themeTint="99"/>
        </w:tcBorders>
      </w:tcPr>
    </w:tblStylePr>
    <w:tblStylePr w:type="swCell">
      <w:tblPr/>
      <w:tcPr>
        <w:tcBorders>
          <w:top w:val="single" w:sz="4" w:space="0" w:color="9AA7B1" w:themeColor="text1" w:themeTint="99"/>
        </w:tcBorders>
      </w:tcPr>
    </w:tblStylePr>
  </w:style>
  <w:style w:type="table" w:styleId="GridTable7Colorful-Accent1">
    <w:name w:val="Grid Table 7 Colorful Accent 1"/>
    <w:basedOn w:val="TableNormal"/>
    <w:uiPriority w:val="52"/>
    <w:rsid w:val="00C5169B"/>
    <w:pPr>
      <w:spacing w:after="0" w:line="240" w:lineRule="auto"/>
    </w:pPr>
    <w:rPr>
      <w:color w:val="B00010" w:themeColor="accent1" w:themeShade="BF"/>
    </w:r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insideV w:val="single" w:sz="4" w:space="0" w:color="FF5A6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bottom w:val="single" w:sz="4" w:space="0" w:color="FF5A69" w:themeColor="accent1" w:themeTint="99"/>
        </w:tcBorders>
      </w:tcPr>
    </w:tblStylePr>
    <w:tblStylePr w:type="nwCell">
      <w:tblPr/>
      <w:tcPr>
        <w:tcBorders>
          <w:bottom w:val="single" w:sz="4" w:space="0" w:color="FF5A69" w:themeColor="accent1" w:themeTint="99"/>
        </w:tcBorders>
      </w:tcPr>
    </w:tblStylePr>
    <w:tblStylePr w:type="seCell">
      <w:tblPr/>
      <w:tcPr>
        <w:tcBorders>
          <w:top w:val="single" w:sz="4" w:space="0" w:color="FF5A69" w:themeColor="accent1" w:themeTint="99"/>
        </w:tcBorders>
      </w:tcPr>
    </w:tblStylePr>
    <w:tblStylePr w:type="swCell">
      <w:tblPr/>
      <w:tcPr>
        <w:tcBorders>
          <w:top w:val="single" w:sz="4" w:space="0" w:color="FF5A69" w:themeColor="accent1" w:themeTint="99"/>
        </w:tcBorders>
      </w:tcPr>
    </w:tblStylePr>
  </w:style>
  <w:style w:type="table" w:styleId="GridTable7Colorful-Accent2">
    <w:name w:val="Grid Table 7 Colorful Accent 2"/>
    <w:basedOn w:val="TableNormal"/>
    <w:uiPriority w:val="52"/>
    <w:rsid w:val="00C5169B"/>
    <w:pPr>
      <w:spacing w:after="0" w:line="240" w:lineRule="auto"/>
    </w:pPr>
    <w:rPr>
      <w:color w:val="5F6E75" w:themeColor="accent2" w:themeShade="BF"/>
    </w:r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insideV w:val="single" w:sz="4" w:space="0" w:color="B3BEC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bottom w:val="single" w:sz="4" w:space="0" w:color="B3BEC2" w:themeColor="accent2" w:themeTint="99"/>
        </w:tcBorders>
      </w:tcPr>
    </w:tblStylePr>
    <w:tblStylePr w:type="nwCell">
      <w:tblPr/>
      <w:tcPr>
        <w:tcBorders>
          <w:bottom w:val="single" w:sz="4" w:space="0" w:color="B3BEC2" w:themeColor="accent2" w:themeTint="99"/>
        </w:tcBorders>
      </w:tcPr>
    </w:tblStylePr>
    <w:tblStylePr w:type="seCell">
      <w:tblPr/>
      <w:tcPr>
        <w:tcBorders>
          <w:top w:val="single" w:sz="4" w:space="0" w:color="B3BEC2" w:themeColor="accent2" w:themeTint="99"/>
        </w:tcBorders>
      </w:tcPr>
    </w:tblStylePr>
    <w:tblStylePr w:type="swCell">
      <w:tblPr/>
      <w:tcPr>
        <w:tcBorders>
          <w:top w:val="single" w:sz="4" w:space="0" w:color="B3BEC2" w:themeColor="accent2" w:themeTint="99"/>
        </w:tcBorders>
      </w:tcPr>
    </w:tblStylePr>
  </w:style>
  <w:style w:type="table" w:styleId="GridTable7Colorful-Accent3">
    <w:name w:val="Grid Table 7 Colorful Accent 3"/>
    <w:basedOn w:val="TableNormal"/>
    <w:uiPriority w:val="52"/>
    <w:rsid w:val="00C5169B"/>
    <w:pPr>
      <w:spacing w:after="0" w:line="240" w:lineRule="auto"/>
    </w:pPr>
    <w:rPr>
      <w:color w:val="9AC0C4" w:themeColor="accent3" w:themeShade="BF"/>
    </w:r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insideV w:val="single" w:sz="4" w:space="0" w:color="EFF5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bottom w:val="single" w:sz="4" w:space="0" w:color="EFF5F6" w:themeColor="accent3" w:themeTint="99"/>
        </w:tcBorders>
      </w:tcPr>
    </w:tblStylePr>
    <w:tblStylePr w:type="nwCell">
      <w:tblPr/>
      <w:tcPr>
        <w:tcBorders>
          <w:bottom w:val="single" w:sz="4" w:space="0" w:color="EFF5F6" w:themeColor="accent3" w:themeTint="99"/>
        </w:tcBorders>
      </w:tcPr>
    </w:tblStylePr>
    <w:tblStylePr w:type="seCell">
      <w:tblPr/>
      <w:tcPr>
        <w:tcBorders>
          <w:top w:val="single" w:sz="4" w:space="0" w:color="EFF5F6" w:themeColor="accent3" w:themeTint="99"/>
        </w:tcBorders>
      </w:tcPr>
    </w:tblStylePr>
    <w:tblStylePr w:type="swCell">
      <w:tblPr/>
      <w:tcPr>
        <w:tcBorders>
          <w:top w:val="single" w:sz="4" w:space="0" w:color="EFF5F6" w:themeColor="accent3" w:themeTint="99"/>
        </w:tcBorders>
      </w:tcPr>
    </w:tblStylePr>
  </w:style>
  <w:style w:type="table" w:styleId="GridTable7Colorful-Accent4">
    <w:name w:val="Grid Table 7 Colorful Accent 4"/>
    <w:basedOn w:val="TableNormal"/>
    <w:uiPriority w:val="52"/>
    <w:rsid w:val="00C5169B"/>
    <w:pPr>
      <w:spacing w:after="0" w:line="240" w:lineRule="auto"/>
    </w:pPr>
    <w:rPr>
      <w:color w:val="8CACB3" w:themeColor="accent4" w:themeShade="BF"/>
    </w:r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insideV w:val="single" w:sz="4" w:space="0" w:color="E0E9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bottom w:val="single" w:sz="4" w:space="0" w:color="E0E9EB" w:themeColor="accent4" w:themeTint="99"/>
        </w:tcBorders>
      </w:tcPr>
    </w:tblStylePr>
    <w:tblStylePr w:type="nwCell">
      <w:tblPr/>
      <w:tcPr>
        <w:tcBorders>
          <w:bottom w:val="single" w:sz="4" w:space="0" w:color="E0E9EB" w:themeColor="accent4" w:themeTint="99"/>
        </w:tcBorders>
      </w:tcPr>
    </w:tblStylePr>
    <w:tblStylePr w:type="seCell">
      <w:tblPr/>
      <w:tcPr>
        <w:tcBorders>
          <w:top w:val="single" w:sz="4" w:space="0" w:color="E0E9EB" w:themeColor="accent4" w:themeTint="99"/>
        </w:tcBorders>
      </w:tcPr>
    </w:tblStylePr>
    <w:tblStylePr w:type="swCell">
      <w:tblPr/>
      <w:tcPr>
        <w:tcBorders>
          <w:top w:val="single" w:sz="4" w:space="0" w:color="E0E9EB" w:themeColor="accent4" w:themeTint="99"/>
        </w:tcBorders>
      </w:tcPr>
    </w:tblStylePr>
  </w:style>
  <w:style w:type="table" w:styleId="GridTable7Colorful-Accent5">
    <w:name w:val="Grid Table 7 Colorful Accent 5"/>
    <w:basedOn w:val="TableNormal"/>
    <w:uiPriority w:val="52"/>
    <w:rsid w:val="00C5169B"/>
    <w:pPr>
      <w:spacing w:after="0" w:line="240" w:lineRule="auto"/>
    </w:pPr>
    <w:rPr>
      <w:color w:val="455159" w:themeColor="accent5" w:themeShade="BF"/>
    </w:r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insideV w:val="single" w:sz="4" w:space="0" w:color="9AA7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bottom w:val="single" w:sz="4" w:space="0" w:color="9AA7B1" w:themeColor="accent5" w:themeTint="99"/>
        </w:tcBorders>
      </w:tcPr>
    </w:tblStylePr>
    <w:tblStylePr w:type="nwCell">
      <w:tblPr/>
      <w:tcPr>
        <w:tcBorders>
          <w:bottom w:val="single" w:sz="4" w:space="0" w:color="9AA7B1" w:themeColor="accent5" w:themeTint="99"/>
        </w:tcBorders>
      </w:tcPr>
    </w:tblStylePr>
    <w:tblStylePr w:type="seCell">
      <w:tblPr/>
      <w:tcPr>
        <w:tcBorders>
          <w:top w:val="single" w:sz="4" w:space="0" w:color="9AA7B1" w:themeColor="accent5" w:themeTint="99"/>
        </w:tcBorders>
      </w:tcPr>
    </w:tblStylePr>
    <w:tblStylePr w:type="swCell">
      <w:tblPr/>
      <w:tcPr>
        <w:tcBorders>
          <w:top w:val="single" w:sz="4" w:space="0" w:color="9AA7B1" w:themeColor="accent5" w:themeTint="99"/>
        </w:tcBorders>
      </w:tcPr>
    </w:tblStylePr>
  </w:style>
  <w:style w:type="table" w:styleId="GridTable7Colorful-Accent6">
    <w:name w:val="Grid Table 7 Colorful Accent 6"/>
    <w:basedOn w:val="TableNormal"/>
    <w:uiPriority w:val="52"/>
    <w:rsid w:val="00C5169B"/>
    <w:pPr>
      <w:spacing w:after="0" w:line="240" w:lineRule="auto"/>
    </w:pPr>
    <w:rPr>
      <w:color w:val="1C1D28" w:themeColor="accent6" w:themeShade="BF"/>
    </w:r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insideV w:val="single" w:sz="4" w:space="0" w:color="6B70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bottom w:val="single" w:sz="4" w:space="0" w:color="6B7097" w:themeColor="accent6" w:themeTint="99"/>
        </w:tcBorders>
      </w:tcPr>
    </w:tblStylePr>
    <w:tblStylePr w:type="nwCell">
      <w:tblPr/>
      <w:tcPr>
        <w:tcBorders>
          <w:bottom w:val="single" w:sz="4" w:space="0" w:color="6B7097" w:themeColor="accent6" w:themeTint="99"/>
        </w:tcBorders>
      </w:tcPr>
    </w:tblStylePr>
    <w:tblStylePr w:type="seCell">
      <w:tblPr/>
      <w:tcPr>
        <w:tcBorders>
          <w:top w:val="single" w:sz="4" w:space="0" w:color="6B7097" w:themeColor="accent6" w:themeTint="99"/>
        </w:tcBorders>
      </w:tcPr>
    </w:tblStylePr>
    <w:tblStylePr w:type="swCell">
      <w:tblPr/>
      <w:tcPr>
        <w:tcBorders>
          <w:top w:val="single" w:sz="4" w:space="0" w:color="6B7097" w:themeColor="accent6" w:themeTint="99"/>
        </w:tcBorders>
      </w:tcPr>
    </w:tblStylePr>
  </w:style>
  <w:style w:type="character" w:styleId="Hashtag">
    <w:name w:val="Hashtag"/>
    <w:basedOn w:val="DefaultParagraphFont"/>
    <w:uiPriority w:val="99"/>
    <w:semiHidden/>
    <w:unhideWhenUsed/>
    <w:rsid w:val="00C5169B"/>
    <w:rPr>
      <w:color w:val="2B579A"/>
      <w:shd w:val="clear" w:color="auto" w:fill="E1DFDD"/>
      <w:lang w:val="en-GB"/>
    </w:rPr>
  </w:style>
  <w:style w:type="table" w:styleId="ListTable1Light">
    <w:name w:val="List Table 1 Light"/>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text1" w:themeTint="99"/>
        </w:tcBorders>
      </w:tcPr>
    </w:tblStylePr>
    <w:tblStylePr w:type="lastRow">
      <w:rPr>
        <w:b/>
        <w:bCs/>
      </w:rPr>
      <w:tblPr/>
      <w:tcPr>
        <w:tcBorders>
          <w:top w:val="sing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1Light-Accent1">
    <w:name w:val="List Table 1 Light Accent 1"/>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FF5A69" w:themeColor="accent1" w:themeTint="99"/>
        </w:tcBorders>
      </w:tcPr>
    </w:tblStylePr>
    <w:tblStylePr w:type="lastRow">
      <w:rPr>
        <w:b/>
        <w:bCs/>
      </w:rPr>
      <w:tblPr/>
      <w:tcPr>
        <w:tcBorders>
          <w:top w:val="sing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1Light-Accent2">
    <w:name w:val="List Table 1 Light Accent 2"/>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B3BEC2" w:themeColor="accent2" w:themeTint="99"/>
        </w:tcBorders>
      </w:tcPr>
    </w:tblStylePr>
    <w:tblStylePr w:type="lastRow">
      <w:rPr>
        <w:b/>
        <w:bCs/>
      </w:rPr>
      <w:tblPr/>
      <w:tcPr>
        <w:tcBorders>
          <w:top w:val="sing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1Light-Accent3">
    <w:name w:val="List Table 1 Light Accent 3"/>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FF5F6" w:themeColor="accent3" w:themeTint="99"/>
        </w:tcBorders>
      </w:tcPr>
    </w:tblStylePr>
    <w:tblStylePr w:type="lastRow">
      <w:rPr>
        <w:b/>
        <w:bCs/>
      </w:rPr>
      <w:tblPr/>
      <w:tcPr>
        <w:tcBorders>
          <w:top w:val="sing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1Light-Accent4">
    <w:name w:val="List Table 1 Light Accent 4"/>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E0E9EB" w:themeColor="accent4" w:themeTint="99"/>
        </w:tcBorders>
      </w:tcPr>
    </w:tblStylePr>
    <w:tblStylePr w:type="lastRow">
      <w:rPr>
        <w:b/>
        <w:bCs/>
      </w:rPr>
      <w:tblPr/>
      <w:tcPr>
        <w:tcBorders>
          <w:top w:val="sing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1Light-Accent5">
    <w:name w:val="List Table 1 Light Accent 5"/>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9AA7B1" w:themeColor="accent5" w:themeTint="99"/>
        </w:tcBorders>
      </w:tcPr>
    </w:tblStylePr>
    <w:tblStylePr w:type="lastRow">
      <w:rPr>
        <w:b/>
        <w:bCs/>
      </w:rPr>
      <w:tblPr/>
      <w:tcPr>
        <w:tcBorders>
          <w:top w:val="sing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1Light-Accent6">
    <w:name w:val="List Table 1 Light Accent 6"/>
    <w:basedOn w:val="TableNormal"/>
    <w:uiPriority w:val="46"/>
    <w:rsid w:val="00C5169B"/>
    <w:pPr>
      <w:spacing w:after="0" w:line="240" w:lineRule="auto"/>
    </w:pPr>
    <w:tblPr>
      <w:tblStyleRowBandSize w:val="1"/>
      <w:tblStyleColBandSize w:val="1"/>
    </w:tblPr>
    <w:tblStylePr w:type="firstRow">
      <w:rPr>
        <w:b/>
        <w:bCs/>
      </w:rPr>
      <w:tblPr/>
      <w:tcPr>
        <w:tcBorders>
          <w:bottom w:val="single" w:sz="4" w:space="0" w:color="6B7097" w:themeColor="accent6" w:themeTint="99"/>
        </w:tcBorders>
      </w:tcPr>
    </w:tblStylePr>
    <w:tblStylePr w:type="lastRow">
      <w:rPr>
        <w:b/>
        <w:bCs/>
      </w:rPr>
      <w:tblPr/>
      <w:tcPr>
        <w:tcBorders>
          <w:top w:val="sing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2">
    <w:name w:val="List Table 2"/>
    <w:basedOn w:val="TableNormal"/>
    <w:uiPriority w:val="47"/>
    <w:rsid w:val="00C5169B"/>
    <w:pPr>
      <w:spacing w:after="0" w:line="240" w:lineRule="auto"/>
    </w:pPr>
    <w:tblPr>
      <w:tblStyleRowBandSize w:val="1"/>
      <w:tblStyleColBandSize w:val="1"/>
      <w:tblBorders>
        <w:top w:val="single" w:sz="4" w:space="0" w:color="9AA7B1" w:themeColor="text1" w:themeTint="99"/>
        <w:bottom w:val="single" w:sz="4" w:space="0" w:color="9AA7B1" w:themeColor="text1" w:themeTint="99"/>
        <w:insideH w:val="single" w:sz="4" w:space="0" w:color="9AA7B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2-Accent1">
    <w:name w:val="List Table 2 Accent 1"/>
    <w:basedOn w:val="TableNormal"/>
    <w:uiPriority w:val="47"/>
    <w:rsid w:val="00C5169B"/>
    <w:pPr>
      <w:spacing w:after="0" w:line="240" w:lineRule="auto"/>
    </w:pPr>
    <w:tblPr>
      <w:tblStyleRowBandSize w:val="1"/>
      <w:tblStyleColBandSize w:val="1"/>
      <w:tblBorders>
        <w:top w:val="single" w:sz="4" w:space="0" w:color="FF5A69" w:themeColor="accent1" w:themeTint="99"/>
        <w:bottom w:val="single" w:sz="4" w:space="0" w:color="FF5A69" w:themeColor="accent1" w:themeTint="99"/>
        <w:insideH w:val="single" w:sz="4" w:space="0" w:color="FF5A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2-Accent2">
    <w:name w:val="List Table 2 Accent 2"/>
    <w:basedOn w:val="TableNormal"/>
    <w:uiPriority w:val="47"/>
    <w:rsid w:val="00C5169B"/>
    <w:pPr>
      <w:spacing w:after="0" w:line="240" w:lineRule="auto"/>
    </w:pPr>
    <w:tblPr>
      <w:tblStyleRowBandSize w:val="1"/>
      <w:tblStyleColBandSize w:val="1"/>
      <w:tblBorders>
        <w:top w:val="single" w:sz="4" w:space="0" w:color="B3BEC2" w:themeColor="accent2" w:themeTint="99"/>
        <w:bottom w:val="single" w:sz="4" w:space="0" w:color="B3BEC2" w:themeColor="accent2" w:themeTint="99"/>
        <w:insideH w:val="single" w:sz="4" w:space="0" w:color="B3BEC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2-Accent3">
    <w:name w:val="List Table 2 Accent 3"/>
    <w:basedOn w:val="TableNormal"/>
    <w:uiPriority w:val="47"/>
    <w:rsid w:val="00C5169B"/>
    <w:pPr>
      <w:spacing w:after="0" w:line="240" w:lineRule="auto"/>
    </w:pPr>
    <w:tblPr>
      <w:tblStyleRowBandSize w:val="1"/>
      <w:tblStyleColBandSize w:val="1"/>
      <w:tblBorders>
        <w:top w:val="single" w:sz="4" w:space="0" w:color="EFF5F6" w:themeColor="accent3" w:themeTint="99"/>
        <w:bottom w:val="single" w:sz="4" w:space="0" w:color="EFF5F6" w:themeColor="accent3" w:themeTint="99"/>
        <w:insideH w:val="single" w:sz="4" w:space="0" w:color="EFF5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2-Accent4">
    <w:name w:val="List Table 2 Accent 4"/>
    <w:basedOn w:val="TableNormal"/>
    <w:uiPriority w:val="47"/>
    <w:rsid w:val="00C5169B"/>
    <w:pPr>
      <w:spacing w:after="0" w:line="240" w:lineRule="auto"/>
    </w:pPr>
    <w:tblPr>
      <w:tblStyleRowBandSize w:val="1"/>
      <w:tblStyleColBandSize w:val="1"/>
      <w:tblBorders>
        <w:top w:val="single" w:sz="4" w:space="0" w:color="E0E9EB" w:themeColor="accent4" w:themeTint="99"/>
        <w:bottom w:val="single" w:sz="4" w:space="0" w:color="E0E9EB" w:themeColor="accent4" w:themeTint="99"/>
        <w:insideH w:val="single" w:sz="4" w:space="0" w:color="E0E9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2-Accent5">
    <w:name w:val="List Table 2 Accent 5"/>
    <w:basedOn w:val="TableNormal"/>
    <w:uiPriority w:val="47"/>
    <w:rsid w:val="00C5169B"/>
    <w:pPr>
      <w:spacing w:after="0" w:line="240" w:lineRule="auto"/>
    </w:pPr>
    <w:tblPr>
      <w:tblStyleRowBandSize w:val="1"/>
      <w:tblStyleColBandSize w:val="1"/>
      <w:tblBorders>
        <w:top w:val="single" w:sz="4" w:space="0" w:color="9AA7B1" w:themeColor="accent5" w:themeTint="99"/>
        <w:bottom w:val="single" w:sz="4" w:space="0" w:color="9AA7B1" w:themeColor="accent5" w:themeTint="99"/>
        <w:insideH w:val="single" w:sz="4" w:space="0" w:color="9AA7B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2-Accent6">
    <w:name w:val="List Table 2 Accent 6"/>
    <w:basedOn w:val="TableNormal"/>
    <w:uiPriority w:val="47"/>
    <w:rsid w:val="00C5169B"/>
    <w:pPr>
      <w:spacing w:after="0" w:line="240" w:lineRule="auto"/>
    </w:pPr>
    <w:tblPr>
      <w:tblStyleRowBandSize w:val="1"/>
      <w:tblStyleColBandSize w:val="1"/>
      <w:tblBorders>
        <w:top w:val="single" w:sz="4" w:space="0" w:color="6B7097" w:themeColor="accent6" w:themeTint="99"/>
        <w:bottom w:val="single" w:sz="4" w:space="0" w:color="6B7097" w:themeColor="accent6" w:themeTint="99"/>
        <w:insideH w:val="single" w:sz="4" w:space="0" w:color="6B70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3">
    <w:name w:val="List Table 3"/>
    <w:basedOn w:val="TableNormal"/>
    <w:uiPriority w:val="48"/>
    <w:rsid w:val="00C5169B"/>
    <w:pPr>
      <w:spacing w:after="0" w:line="240" w:lineRule="auto"/>
    </w:pPr>
    <w:tblPr>
      <w:tblStyleRowBandSize w:val="1"/>
      <w:tblStyleColBandSize w:val="1"/>
      <w:tblBorders>
        <w:top w:val="single" w:sz="4" w:space="0" w:color="5D6D78" w:themeColor="text1"/>
        <w:left w:val="single" w:sz="4" w:space="0" w:color="5D6D78" w:themeColor="text1"/>
        <w:bottom w:val="single" w:sz="4" w:space="0" w:color="5D6D78" w:themeColor="text1"/>
        <w:right w:val="single" w:sz="4" w:space="0" w:color="5D6D78" w:themeColor="text1"/>
      </w:tblBorders>
    </w:tblPr>
    <w:tblStylePr w:type="firstRow">
      <w:rPr>
        <w:b/>
        <w:bCs/>
        <w:color w:val="FFFFFF" w:themeColor="background1"/>
      </w:rPr>
      <w:tblPr/>
      <w:tcPr>
        <w:shd w:val="clear" w:color="auto" w:fill="5D6D78" w:themeFill="text1"/>
      </w:tcPr>
    </w:tblStylePr>
    <w:tblStylePr w:type="lastRow">
      <w:rPr>
        <w:b/>
        <w:bCs/>
      </w:rPr>
      <w:tblPr/>
      <w:tcPr>
        <w:tcBorders>
          <w:top w:val="double" w:sz="4" w:space="0" w:color="5D6D78"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text1"/>
          <w:right w:val="single" w:sz="4" w:space="0" w:color="5D6D78" w:themeColor="text1"/>
        </w:tcBorders>
      </w:tcPr>
    </w:tblStylePr>
    <w:tblStylePr w:type="band1Horz">
      <w:tblPr/>
      <w:tcPr>
        <w:tcBorders>
          <w:top w:val="single" w:sz="4" w:space="0" w:color="5D6D78" w:themeColor="text1"/>
          <w:bottom w:val="single" w:sz="4" w:space="0" w:color="5D6D78"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text1"/>
          <w:left w:val="nil"/>
        </w:tcBorders>
      </w:tcPr>
    </w:tblStylePr>
    <w:tblStylePr w:type="swCell">
      <w:tblPr/>
      <w:tcPr>
        <w:tcBorders>
          <w:top w:val="double" w:sz="4" w:space="0" w:color="5D6D78" w:themeColor="text1"/>
          <w:right w:val="nil"/>
        </w:tcBorders>
      </w:tcPr>
    </w:tblStylePr>
  </w:style>
  <w:style w:type="table" w:styleId="ListTable3-Accent1">
    <w:name w:val="List Table 3 Accent 1"/>
    <w:basedOn w:val="TableNormal"/>
    <w:uiPriority w:val="48"/>
    <w:rsid w:val="00C5169B"/>
    <w:pPr>
      <w:spacing w:after="0" w:line="240" w:lineRule="auto"/>
    </w:pPr>
    <w:tblPr>
      <w:tblStyleRowBandSize w:val="1"/>
      <w:tblStyleColBandSize w:val="1"/>
      <w:tblBorders>
        <w:top w:val="single" w:sz="4" w:space="0" w:color="EB0017" w:themeColor="accent1"/>
        <w:left w:val="single" w:sz="4" w:space="0" w:color="EB0017" w:themeColor="accent1"/>
        <w:bottom w:val="single" w:sz="4" w:space="0" w:color="EB0017" w:themeColor="accent1"/>
        <w:right w:val="single" w:sz="4" w:space="0" w:color="EB0017" w:themeColor="accent1"/>
      </w:tblBorders>
    </w:tblPr>
    <w:tblStylePr w:type="firstRow">
      <w:rPr>
        <w:b/>
        <w:bCs/>
        <w:color w:val="FFFFFF" w:themeColor="background1"/>
      </w:rPr>
      <w:tblPr/>
      <w:tcPr>
        <w:shd w:val="clear" w:color="auto" w:fill="EB0017" w:themeFill="accent1"/>
      </w:tcPr>
    </w:tblStylePr>
    <w:tblStylePr w:type="lastRow">
      <w:rPr>
        <w:b/>
        <w:bCs/>
      </w:rPr>
      <w:tblPr/>
      <w:tcPr>
        <w:tcBorders>
          <w:top w:val="double" w:sz="4" w:space="0" w:color="EB00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B0017" w:themeColor="accent1"/>
          <w:right w:val="single" w:sz="4" w:space="0" w:color="EB0017" w:themeColor="accent1"/>
        </w:tcBorders>
      </w:tcPr>
    </w:tblStylePr>
    <w:tblStylePr w:type="band1Horz">
      <w:tblPr/>
      <w:tcPr>
        <w:tcBorders>
          <w:top w:val="single" w:sz="4" w:space="0" w:color="EB0017" w:themeColor="accent1"/>
          <w:bottom w:val="single" w:sz="4" w:space="0" w:color="EB00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B0017" w:themeColor="accent1"/>
          <w:left w:val="nil"/>
        </w:tcBorders>
      </w:tcPr>
    </w:tblStylePr>
    <w:tblStylePr w:type="swCell">
      <w:tblPr/>
      <w:tcPr>
        <w:tcBorders>
          <w:top w:val="double" w:sz="4" w:space="0" w:color="EB0017" w:themeColor="accent1"/>
          <w:right w:val="nil"/>
        </w:tcBorders>
      </w:tcPr>
    </w:tblStylePr>
  </w:style>
  <w:style w:type="table" w:styleId="ListTable3-Accent2">
    <w:name w:val="List Table 3 Accent 2"/>
    <w:basedOn w:val="TableNormal"/>
    <w:uiPriority w:val="48"/>
    <w:rsid w:val="00C5169B"/>
    <w:pPr>
      <w:spacing w:after="0" w:line="240" w:lineRule="auto"/>
    </w:pPr>
    <w:tblPr>
      <w:tblStyleRowBandSize w:val="1"/>
      <w:tblStyleColBandSize w:val="1"/>
      <w:tblBorders>
        <w:top w:val="single" w:sz="4" w:space="0" w:color="82939A" w:themeColor="accent2"/>
        <w:left w:val="single" w:sz="4" w:space="0" w:color="82939A" w:themeColor="accent2"/>
        <w:bottom w:val="single" w:sz="4" w:space="0" w:color="82939A" w:themeColor="accent2"/>
        <w:right w:val="single" w:sz="4" w:space="0" w:color="82939A" w:themeColor="accent2"/>
      </w:tblBorders>
    </w:tblPr>
    <w:tblStylePr w:type="firstRow">
      <w:rPr>
        <w:b/>
        <w:bCs/>
        <w:color w:val="FFFFFF" w:themeColor="background1"/>
      </w:rPr>
      <w:tblPr/>
      <w:tcPr>
        <w:shd w:val="clear" w:color="auto" w:fill="82939A" w:themeFill="accent2"/>
      </w:tcPr>
    </w:tblStylePr>
    <w:tblStylePr w:type="lastRow">
      <w:rPr>
        <w:b/>
        <w:bCs/>
      </w:rPr>
      <w:tblPr/>
      <w:tcPr>
        <w:tcBorders>
          <w:top w:val="double" w:sz="4" w:space="0" w:color="82939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939A" w:themeColor="accent2"/>
          <w:right w:val="single" w:sz="4" w:space="0" w:color="82939A" w:themeColor="accent2"/>
        </w:tcBorders>
      </w:tcPr>
    </w:tblStylePr>
    <w:tblStylePr w:type="band1Horz">
      <w:tblPr/>
      <w:tcPr>
        <w:tcBorders>
          <w:top w:val="single" w:sz="4" w:space="0" w:color="82939A" w:themeColor="accent2"/>
          <w:bottom w:val="single" w:sz="4" w:space="0" w:color="82939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939A" w:themeColor="accent2"/>
          <w:left w:val="nil"/>
        </w:tcBorders>
      </w:tcPr>
    </w:tblStylePr>
    <w:tblStylePr w:type="swCell">
      <w:tblPr/>
      <w:tcPr>
        <w:tcBorders>
          <w:top w:val="double" w:sz="4" w:space="0" w:color="82939A" w:themeColor="accent2"/>
          <w:right w:val="nil"/>
        </w:tcBorders>
      </w:tcPr>
    </w:tblStylePr>
  </w:style>
  <w:style w:type="table" w:styleId="ListTable3-Accent3">
    <w:name w:val="List Table 3 Accent 3"/>
    <w:basedOn w:val="TableNormal"/>
    <w:uiPriority w:val="48"/>
    <w:rsid w:val="00C5169B"/>
    <w:pPr>
      <w:spacing w:after="0" w:line="240" w:lineRule="auto"/>
    </w:pPr>
    <w:tblPr>
      <w:tblStyleRowBandSize w:val="1"/>
      <w:tblStyleColBandSize w:val="1"/>
      <w:tblBorders>
        <w:top w:val="single" w:sz="4" w:space="0" w:color="E5EFF0" w:themeColor="accent3"/>
        <w:left w:val="single" w:sz="4" w:space="0" w:color="E5EFF0" w:themeColor="accent3"/>
        <w:bottom w:val="single" w:sz="4" w:space="0" w:color="E5EFF0" w:themeColor="accent3"/>
        <w:right w:val="single" w:sz="4" w:space="0" w:color="E5EFF0" w:themeColor="accent3"/>
      </w:tblBorders>
    </w:tblPr>
    <w:tblStylePr w:type="firstRow">
      <w:rPr>
        <w:b/>
        <w:bCs/>
        <w:color w:val="FFFFFF" w:themeColor="background1"/>
      </w:rPr>
      <w:tblPr/>
      <w:tcPr>
        <w:shd w:val="clear" w:color="auto" w:fill="E5EFF0" w:themeFill="accent3"/>
      </w:tcPr>
    </w:tblStylePr>
    <w:tblStylePr w:type="lastRow">
      <w:rPr>
        <w:b/>
        <w:bCs/>
      </w:rPr>
      <w:tblPr/>
      <w:tcPr>
        <w:tcBorders>
          <w:top w:val="double" w:sz="4" w:space="0" w:color="E5EFF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FF0" w:themeColor="accent3"/>
          <w:right w:val="single" w:sz="4" w:space="0" w:color="E5EFF0" w:themeColor="accent3"/>
        </w:tcBorders>
      </w:tcPr>
    </w:tblStylePr>
    <w:tblStylePr w:type="band1Horz">
      <w:tblPr/>
      <w:tcPr>
        <w:tcBorders>
          <w:top w:val="single" w:sz="4" w:space="0" w:color="E5EFF0" w:themeColor="accent3"/>
          <w:bottom w:val="single" w:sz="4" w:space="0" w:color="E5EFF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FF0" w:themeColor="accent3"/>
          <w:left w:val="nil"/>
        </w:tcBorders>
      </w:tcPr>
    </w:tblStylePr>
    <w:tblStylePr w:type="swCell">
      <w:tblPr/>
      <w:tcPr>
        <w:tcBorders>
          <w:top w:val="double" w:sz="4" w:space="0" w:color="E5EFF0" w:themeColor="accent3"/>
          <w:right w:val="nil"/>
        </w:tcBorders>
      </w:tcPr>
    </w:tblStylePr>
  </w:style>
  <w:style w:type="table" w:styleId="ListTable3-Accent4">
    <w:name w:val="List Table 3 Accent 4"/>
    <w:basedOn w:val="TableNormal"/>
    <w:uiPriority w:val="48"/>
    <w:rsid w:val="00C5169B"/>
    <w:pPr>
      <w:spacing w:after="0" w:line="240" w:lineRule="auto"/>
    </w:pPr>
    <w:tblPr>
      <w:tblStyleRowBandSize w:val="1"/>
      <w:tblStyleColBandSize w:val="1"/>
      <w:tblBorders>
        <w:top w:val="single" w:sz="4" w:space="0" w:color="CDDBDE" w:themeColor="accent4"/>
        <w:left w:val="single" w:sz="4" w:space="0" w:color="CDDBDE" w:themeColor="accent4"/>
        <w:bottom w:val="single" w:sz="4" w:space="0" w:color="CDDBDE" w:themeColor="accent4"/>
        <w:right w:val="single" w:sz="4" w:space="0" w:color="CDDBDE" w:themeColor="accent4"/>
      </w:tblBorders>
    </w:tblPr>
    <w:tblStylePr w:type="firstRow">
      <w:rPr>
        <w:b/>
        <w:bCs/>
        <w:color w:val="FFFFFF" w:themeColor="background1"/>
      </w:rPr>
      <w:tblPr/>
      <w:tcPr>
        <w:shd w:val="clear" w:color="auto" w:fill="CDDBDE" w:themeFill="accent4"/>
      </w:tcPr>
    </w:tblStylePr>
    <w:tblStylePr w:type="lastRow">
      <w:rPr>
        <w:b/>
        <w:bCs/>
      </w:rPr>
      <w:tblPr/>
      <w:tcPr>
        <w:tcBorders>
          <w:top w:val="double" w:sz="4" w:space="0" w:color="CDDBD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BDE" w:themeColor="accent4"/>
          <w:right w:val="single" w:sz="4" w:space="0" w:color="CDDBDE" w:themeColor="accent4"/>
        </w:tcBorders>
      </w:tcPr>
    </w:tblStylePr>
    <w:tblStylePr w:type="band1Horz">
      <w:tblPr/>
      <w:tcPr>
        <w:tcBorders>
          <w:top w:val="single" w:sz="4" w:space="0" w:color="CDDBDE" w:themeColor="accent4"/>
          <w:bottom w:val="single" w:sz="4" w:space="0" w:color="CDDBD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BDE" w:themeColor="accent4"/>
          <w:left w:val="nil"/>
        </w:tcBorders>
      </w:tcPr>
    </w:tblStylePr>
    <w:tblStylePr w:type="swCell">
      <w:tblPr/>
      <w:tcPr>
        <w:tcBorders>
          <w:top w:val="double" w:sz="4" w:space="0" w:color="CDDBDE" w:themeColor="accent4"/>
          <w:right w:val="nil"/>
        </w:tcBorders>
      </w:tcPr>
    </w:tblStylePr>
  </w:style>
  <w:style w:type="table" w:styleId="ListTable3-Accent5">
    <w:name w:val="List Table 3 Accent 5"/>
    <w:basedOn w:val="TableNormal"/>
    <w:uiPriority w:val="48"/>
    <w:rsid w:val="00C5169B"/>
    <w:pPr>
      <w:spacing w:after="0" w:line="240" w:lineRule="auto"/>
    </w:pPr>
    <w:tblPr>
      <w:tblStyleRowBandSize w:val="1"/>
      <w:tblStyleColBandSize w:val="1"/>
      <w:tblBorders>
        <w:top w:val="single" w:sz="4" w:space="0" w:color="5D6D78" w:themeColor="accent5"/>
        <w:left w:val="single" w:sz="4" w:space="0" w:color="5D6D78" w:themeColor="accent5"/>
        <w:bottom w:val="single" w:sz="4" w:space="0" w:color="5D6D78" w:themeColor="accent5"/>
        <w:right w:val="single" w:sz="4" w:space="0" w:color="5D6D78" w:themeColor="accent5"/>
      </w:tblBorders>
    </w:tblPr>
    <w:tblStylePr w:type="firstRow">
      <w:rPr>
        <w:b/>
        <w:bCs/>
        <w:color w:val="FFFFFF" w:themeColor="background1"/>
      </w:rPr>
      <w:tblPr/>
      <w:tcPr>
        <w:shd w:val="clear" w:color="auto" w:fill="5D6D78" w:themeFill="accent5"/>
      </w:tcPr>
    </w:tblStylePr>
    <w:tblStylePr w:type="lastRow">
      <w:rPr>
        <w:b/>
        <w:bCs/>
      </w:rPr>
      <w:tblPr/>
      <w:tcPr>
        <w:tcBorders>
          <w:top w:val="double" w:sz="4" w:space="0" w:color="5D6D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D6D78" w:themeColor="accent5"/>
          <w:right w:val="single" w:sz="4" w:space="0" w:color="5D6D78" w:themeColor="accent5"/>
        </w:tcBorders>
      </w:tcPr>
    </w:tblStylePr>
    <w:tblStylePr w:type="band1Horz">
      <w:tblPr/>
      <w:tcPr>
        <w:tcBorders>
          <w:top w:val="single" w:sz="4" w:space="0" w:color="5D6D78" w:themeColor="accent5"/>
          <w:bottom w:val="single" w:sz="4" w:space="0" w:color="5D6D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D6D78" w:themeColor="accent5"/>
          <w:left w:val="nil"/>
        </w:tcBorders>
      </w:tcPr>
    </w:tblStylePr>
    <w:tblStylePr w:type="swCell">
      <w:tblPr/>
      <w:tcPr>
        <w:tcBorders>
          <w:top w:val="double" w:sz="4" w:space="0" w:color="5D6D78" w:themeColor="accent5"/>
          <w:right w:val="nil"/>
        </w:tcBorders>
      </w:tcPr>
    </w:tblStylePr>
  </w:style>
  <w:style w:type="table" w:styleId="ListTable3-Accent6">
    <w:name w:val="List Table 3 Accent 6"/>
    <w:basedOn w:val="TableNormal"/>
    <w:uiPriority w:val="48"/>
    <w:rsid w:val="00C5169B"/>
    <w:pPr>
      <w:spacing w:after="0" w:line="240" w:lineRule="auto"/>
    </w:pPr>
    <w:tblPr>
      <w:tblStyleRowBandSize w:val="1"/>
      <w:tblStyleColBandSize w:val="1"/>
      <w:tblBorders>
        <w:top w:val="single" w:sz="4" w:space="0" w:color="262836" w:themeColor="accent6"/>
        <w:left w:val="single" w:sz="4" w:space="0" w:color="262836" w:themeColor="accent6"/>
        <w:bottom w:val="single" w:sz="4" w:space="0" w:color="262836" w:themeColor="accent6"/>
        <w:right w:val="single" w:sz="4" w:space="0" w:color="262836" w:themeColor="accent6"/>
      </w:tblBorders>
    </w:tblPr>
    <w:tblStylePr w:type="firstRow">
      <w:rPr>
        <w:b/>
        <w:bCs/>
        <w:color w:val="FFFFFF" w:themeColor="background1"/>
      </w:rPr>
      <w:tblPr/>
      <w:tcPr>
        <w:shd w:val="clear" w:color="auto" w:fill="262836" w:themeFill="accent6"/>
      </w:tcPr>
    </w:tblStylePr>
    <w:tblStylePr w:type="lastRow">
      <w:rPr>
        <w:b/>
        <w:bCs/>
      </w:rPr>
      <w:tblPr/>
      <w:tcPr>
        <w:tcBorders>
          <w:top w:val="double" w:sz="4" w:space="0" w:color="26283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836" w:themeColor="accent6"/>
          <w:right w:val="single" w:sz="4" w:space="0" w:color="262836" w:themeColor="accent6"/>
        </w:tcBorders>
      </w:tcPr>
    </w:tblStylePr>
    <w:tblStylePr w:type="band1Horz">
      <w:tblPr/>
      <w:tcPr>
        <w:tcBorders>
          <w:top w:val="single" w:sz="4" w:space="0" w:color="262836" w:themeColor="accent6"/>
          <w:bottom w:val="single" w:sz="4" w:space="0" w:color="26283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836" w:themeColor="accent6"/>
          <w:left w:val="nil"/>
        </w:tcBorders>
      </w:tcPr>
    </w:tblStylePr>
    <w:tblStylePr w:type="swCell">
      <w:tblPr/>
      <w:tcPr>
        <w:tcBorders>
          <w:top w:val="double" w:sz="4" w:space="0" w:color="262836" w:themeColor="accent6"/>
          <w:right w:val="nil"/>
        </w:tcBorders>
      </w:tcPr>
    </w:tblStylePr>
  </w:style>
  <w:style w:type="table" w:styleId="ListTable4">
    <w:name w:val="List Table 4"/>
    <w:basedOn w:val="TableNormal"/>
    <w:uiPriority w:val="49"/>
    <w:rsid w:val="00C5169B"/>
    <w:pPr>
      <w:spacing w:after="0" w:line="240" w:lineRule="auto"/>
    </w:pPr>
    <w:tblPr>
      <w:tblStyleRowBandSize w:val="1"/>
      <w:tblStyleColBandSize w:val="1"/>
      <w:tblBorders>
        <w:top w:val="single" w:sz="4" w:space="0" w:color="9AA7B1" w:themeColor="text1" w:themeTint="99"/>
        <w:left w:val="single" w:sz="4" w:space="0" w:color="9AA7B1" w:themeColor="text1" w:themeTint="99"/>
        <w:bottom w:val="single" w:sz="4" w:space="0" w:color="9AA7B1" w:themeColor="text1" w:themeTint="99"/>
        <w:right w:val="single" w:sz="4" w:space="0" w:color="9AA7B1" w:themeColor="text1" w:themeTint="99"/>
        <w:insideH w:val="single" w:sz="4" w:space="0" w:color="9AA7B1" w:themeColor="text1" w:themeTint="99"/>
      </w:tblBorders>
    </w:tblPr>
    <w:tblStylePr w:type="firstRow">
      <w:rPr>
        <w:b/>
        <w:bCs/>
        <w:color w:val="FFFFFF" w:themeColor="background1"/>
      </w:rPr>
      <w:tblPr/>
      <w:tcPr>
        <w:tcBorders>
          <w:top w:val="single" w:sz="4" w:space="0" w:color="5D6D78" w:themeColor="text1"/>
          <w:left w:val="single" w:sz="4" w:space="0" w:color="5D6D78" w:themeColor="text1"/>
          <w:bottom w:val="single" w:sz="4" w:space="0" w:color="5D6D78" w:themeColor="text1"/>
          <w:right w:val="single" w:sz="4" w:space="0" w:color="5D6D78" w:themeColor="text1"/>
          <w:insideH w:val="nil"/>
        </w:tcBorders>
        <w:shd w:val="clear" w:color="auto" w:fill="5D6D78" w:themeFill="text1"/>
      </w:tcPr>
    </w:tblStylePr>
    <w:tblStylePr w:type="lastRow">
      <w:rPr>
        <w:b/>
        <w:bCs/>
      </w:rPr>
      <w:tblPr/>
      <w:tcPr>
        <w:tcBorders>
          <w:top w:val="double" w:sz="4" w:space="0" w:color="9AA7B1" w:themeColor="text1" w:themeTint="99"/>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4-Accent1">
    <w:name w:val="List Table 4 Accent 1"/>
    <w:basedOn w:val="TableNormal"/>
    <w:uiPriority w:val="49"/>
    <w:rsid w:val="00C5169B"/>
    <w:pPr>
      <w:spacing w:after="0" w:line="240" w:lineRule="auto"/>
    </w:pPr>
    <w:tblPr>
      <w:tblStyleRowBandSize w:val="1"/>
      <w:tblStyleColBandSize w:val="1"/>
      <w:tblBorders>
        <w:top w:val="single" w:sz="4" w:space="0" w:color="FF5A69" w:themeColor="accent1" w:themeTint="99"/>
        <w:left w:val="single" w:sz="4" w:space="0" w:color="FF5A69" w:themeColor="accent1" w:themeTint="99"/>
        <w:bottom w:val="single" w:sz="4" w:space="0" w:color="FF5A69" w:themeColor="accent1" w:themeTint="99"/>
        <w:right w:val="single" w:sz="4" w:space="0" w:color="FF5A69" w:themeColor="accent1" w:themeTint="99"/>
        <w:insideH w:val="single" w:sz="4" w:space="0" w:color="FF5A69" w:themeColor="accent1" w:themeTint="99"/>
      </w:tblBorders>
    </w:tblPr>
    <w:tblStylePr w:type="firstRow">
      <w:rPr>
        <w:b/>
        <w:bCs/>
        <w:color w:val="FFFFFF" w:themeColor="background1"/>
      </w:rPr>
      <w:tblPr/>
      <w:tcPr>
        <w:tcBorders>
          <w:top w:val="single" w:sz="4" w:space="0" w:color="EB0017" w:themeColor="accent1"/>
          <w:left w:val="single" w:sz="4" w:space="0" w:color="EB0017" w:themeColor="accent1"/>
          <w:bottom w:val="single" w:sz="4" w:space="0" w:color="EB0017" w:themeColor="accent1"/>
          <w:right w:val="single" w:sz="4" w:space="0" w:color="EB0017" w:themeColor="accent1"/>
          <w:insideH w:val="nil"/>
        </w:tcBorders>
        <w:shd w:val="clear" w:color="auto" w:fill="EB0017" w:themeFill="accent1"/>
      </w:tcPr>
    </w:tblStylePr>
    <w:tblStylePr w:type="lastRow">
      <w:rPr>
        <w:b/>
        <w:bCs/>
      </w:rPr>
      <w:tblPr/>
      <w:tcPr>
        <w:tcBorders>
          <w:top w:val="double" w:sz="4" w:space="0" w:color="FF5A69" w:themeColor="accent1" w:themeTint="99"/>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4-Accent2">
    <w:name w:val="List Table 4 Accent 2"/>
    <w:basedOn w:val="TableNormal"/>
    <w:uiPriority w:val="49"/>
    <w:rsid w:val="00C5169B"/>
    <w:pPr>
      <w:spacing w:after="0" w:line="240" w:lineRule="auto"/>
    </w:pPr>
    <w:tblPr>
      <w:tblStyleRowBandSize w:val="1"/>
      <w:tblStyleColBandSize w:val="1"/>
      <w:tblBorders>
        <w:top w:val="single" w:sz="4" w:space="0" w:color="B3BEC2" w:themeColor="accent2" w:themeTint="99"/>
        <w:left w:val="single" w:sz="4" w:space="0" w:color="B3BEC2" w:themeColor="accent2" w:themeTint="99"/>
        <w:bottom w:val="single" w:sz="4" w:space="0" w:color="B3BEC2" w:themeColor="accent2" w:themeTint="99"/>
        <w:right w:val="single" w:sz="4" w:space="0" w:color="B3BEC2" w:themeColor="accent2" w:themeTint="99"/>
        <w:insideH w:val="single" w:sz="4" w:space="0" w:color="B3BEC2" w:themeColor="accent2" w:themeTint="99"/>
      </w:tblBorders>
    </w:tblPr>
    <w:tblStylePr w:type="firstRow">
      <w:rPr>
        <w:b/>
        <w:bCs/>
        <w:color w:val="FFFFFF" w:themeColor="background1"/>
      </w:rPr>
      <w:tblPr/>
      <w:tcPr>
        <w:tcBorders>
          <w:top w:val="single" w:sz="4" w:space="0" w:color="82939A" w:themeColor="accent2"/>
          <w:left w:val="single" w:sz="4" w:space="0" w:color="82939A" w:themeColor="accent2"/>
          <w:bottom w:val="single" w:sz="4" w:space="0" w:color="82939A" w:themeColor="accent2"/>
          <w:right w:val="single" w:sz="4" w:space="0" w:color="82939A" w:themeColor="accent2"/>
          <w:insideH w:val="nil"/>
        </w:tcBorders>
        <w:shd w:val="clear" w:color="auto" w:fill="82939A" w:themeFill="accent2"/>
      </w:tcPr>
    </w:tblStylePr>
    <w:tblStylePr w:type="lastRow">
      <w:rPr>
        <w:b/>
        <w:bCs/>
      </w:rPr>
      <w:tblPr/>
      <w:tcPr>
        <w:tcBorders>
          <w:top w:val="double" w:sz="4" w:space="0" w:color="B3BEC2" w:themeColor="accent2" w:themeTint="99"/>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4-Accent3">
    <w:name w:val="List Table 4 Accent 3"/>
    <w:basedOn w:val="TableNormal"/>
    <w:uiPriority w:val="49"/>
    <w:rsid w:val="00C5169B"/>
    <w:pPr>
      <w:spacing w:after="0" w:line="240" w:lineRule="auto"/>
    </w:pPr>
    <w:tblPr>
      <w:tblStyleRowBandSize w:val="1"/>
      <w:tblStyleColBandSize w:val="1"/>
      <w:tblBorders>
        <w:top w:val="single" w:sz="4" w:space="0" w:color="EFF5F6" w:themeColor="accent3" w:themeTint="99"/>
        <w:left w:val="single" w:sz="4" w:space="0" w:color="EFF5F6" w:themeColor="accent3" w:themeTint="99"/>
        <w:bottom w:val="single" w:sz="4" w:space="0" w:color="EFF5F6" w:themeColor="accent3" w:themeTint="99"/>
        <w:right w:val="single" w:sz="4" w:space="0" w:color="EFF5F6" w:themeColor="accent3" w:themeTint="99"/>
        <w:insideH w:val="single" w:sz="4" w:space="0" w:color="EFF5F6" w:themeColor="accent3" w:themeTint="99"/>
      </w:tblBorders>
    </w:tblPr>
    <w:tblStylePr w:type="firstRow">
      <w:rPr>
        <w:b/>
        <w:bCs/>
        <w:color w:val="FFFFFF" w:themeColor="background1"/>
      </w:rPr>
      <w:tblPr/>
      <w:tcPr>
        <w:tcBorders>
          <w:top w:val="single" w:sz="4" w:space="0" w:color="E5EFF0" w:themeColor="accent3"/>
          <w:left w:val="single" w:sz="4" w:space="0" w:color="E5EFF0" w:themeColor="accent3"/>
          <w:bottom w:val="single" w:sz="4" w:space="0" w:color="E5EFF0" w:themeColor="accent3"/>
          <w:right w:val="single" w:sz="4" w:space="0" w:color="E5EFF0" w:themeColor="accent3"/>
          <w:insideH w:val="nil"/>
        </w:tcBorders>
        <w:shd w:val="clear" w:color="auto" w:fill="E5EFF0" w:themeFill="accent3"/>
      </w:tcPr>
    </w:tblStylePr>
    <w:tblStylePr w:type="lastRow">
      <w:rPr>
        <w:b/>
        <w:bCs/>
      </w:rPr>
      <w:tblPr/>
      <w:tcPr>
        <w:tcBorders>
          <w:top w:val="double" w:sz="4" w:space="0" w:color="EFF5F6" w:themeColor="accent3" w:themeTint="99"/>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4-Accent4">
    <w:name w:val="List Table 4 Accent 4"/>
    <w:basedOn w:val="TableNormal"/>
    <w:uiPriority w:val="49"/>
    <w:rsid w:val="00C5169B"/>
    <w:pPr>
      <w:spacing w:after="0" w:line="240" w:lineRule="auto"/>
    </w:pPr>
    <w:tblPr>
      <w:tblStyleRowBandSize w:val="1"/>
      <w:tblStyleColBandSize w:val="1"/>
      <w:tblBorders>
        <w:top w:val="single" w:sz="4" w:space="0" w:color="E0E9EB" w:themeColor="accent4" w:themeTint="99"/>
        <w:left w:val="single" w:sz="4" w:space="0" w:color="E0E9EB" w:themeColor="accent4" w:themeTint="99"/>
        <w:bottom w:val="single" w:sz="4" w:space="0" w:color="E0E9EB" w:themeColor="accent4" w:themeTint="99"/>
        <w:right w:val="single" w:sz="4" w:space="0" w:color="E0E9EB" w:themeColor="accent4" w:themeTint="99"/>
        <w:insideH w:val="single" w:sz="4" w:space="0" w:color="E0E9EB" w:themeColor="accent4" w:themeTint="99"/>
      </w:tblBorders>
    </w:tblPr>
    <w:tblStylePr w:type="firstRow">
      <w:rPr>
        <w:b/>
        <w:bCs/>
        <w:color w:val="FFFFFF" w:themeColor="background1"/>
      </w:rPr>
      <w:tblPr/>
      <w:tcPr>
        <w:tcBorders>
          <w:top w:val="single" w:sz="4" w:space="0" w:color="CDDBDE" w:themeColor="accent4"/>
          <w:left w:val="single" w:sz="4" w:space="0" w:color="CDDBDE" w:themeColor="accent4"/>
          <w:bottom w:val="single" w:sz="4" w:space="0" w:color="CDDBDE" w:themeColor="accent4"/>
          <w:right w:val="single" w:sz="4" w:space="0" w:color="CDDBDE" w:themeColor="accent4"/>
          <w:insideH w:val="nil"/>
        </w:tcBorders>
        <w:shd w:val="clear" w:color="auto" w:fill="CDDBDE" w:themeFill="accent4"/>
      </w:tcPr>
    </w:tblStylePr>
    <w:tblStylePr w:type="lastRow">
      <w:rPr>
        <w:b/>
        <w:bCs/>
      </w:rPr>
      <w:tblPr/>
      <w:tcPr>
        <w:tcBorders>
          <w:top w:val="double" w:sz="4" w:space="0" w:color="E0E9EB" w:themeColor="accent4" w:themeTint="99"/>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4-Accent5">
    <w:name w:val="List Table 4 Accent 5"/>
    <w:basedOn w:val="TableNormal"/>
    <w:uiPriority w:val="49"/>
    <w:rsid w:val="00C5169B"/>
    <w:pPr>
      <w:spacing w:after="0" w:line="240" w:lineRule="auto"/>
    </w:pPr>
    <w:tblPr>
      <w:tblStyleRowBandSize w:val="1"/>
      <w:tblStyleColBandSize w:val="1"/>
      <w:tblBorders>
        <w:top w:val="single" w:sz="4" w:space="0" w:color="9AA7B1" w:themeColor="accent5" w:themeTint="99"/>
        <w:left w:val="single" w:sz="4" w:space="0" w:color="9AA7B1" w:themeColor="accent5" w:themeTint="99"/>
        <w:bottom w:val="single" w:sz="4" w:space="0" w:color="9AA7B1" w:themeColor="accent5" w:themeTint="99"/>
        <w:right w:val="single" w:sz="4" w:space="0" w:color="9AA7B1" w:themeColor="accent5" w:themeTint="99"/>
        <w:insideH w:val="single" w:sz="4" w:space="0" w:color="9AA7B1" w:themeColor="accent5" w:themeTint="99"/>
      </w:tblBorders>
    </w:tblPr>
    <w:tblStylePr w:type="firstRow">
      <w:rPr>
        <w:b/>
        <w:bCs/>
        <w:color w:val="FFFFFF" w:themeColor="background1"/>
      </w:rPr>
      <w:tblPr/>
      <w:tcPr>
        <w:tcBorders>
          <w:top w:val="single" w:sz="4" w:space="0" w:color="5D6D78" w:themeColor="accent5"/>
          <w:left w:val="single" w:sz="4" w:space="0" w:color="5D6D78" w:themeColor="accent5"/>
          <w:bottom w:val="single" w:sz="4" w:space="0" w:color="5D6D78" w:themeColor="accent5"/>
          <w:right w:val="single" w:sz="4" w:space="0" w:color="5D6D78" w:themeColor="accent5"/>
          <w:insideH w:val="nil"/>
        </w:tcBorders>
        <w:shd w:val="clear" w:color="auto" w:fill="5D6D78" w:themeFill="accent5"/>
      </w:tcPr>
    </w:tblStylePr>
    <w:tblStylePr w:type="lastRow">
      <w:rPr>
        <w:b/>
        <w:bCs/>
      </w:rPr>
      <w:tblPr/>
      <w:tcPr>
        <w:tcBorders>
          <w:top w:val="double" w:sz="4" w:space="0" w:color="9AA7B1" w:themeColor="accent5" w:themeTint="99"/>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4-Accent6">
    <w:name w:val="List Table 4 Accent 6"/>
    <w:basedOn w:val="TableNormal"/>
    <w:uiPriority w:val="49"/>
    <w:rsid w:val="00C5169B"/>
    <w:pPr>
      <w:spacing w:after="0" w:line="240" w:lineRule="auto"/>
    </w:pPr>
    <w:tblPr>
      <w:tblStyleRowBandSize w:val="1"/>
      <w:tblStyleColBandSize w:val="1"/>
      <w:tblBorders>
        <w:top w:val="single" w:sz="4" w:space="0" w:color="6B7097" w:themeColor="accent6" w:themeTint="99"/>
        <w:left w:val="single" w:sz="4" w:space="0" w:color="6B7097" w:themeColor="accent6" w:themeTint="99"/>
        <w:bottom w:val="single" w:sz="4" w:space="0" w:color="6B7097" w:themeColor="accent6" w:themeTint="99"/>
        <w:right w:val="single" w:sz="4" w:space="0" w:color="6B7097" w:themeColor="accent6" w:themeTint="99"/>
        <w:insideH w:val="single" w:sz="4" w:space="0" w:color="6B7097" w:themeColor="accent6" w:themeTint="99"/>
      </w:tblBorders>
    </w:tblPr>
    <w:tblStylePr w:type="firstRow">
      <w:rPr>
        <w:b/>
        <w:bCs/>
        <w:color w:val="FFFFFF" w:themeColor="background1"/>
      </w:rPr>
      <w:tblPr/>
      <w:tcPr>
        <w:tcBorders>
          <w:top w:val="single" w:sz="4" w:space="0" w:color="262836" w:themeColor="accent6"/>
          <w:left w:val="single" w:sz="4" w:space="0" w:color="262836" w:themeColor="accent6"/>
          <w:bottom w:val="single" w:sz="4" w:space="0" w:color="262836" w:themeColor="accent6"/>
          <w:right w:val="single" w:sz="4" w:space="0" w:color="262836" w:themeColor="accent6"/>
          <w:insideH w:val="nil"/>
        </w:tcBorders>
        <w:shd w:val="clear" w:color="auto" w:fill="262836" w:themeFill="accent6"/>
      </w:tcPr>
    </w:tblStylePr>
    <w:tblStylePr w:type="lastRow">
      <w:rPr>
        <w:b/>
        <w:bCs/>
      </w:rPr>
      <w:tblPr/>
      <w:tcPr>
        <w:tcBorders>
          <w:top w:val="double" w:sz="4" w:space="0" w:color="6B7097" w:themeColor="accent6" w:themeTint="99"/>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5Dark">
    <w:name w:val="List Table 5 Dark"/>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text1"/>
        <w:left w:val="single" w:sz="24" w:space="0" w:color="5D6D78" w:themeColor="text1"/>
        <w:bottom w:val="single" w:sz="24" w:space="0" w:color="5D6D78" w:themeColor="text1"/>
        <w:right w:val="single" w:sz="24" w:space="0" w:color="5D6D78" w:themeColor="text1"/>
      </w:tblBorders>
    </w:tblPr>
    <w:tcPr>
      <w:shd w:val="clear" w:color="auto" w:fill="5D6D7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5169B"/>
    <w:pPr>
      <w:spacing w:after="0" w:line="240" w:lineRule="auto"/>
    </w:pPr>
    <w:rPr>
      <w:color w:val="FFFFFF" w:themeColor="background1"/>
    </w:rPr>
    <w:tblPr>
      <w:tblStyleRowBandSize w:val="1"/>
      <w:tblStyleColBandSize w:val="1"/>
      <w:tblBorders>
        <w:top w:val="single" w:sz="24" w:space="0" w:color="EB0017" w:themeColor="accent1"/>
        <w:left w:val="single" w:sz="24" w:space="0" w:color="EB0017" w:themeColor="accent1"/>
        <w:bottom w:val="single" w:sz="24" w:space="0" w:color="EB0017" w:themeColor="accent1"/>
        <w:right w:val="single" w:sz="24" w:space="0" w:color="EB0017" w:themeColor="accent1"/>
      </w:tblBorders>
    </w:tblPr>
    <w:tcPr>
      <w:shd w:val="clear" w:color="auto" w:fill="EB0017"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5169B"/>
    <w:pPr>
      <w:spacing w:after="0" w:line="240" w:lineRule="auto"/>
    </w:pPr>
    <w:rPr>
      <w:color w:val="FFFFFF" w:themeColor="background1"/>
    </w:rPr>
    <w:tblPr>
      <w:tblStyleRowBandSize w:val="1"/>
      <w:tblStyleColBandSize w:val="1"/>
      <w:tblBorders>
        <w:top w:val="single" w:sz="24" w:space="0" w:color="82939A" w:themeColor="accent2"/>
        <w:left w:val="single" w:sz="24" w:space="0" w:color="82939A" w:themeColor="accent2"/>
        <w:bottom w:val="single" w:sz="24" w:space="0" w:color="82939A" w:themeColor="accent2"/>
        <w:right w:val="single" w:sz="24" w:space="0" w:color="82939A" w:themeColor="accent2"/>
      </w:tblBorders>
    </w:tblPr>
    <w:tcPr>
      <w:shd w:val="clear" w:color="auto" w:fill="82939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5169B"/>
    <w:pPr>
      <w:spacing w:after="0" w:line="240" w:lineRule="auto"/>
    </w:pPr>
    <w:rPr>
      <w:color w:val="FFFFFF" w:themeColor="background1"/>
    </w:rPr>
    <w:tblPr>
      <w:tblStyleRowBandSize w:val="1"/>
      <w:tblStyleColBandSize w:val="1"/>
      <w:tblBorders>
        <w:top w:val="single" w:sz="24" w:space="0" w:color="E5EFF0" w:themeColor="accent3"/>
        <w:left w:val="single" w:sz="24" w:space="0" w:color="E5EFF0" w:themeColor="accent3"/>
        <w:bottom w:val="single" w:sz="24" w:space="0" w:color="E5EFF0" w:themeColor="accent3"/>
        <w:right w:val="single" w:sz="24" w:space="0" w:color="E5EFF0" w:themeColor="accent3"/>
      </w:tblBorders>
    </w:tblPr>
    <w:tcPr>
      <w:shd w:val="clear" w:color="auto" w:fill="E5EFF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5169B"/>
    <w:pPr>
      <w:spacing w:after="0" w:line="240" w:lineRule="auto"/>
    </w:pPr>
    <w:rPr>
      <w:color w:val="FFFFFF" w:themeColor="background1"/>
    </w:rPr>
    <w:tblPr>
      <w:tblStyleRowBandSize w:val="1"/>
      <w:tblStyleColBandSize w:val="1"/>
      <w:tblBorders>
        <w:top w:val="single" w:sz="24" w:space="0" w:color="CDDBDE" w:themeColor="accent4"/>
        <w:left w:val="single" w:sz="24" w:space="0" w:color="CDDBDE" w:themeColor="accent4"/>
        <w:bottom w:val="single" w:sz="24" w:space="0" w:color="CDDBDE" w:themeColor="accent4"/>
        <w:right w:val="single" w:sz="24" w:space="0" w:color="CDDBDE" w:themeColor="accent4"/>
      </w:tblBorders>
    </w:tblPr>
    <w:tcPr>
      <w:shd w:val="clear" w:color="auto" w:fill="CDDBD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5169B"/>
    <w:pPr>
      <w:spacing w:after="0" w:line="240" w:lineRule="auto"/>
    </w:pPr>
    <w:rPr>
      <w:color w:val="FFFFFF" w:themeColor="background1"/>
    </w:rPr>
    <w:tblPr>
      <w:tblStyleRowBandSize w:val="1"/>
      <w:tblStyleColBandSize w:val="1"/>
      <w:tblBorders>
        <w:top w:val="single" w:sz="24" w:space="0" w:color="5D6D78" w:themeColor="accent5"/>
        <w:left w:val="single" w:sz="24" w:space="0" w:color="5D6D78" w:themeColor="accent5"/>
        <w:bottom w:val="single" w:sz="24" w:space="0" w:color="5D6D78" w:themeColor="accent5"/>
        <w:right w:val="single" w:sz="24" w:space="0" w:color="5D6D78" w:themeColor="accent5"/>
      </w:tblBorders>
    </w:tblPr>
    <w:tcPr>
      <w:shd w:val="clear" w:color="auto" w:fill="5D6D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5169B"/>
    <w:pPr>
      <w:spacing w:after="0" w:line="240" w:lineRule="auto"/>
    </w:pPr>
    <w:rPr>
      <w:color w:val="FFFFFF" w:themeColor="background1"/>
    </w:rPr>
    <w:tblPr>
      <w:tblStyleRowBandSize w:val="1"/>
      <w:tblStyleColBandSize w:val="1"/>
      <w:tblBorders>
        <w:top w:val="single" w:sz="24" w:space="0" w:color="262836" w:themeColor="accent6"/>
        <w:left w:val="single" w:sz="24" w:space="0" w:color="262836" w:themeColor="accent6"/>
        <w:bottom w:val="single" w:sz="24" w:space="0" w:color="262836" w:themeColor="accent6"/>
        <w:right w:val="single" w:sz="24" w:space="0" w:color="262836" w:themeColor="accent6"/>
      </w:tblBorders>
    </w:tblPr>
    <w:tcPr>
      <w:shd w:val="clear" w:color="auto" w:fill="26283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5169B"/>
    <w:pPr>
      <w:spacing w:after="0" w:line="240" w:lineRule="auto"/>
    </w:pPr>
    <w:rPr>
      <w:color w:val="5D6D78" w:themeColor="text1"/>
    </w:rPr>
    <w:tblPr>
      <w:tblStyleRowBandSize w:val="1"/>
      <w:tblStyleColBandSize w:val="1"/>
      <w:tblBorders>
        <w:top w:val="single" w:sz="4" w:space="0" w:color="5D6D78" w:themeColor="text1"/>
        <w:bottom w:val="single" w:sz="4" w:space="0" w:color="5D6D78" w:themeColor="text1"/>
      </w:tblBorders>
    </w:tblPr>
    <w:tblStylePr w:type="firstRow">
      <w:rPr>
        <w:b/>
        <w:bCs/>
      </w:rPr>
      <w:tblPr/>
      <w:tcPr>
        <w:tcBorders>
          <w:bottom w:val="single" w:sz="4" w:space="0" w:color="5D6D78" w:themeColor="text1"/>
        </w:tcBorders>
      </w:tcPr>
    </w:tblStylePr>
    <w:tblStylePr w:type="lastRow">
      <w:rPr>
        <w:b/>
        <w:bCs/>
      </w:rPr>
      <w:tblPr/>
      <w:tcPr>
        <w:tcBorders>
          <w:top w:val="double" w:sz="4" w:space="0" w:color="5D6D78" w:themeColor="text1"/>
        </w:tcBorders>
      </w:tcPr>
    </w:tblStylePr>
    <w:tblStylePr w:type="firstCol">
      <w:rPr>
        <w:b/>
        <w:bCs/>
      </w:rPr>
    </w:tblStylePr>
    <w:tblStylePr w:type="lastCol">
      <w:rPr>
        <w:b/>
        <w:bCs/>
      </w:rPr>
    </w:tblStylePr>
    <w:tblStylePr w:type="band1Vert">
      <w:tblPr/>
      <w:tcPr>
        <w:shd w:val="clear" w:color="auto" w:fill="DDE1E5" w:themeFill="text1" w:themeFillTint="33"/>
      </w:tcPr>
    </w:tblStylePr>
    <w:tblStylePr w:type="band1Horz">
      <w:tblPr/>
      <w:tcPr>
        <w:shd w:val="clear" w:color="auto" w:fill="DDE1E5" w:themeFill="text1" w:themeFillTint="33"/>
      </w:tcPr>
    </w:tblStylePr>
  </w:style>
  <w:style w:type="table" w:styleId="ListTable6Colorful-Accent1">
    <w:name w:val="List Table 6 Colorful Accent 1"/>
    <w:basedOn w:val="TableNormal"/>
    <w:uiPriority w:val="51"/>
    <w:rsid w:val="00C5169B"/>
    <w:pPr>
      <w:spacing w:after="0" w:line="240" w:lineRule="auto"/>
    </w:pPr>
    <w:rPr>
      <w:color w:val="B00010" w:themeColor="accent1" w:themeShade="BF"/>
    </w:rPr>
    <w:tblPr>
      <w:tblStyleRowBandSize w:val="1"/>
      <w:tblStyleColBandSize w:val="1"/>
      <w:tblBorders>
        <w:top w:val="single" w:sz="4" w:space="0" w:color="EB0017" w:themeColor="accent1"/>
        <w:bottom w:val="single" w:sz="4" w:space="0" w:color="EB0017" w:themeColor="accent1"/>
      </w:tblBorders>
    </w:tblPr>
    <w:tblStylePr w:type="firstRow">
      <w:rPr>
        <w:b/>
        <w:bCs/>
      </w:rPr>
      <w:tblPr/>
      <w:tcPr>
        <w:tcBorders>
          <w:bottom w:val="single" w:sz="4" w:space="0" w:color="EB0017" w:themeColor="accent1"/>
        </w:tcBorders>
      </w:tcPr>
    </w:tblStylePr>
    <w:tblStylePr w:type="lastRow">
      <w:rPr>
        <w:b/>
        <w:bCs/>
      </w:rPr>
      <w:tblPr/>
      <w:tcPr>
        <w:tcBorders>
          <w:top w:val="double" w:sz="4" w:space="0" w:color="EB0017" w:themeColor="accent1"/>
        </w:tcBorders>
      </w:tcPr>
    </w:tblStylePr>
    <w:tblStylePr w:type="firstCol">
      <w:rPr>
        <w:b/>
        <w:bCs/>
      </w:rPr>
    </w:tblStylePr>
    <w:tblStylePr w:type="lastCol">
      <w:rPr>
        <w:b/>
        <w:bCs/>
      </w:rPr>
    </w:tblStylePr>
    <w:tblStylePr w:type="band1Vert">
      <w:tblPr/>
      <w:tcPr>
        <w:shd w:val="clear" w:color="auto" w:fill="FFC8CD" w:themeFill="accent1" w:themeFillTint="33"/>
      </w:tcPr>
    </w:tblStylePr>
    <w:tblStylePr w:type="band1Horz">
      <w:tblPr/>
      <w:tcPr>
        <w:shd w:val="clear" w:color="auto" w:fill="FFC8CD" w:themeFill="accent1" w:themeFillTint="33"/>
      </w:tcPr>
    </w:tblStylePr>
  </w:style>
  <w:style w:type="table" w:styleId="ListTable6Colorful-Accent2">
    <w:name w:val="List Table 6 Colorful Accent 2"/>
    <w:basedOn w:val="TableNormal"/>
    <w:uiPriority w:val="51"/>
    <w:rsid w:val="00C5169B"/>
    <w:pPr>
      <w:spacing w:after="0" w:line="240" w:lineRule="auto"/>
    </w:pPr>
    <w:rPr>
      <w:color w:val="5F6E75" w:themeColor="accent2" w:themeShade="BF"/>
    </w:rPr>
    <w:tblPr>
      <w:tblStyleRowBandSize w:val="1"/>
      <w:tblStyleColBandSize w:val="1"/>
      <w:tblBorders>
        <w:top w:val="single" w:sz="4" w:space="0" w:color="82939A" w:themeColor="accent2"/>
        <w:bottom w:val="single" w:sz="4" w:space="0" w:color="82939A" w:themeColor="accent2"/>
      </w:tblBorders>
    </w:tblPr>
    <w:tblStylePr w:type="firstRow">
      <w:rPr>
        <w:b/>
        <w:bCs/>
      </w:rPr>
      <w:tblPr/>
      <w:tcPr>
        <w:tcBorders>
          <w:bottom w:val="single" w:sz="4" w:space="0" w:color="82939A" w:themeColor="accent2"/>
        </w:tcBorders>
      </w:tcPr>
    </w:tblStylePr>
    <w:tblStylePr w:type="lastRow">
      <w:rPr>
        <w:b/>
        <w:bCs/>
      </w:rPr>
      <w:tblPr/>
      <w:tcPr>
        <w:tcBorders>
          <w:top w:val="double" w:sz="4" w:space="0" w:color="82939A" w:themeColor="accent2"/>
        </w:tcBorders>
      </w:tcPr>
    </w:tblStylePr>
    <w:tblStylePr w:type="firstCol">
      <w:rPr>
        <w:b/>
        <w:bCs/>
      </w:rPr>
    </w:tblStylePr>
    <w:tblStylePr w:type="lastCol">
      <w:rPr>
        <w:b/>
        <w:bCs/>
      </w:rPr>
    </w:tblStylePr>
    <w:tblStylePr w:type="band1Vert">
      <w:tblPr/>
      <w:tcPr>
        <w:shd w:val="clear" w:color="auto" w:fill="E5E9EA" w:themeFill="accent2" w:themeFillTint="33"/>
      </w:tcPr>
    </w:tblStylePr>
    <w:tblStylePr w:type="band1Horz">
      <w:tblPr/>
      <w:tcPr>
        <w:shd w:val="clear" w:color="auto" w:fill="E5E9EA" w:themeFill="accent2" w:themeFillTint="33"/>
      </w:tcPr>
    </w:tblStylePr>
  </w:style>
  <w:style w:type="table" w:styleId="ListTable6Colorful-Accent3">
    <w:name w:val="List Table 6 Colorful Accent 3"/>
    <w:basedOn w:val="TableNormal"/>
    <w:uiPriority w:val="51"/>
    <w:rsid w:val="00C5169B"/>
    <w:pPr>
      <w:spacing w:after="0" w:line="240" w:lineRule="auto"/>
    </w:pPr>
    <w:rPr>
      <w:color w:val="9AC0C4" w:themeColor="accent3" w:themeShade="BF"/>
    </w:rPr>
    <w:tblPr>
      <w:tblStyleRowBandSize w:val="1"/>
      <w:tblStyleColBandSize w:val="1"/>
      <w:tblBorders>
        <w:top w:val="single" w:sz="4" w:space="0" w:color="E5EFF0" w:themeColor="accent3"/>
        <w:bottom w:val="single" w:sz="4" w:space="0" w:color="E5EFF0" w:themeColor="accent3"/>
      </w:tblBorders>
    </w:tblPr>
    <w:tblStylePr w:type="firstRow">
      <w:rPr>
        <w:b/>
        <w:bCs/>
      </w:rPr>
      <w:tblPr/>
      <w:tcPr>
        <w:tcBorders>
          <w:bottom w:val="single" w:sz="4" w:space="0" w:color="E5EFF0" w:themeColor="accent3"/>
        </w:tcBorders>
      </w:tcPr>
    </w:tblStylePr>
    <w:tblStylePr w:type="lastRow">
      <w:rPr>
        <w:b/>
        <w:bCs/>
      </w:rPr>
      <w:tblPr/>
      <w:tcPr>
        <w:tcBorders>
          <w:top w:val="double" w:sz="4" w:space="0" w:color="E5EFF0" w:themeColor="accent3"/>
        </w:tcBorders>
      </w:tcPr>
    </w:tblStylePr>
    <w:tblStylePr w:type="firstCol">
      <w:rPr>
        <w:b/>
        <w:bCs/>
      </w:rPr>
    </w:tblStylePr>
    <w:tblStylePr w:type="lastCol">
      <w:rPr>
        <w:b/>
        <w:bCs/>
      </w:rPr>
    </w:tblStylePr>
    <w:tblStylePr w:type="band1Vert">
      <w:tblPr/>
      <w:tcPr>
        <w:shd w:val="clear" w:color="auto" w:fill="F9FBFC" w:themeFill="accent3" w:themeFillTint="33"/>
      </w:tcPr>
    </w:tblStylePr>
    <w:tblStylePr w:type="band1Horz">
      <w:tblPr/>
      <w:tcPr>
        <w:shd w:val="clear" w:color="auto" w:fill="F9FBFC" w:themeFill="accent3" w:themeFillTint="33"/>
      </w:tcPr>
    </w:tblStylePr>
  </w:style>
  <w:style w:type="table" w:styleId="ListTable6Colorful-Accent4">
    <w:name w:val="List Table 6 Colorful Accent 4"/>
    <w:basedOn w:val="TableNormal"/>
    <w:uiPriority w:val="51"/>
    <w:rsid w:val="00C5169B"/>
    <w:pPr>
      <w:spacing w:after="0" w:line="240" w:lineRule="auto"/>
    </w:pPr>
    <w:rPr>
      <w:color w:val="8CACB3" w:themeColor="accent4" w:themeShade="BF"/>
    </w:rPr>
    <w:tblPr>
      <w:tblStyleRowBandSize w:val="1"/>
      <w:tblStyleColBandSize w:val="1"/>
      <w:tblBorders>
        <w:top w:val="single" w:sz="4" w:space="0" w:color="CDDBDE" w:themeColor="accent4"/>
        <w:bottom w:val="single" w:sz="4" w:space="0" w:color="CDDBDE" w:themeColor="accent4"/>
      </w:tblBorders>
    </w:tblPr>
    <w:tblStylePr w:type="firstRow">
      <w:rPr>
        <w:b/>
        <w:bCs/>
      </w:rPr>
      <w:tblPr/>
      <w:tcPr>
        <w:tcBorders>
          <w:bottom w:val="single" w:sz="4" w:space="0" w:color="CDDBDE" w:themeColor="accent4"/>
        </w:tcBorders>
      </w:tcPr>
    </w:tblStylePr>
    <w:tblStylePr w:type="lastRow">
      <w:rPr>
        <w:b/>
        <w:bCs/>
      </w:rPr>
      <w:tblPr/>
      <w:tcPr>
        <w:tcBorders>
          <w:top w:val="double" w:sz="4" w:space="0" w:color="CDDBDE" w:themeColor="accent4"/>
        </w:tcBorders>
      </w:tcPr>
    </w:tblStylePr>
    <w:tblStylePr w:type="firstCol">
      <w:rPr>
        <w:b/>
        <w:bCs/>
      </w:rPr>
    </w:tblStylePr>
    <w:tblStylePr w:type="lastCol">
      <w:rPr>
        <w:b/>
        <w:bCs/>
      </w:rPr>
    </w:tblStylePr>
    <w:tblStylePr w:type="band1Vert">
      <w:tblPr/>
      <w:tcPr>
        <w:shd w:val="clear" w:color="auto" w:fill="F4F7F8" w:themeFill="accent4" w:themeFillTint="33"/>
      </w:tcPr>
    </w:tblStylePr>
    <w:tblStylePr w:type="band1Horz">
      <w:tblPr/>
      <w:tcPr>
        <w:shd w:val="clear" w:color="auto" w:fill="F4F7F8" w:themeFill="accent4" w:themeFillTint="33"/>
      </w:tcPr>
    </w:tblStylePr>
  </w:style>
  <w:style w:type="table" w:styleId="ListTable6Colorful-Accent5">
    <w:name w:val="List Table 6 Colorful Accent 5"/>
    <w:basedOn w:val="TableNormal"/>
    <w:uiPriority w:val="51"/>
    <w:rsid w:val="00C5169B"/>
    <w:pPr>
      <w:spacing w:after="0" w:line="240" w:lineRule="auto"/>
    </w:pPr>
    <w:rPr>
      <w:color w:val="455159" w:themeColor="accent5" w:themeShade="BF"/>
    </w:rPr>
    <w:tblPr>
      <w:tblStyleRowBandSize w:val="1"/>
      <w:tblStyleColBandSize w:val="1"/>
      <w:tblBorders>
        <w:top w:val="single" w:sz="4" w:space="0" w:color="5D6D78" w:themeColor="accent5"/>
        <w:bottom w:val="single" w:sz="4" w:space="0" w:color="5D6D78" w:themeColor="accent5"/>
      </w:tblBorders>
    </w:tblPr>
    <w:tblStylePr w:type="firstRow">
      <w:rPr>
        <w:b/>
        <w:bCs/>
      </w:rPr>
      <w:tblPr/>
      <w:tcPr>
        <w:tcBorders>
          <w:bottom w:val="single" w:sz="4" w:space="0" w:color="5D6D78" w:themeColor="accent5"/>
        </w:tcBorders>
      </w:tcPr>
    </w:tblStylePr>
    <w:tblStylePr w:type="lastRow">
      <w:rPr>
        <w:b/>
        <w:bCs/>
      </w:rPr>
      <w:tblPr/>
      <w:tcPr>
        <w:tcBorders>
          <w:top w:val="double" w:sz="4" w:space="0" w:color="5D6D78" w:themeColor="accent5"/>
        </w:tcBorders>
      </w:tcPr>
    </w:tblStylePr>
    <w:tblStylePr w:type="firstCol">
      <w:rPr>
        <w:b/>
        <w:bCs/>
      </w:rPr>
    </w:tblStylePr>
    <w:tblStylePr w:type="lastCol">
      <w:rPr>
        <w:b/>
        <w:bCs/>
      </w:rPr>
    </w:tblStylePr>
    <w:tblStylePr w:type="band1Vert">
      <w:tblPr/>
      <w:tcPr>
        <w:shd w:val="clear" w:color="auto" w:fill="DDE1E5" w:themeFill="accent5" w:themeFillTint="33"/>
      </w:tcPr>
    </w:tblStylePr>
    <w:tblStylePr w:type="band1Horz">
      <w:tblPr/>
      <w:tcPr>
        <w:shd w:val="clear" w:color="auto" w:fill="DDE1E5" w:themeFill="accent5" w:themeFillTint="33"/>
      </w:tcPr>
    </w:tblStylePr>
  </w:style>
  <w:style w:type="table" w:styleId="ListTable6Colorful-Accent6">
    <w:name w:val="List Table 6 Colorful Accent 6"/>
    <w:basedOn w:val="TableNormal"/>
    <w:uiPriority w:val="51"/>
    <w:rsid w:val="00C5169B"/>
    <w:pPr>
      <w:spacing w:after="0" w:line="240" w:lineRule="auto"/>
    </w:pPr>
    <w:rPr>
      <w:color w:val="1C1D28" w:themeColor="accent6" w:themeShade="BF"/>
    </w:rPr>
    <w:tblPr>
      <w:tblStyleRowBandSize w:val="1"/>
      <w:tblStyleColBandSize w:val="1"/>
      <w:tblBorders>
        <w:top w:val="single" w:sz="4" w:space="0" w:color="262836" w:themeColor="accent6"/>
        <w:bottom w:val="single" w:sz="4" w:space="0" w:color="262836" w:themeColor="accent6"/>
      </w:tblBorders>
    </w:tblPr>
    <w:tblStylePr w:type="firstRow">
      <w:rPr>
        <w:b/>
        <w:bCs/>
      </w:rPr>
      <w:tblPr/>
      <w:tcPr>
        <w:tcBorders>
          <w:bottom w:val="single" w:sz="4" w:space="0" w:color="262836" w:themeColor="accent6"/>
        </w:tcBorders>
      </w:tcPr>
    </w:tblStylePr>
    <w:tblStylePr w:type="lastRow">
      <w:rPr>
        <w:b/>
        <w:bCs/>
      </w:rPr>
      <w:tblPr/>
      <w:tcPr>
        <w:tcBorders>
          <w:top w:val="double" w:sz="4" w:space="0" w:color="262836" w:themeColor="accent6"/>
        </w:tcBorders>
      </w:tcPr>
    </w:tblStylePr>
    <w:tblStylePr w:type="firstCol">
      <w:rPr>
        <w:b/>
        <w:bCs/>
      </w:rPr>
    </w:tblStylePr>
    <w:tblStylePr w:type="lastCol">
      <w:rPr>
        <w:b/>
        <w:bCs/>
      </w:rPr>
    </w:tblStylePr>
    <w:tblStylePr w:type="band1Vert">
      <w:tblPr/>
      <w:tcPr>
        <w:shd w:val="clear" w:color="auto" w:fill="CDCFDC" w:themeFill="accent6" w:themeFillTint="33"/>
      </w:tcPr>
    </w:tblStylePr>
    <w:tblStylePr w:type="band1Horz">
      <w:tblPr/>
      <w:tcPr>
        <w:shd w:val="clear" w:color="auto" w:fill="CDCFDC" w:themeFill="accent6" w:themeFillTint="33"/>
      </w:tcPr>
    </w:tblStylePr>
  </w:style>
  <w:style w:type="table" w:styleId="ListTable7Colorful">
    <w:name w:val="List Table 7 Colorful"/>
    <w:basedOn w:val="TableNormal"/>
    <w:uiPriority w:val="52"/>
    <w:rsid w:val="00C5169B"/>
    <w:pPr>
      <w:spacing w:after="0" w:line="240" w:lineRule="auto"/>
    </w:pPr>
    <w:rPr>
      <w:color w:val="5D6D78"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text1"/>
        </w:tcBorders>
        <w:shd w:val="clear" w:color="auto" w:fill="FFFFFF" w:themeFill="background1"/>
      </w:tcPr>
    </w:tblStylePr>
    <w:tblStylePr w:type="band1Vert">
      <w:tblPr/>
      <w:tcPr>
        <w:shd w:val="clear" w:color="auto" w:fill="DDE1E5" w:themeFill="text1" w:themeFillTint="33"/>
      </w:tcPr>
    </w:tblStylePr>
    <w:tblStylePr w:type="band1Horz">
      <w:tblPr/>
      <w:tcPr>
        <w:shd w:val="clear" w:color="auto" w:fill="DDE1E5"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5169B"/>
    <w:pPr>
      <w:spacing w:after="0" w:line="240" w:lineRule="auto"/>
    </w:pPr>
    <w:rPr>
      <w:color w:val="B00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B0017"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B0017"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B0017"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B0017" w:themeColor="accent1"/>
        </w:tcBorders>
        <w:shd w:val="clear" w:color="auto" w:fill="FFFFFF" w:themeFill="background1"/>
      </w:tcPr>
    </w:tblStylePr>
    <w:tblStylePr w:type="band1Vert">
      <w:tblPr/>
      <w:tcPr>
        <w:shd w:val="clear" w:color="auto" w:fill="FFC8CD" w:themeFill="accent1" w:themeFillTint="33"/>
      </w:tcPr>
    </w:tblStylePr>
    <w:tblStylePr w:type="band1Horz">
      <w:tblPr/>
      <w:tcPr>
        <w:shd w:val="clear" w:color="auto" w:fill="FFC8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5169B"/>
    <w:pPr>
      <w:spacing w:after="0" w:line="240" w:lineRule="auto"/>
    </w:pPr>
    <w:rPr>
      <w:color w:val="5F6E7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939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939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939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939A" w:themeColor="accent2"/>
        </w:tcBorders>
        <w:shd w:val="clear" w:color="auto" w:fill="FFFFFF" w:themeFill="background1"/>
      </w:tcPr>
    </w:tblStylePr>
    <w:tblStylePr w:type="band1Vert">
      <w:tblPr/>
      <w:tcPr>
        <w:shd w:val="clear" w:color="auto" w:fill="E5E9EA" w:themeFill="accent2" w:themeFillTint="33"/>
      </w:tcPr>
    </w:tblStylePr>
    <w:tblStylePr w:type="band1Horz">
      <w:tblPr/>
      <w:tcPr>
        <w:shd w:val="clear" w:color="auto" w:fill="E5E9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5169B"/>
    <w:pPr>
      <w:spacing w:after="0" w:line="240" w:lineRule="auto"/>
    </w:pPr>
    <w:rPr>
      <w:color w:val="9AC0C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FF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FF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FF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FF0" w:themeColor="accent3"/>
        </w:tcBorders>
        <w:shd w:val="clear" w:color="auto" w:fill="FFFFFF" w:themeFill="background1"/>
      </w:tcPr>
    </w:tblStylePr>
    <w:tblStylePr w:type="band1Vert">
      <w:tblPr/>
      <w:tcPr>
        <w:shd w:val="clear" w:color="auto" w:fill="F9FBFC" w:themeFill="accent3" w:themeFillTint="33"/>
      </w:tcPr>
    </w:tblStylePr>
    <w:tblStylePr w:type="band1Horz">
      <w:tblPr/>
      <w:tcPr>
        <w:shd w:val="clear" w:color="auto" w:fill="F9FB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5169B"/>
    <w:pPr>
      <w:spacing w:after="0" w:line="240" w:lineRule="auto"/>
    </w:pPr>
    <w:rPr>
      <w:color w:val="8CACB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BD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BD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BD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BDE" w:themeColor="accent4"/>
        </w:tcBorders>
        <w:shd w:val="clear" w:color="auto" w:fill="FFFFFF" w:themeFill="background1"/>
      </w:tcPr>
    </w:tblStylePr>
    <w:tblStylePr w:type="band1Vert">
      <w:tblPr/>
      <w:tcPr>
        <w:shd w:val="clear" w:color="auto" w:fill="F4F7F8" w:themeFill="accent4" w:themeFillTint="33"/>
      </w:tcPr>
    </w:tblStylePr>
    <w:tblStylePr w:type="band1Horz">
      <w:tblPr/>
      <w:tcPr>
        <w:shd w:val="clear" w:color="auto" w:fill="F4F7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5169B"/>
    <w:pPr>
      <w:spacing w:after="0" w:line="240" w:lineRule="auto"/>
    </w:pPr>
    <w:rPr>
      <w:color w:val="4551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6D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6D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6D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6D78" w:themeColor="accent5"/>
        </w:tcBorders>
        <w:shd w:val="clear" w:color="auto" w:fill="FFFFFF" w:themeFill="background1"/>
      </w:tcPr>
    </w:tblStylePr>
    <w:tblStylePr w:type="band1Vert">
      <w:tblPr/>
      <w:tcPr>
        <w:shd w:val="clear" w:color="auto" w:fill="DDE1E5" w:themeFill="accent5" w:themeFillTint="33"/>
      </w:tcPr>
    </w:tblStylePr>
    <w:tblStylePr w:type="band1Horz">
      <w:tblPr/>
      <w:tcPr>
        <w:shd w:val="clear" w:color="auto" w:fill="DDE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5169B"/>
    <w:pPr>
      <w:spacing w:after="0" w:line="240" w:lineRule="auto"/>
    </w:pPr>
    <w:rPr>
      <w:color w:val="1C1D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83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83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83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836" w:themeColor="accent6"/>
        </w:tcBorders>
        <w:shd w:val="clear" w:color="auto" w:fill="FFFFFF" w:themeFill="background1"/>
      </w:tcPr>
    </w:tblStylePr>
    <w:tblStylePr w:type="band1Vert">
      <w:tblPr/>
      <w:tcPr>
        <w:shd w:val="clear" w:color="auto" w:fill="CDCFDC" w:themeFill="accent6" w:themeFillTint="33"/>
      </w:tcPr>
    </w:tblStylePr>
    <w:tblStylePr w:type="band1Horz">
      <w:tblPr/>
      <w:tcPr>
        <w:shd w:val="clear" w:color="auto" w:fill="CDCF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5169B"/>
    <w:rPr>
      <w:color w:val="2B579A"/>
      <w:shd w:val="clear" w:color="auto" w:fill="E1DFDD"/>
      <w:lang w:val="en-GB"/>
    </w:rPr>
  </w:style>
  <w:style w:type="table" w:styleId="PlainTable1">
    <w:name w:val="Plain Table 1"/>
    <w:basedOn w:val="TableNormal"/>
    <w:uiPriority w:val="41"/>
    <w:rsid w:val="00C516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169B"/>
    <w:pPr>
      <w:spacing w:after="0" w:line="240" w:lineRule="auto"/>
    </w:pPr>
    <w:tblPr>
      <w:tblStyleRowBandSize w:val="1"/>
      <w:tblStyleColBandSize w:val="1"/>
      <w:tblBorders>
        <w:top w:val="single" w:sz="4" w:space="0" w:color="AAB6BD" w:themeColor="text1" w:themeTint="80"/>
        <w:bottom w:val="single" w:sz="4" w:space="0" w:color="AAB6BD" w:themeColor="text1" w:themeTint="80"/>
      </w:tblBorders>
    </w:tblPr>
    <w:tblStylePr w:type="firstRow">
      <w:rPr>
        <w:b/>
        <w:bCs/>
      </w:rPr>
      <w:tblPr/>
      <w:tcPr>
        <w:tcBorders>
          <w:bottom w:val="single" w:sz="4" w:space="0" w:color="AAB6BD" w:themeColor="text1" w:themeTint="80"/>
        </w:tcBorders>
      </w:tcPr>
    </w:tblStylePr>
    <w:tblStylePr w:type="lastRow">
      <w:rPr>
        <w:b/>
        <w:bCs/>
      </w:rPr>
      <w:tblPr/>
      <w:tcPr>
        <w:tcBorders>
          <w:top w:val="single" w:sz="4" w:space="0" w:color="AAB6BD" w:themeColor="text1" w:themeTint="80"/>
        </w:tcBorders>
      </w:tcPr>
    </w:tblStylePr>
    <w:tblStylePr w:type="firstCol">
      <w:rPr>
        <w:b/>
        <w:bCs/>
      </w:rPr>
    </w:tblStylePr>
    <w:tblStylePr w:type="lastCol">
      <w:rPr>
        <w:b/>
        <w:bCs/>
      </w:rPr>
    </w:tblStylePr>
    <w:tblStylePr w:type="band1Vert">
      <w:tblPr/>
      <w:tcPr>
        <w:tcBorders>
          <w:left w:val="single" w:sz="4" w:space="0" w:color="AAB6BD" w:themeColor="text1" w:themeTint="80"/>
          <w:right w:val="single" w:sz="4" w:space="0" w:color="AAB6BD" w:themeColor="text1" w:themeTint="80"/>
        </w:tcBorders>
      </w:tcPr>
    </w:tblStylePr>
    <w:tblStylePr w:type="band2Vert">
      <w:tblPr/>
      <w:tcPr>
        <w:tcBorders>
          <w:left w:val="single" w:sz="4" w:space="0" w:color="AAB6BD" w:themeColor="text1" w:themeTint="80"/>
          <w:right w:val="single" w:sz="4" w:space="0" w:color="AAB6BD" w:themeColor="text1" w:themeTint="80"/>
        </w:tcBorders>
      </w:tcPr>
    </w:tblStylePr>
    <w:tblStylePr w:type="band1Horz">
      <w:tblPr/>
      <w:tcPr>
        <w:tcBorders>
          <w:top w:val="single" w:sz="4" w:space="0" w:color="AAB6BD" w:themeColor="text1" w:themeTint="80"/>
          <w:bottom w:val="single" w:sz="4" w:space="0" w:color="AAB6BD" w:themeColor="text1" w:themeTint="80"/>
        </w:tcBorders>
      </w:tcPr>
    </w:tblStylePr>
  </w:style>
  <w:style w:type="table" w:styleId="PlainTable3">
    <w:name w:val="Plain Table 3"/>
    <w:basedOn w:val="TableNormal"/>
    <w:uiPriority w:val="43"/>
    <w:rsid w:val="00C5169B"/>
    <w:pPr>
      <w:spacing w:after="0" w:line="240" w:lineRule="auto"/>
    </w:pPr>
    <w:tblPr>
      <w:tblStyleRowBandSize w:val="1"/>
      <w:tblStyleColBandSize w:val="1"/>
    </w:tblPr>
    <w:tblStylePr w:type="firstRow">
      <w:rPr>
        <w:b/>
        <w:bCs/>
        <w:caps/>
      </w:rPr>
      <w:tblPr/>
      <w:tcPr>
        <w:tcBorders>
          <w:bottom w:val="single" w:sz="4" w:space="0" w:color="AAB6B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AB6B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16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16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B6B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B6B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B6B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B6B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C5169B"/>
    <w:rPr>
      <w:u w:val="dotted"/>
      <w:lang w:val="en-GB"/>
    </w:rPr>
  </w:style>
  <w:style w:type="character" w:styleId="SmartLink">
    <w:name w:val="Smart Link"/>
    <w:basedOn w:val="DefaultParagraphFont"/>
    <w:uiPriority w:val="99"/>
    <w:semiHidden/>
    <w:unhideWhenUsed/>
    <w:rsid w:val="00C5169B"/>
    <w:rPr>
      <w:color w:val="0000FF"/>
      <w:u w:val="single"/>
      <w:shd w:val="clear" w:color="auto" w:fill="F3F2F1"/>
      <w:lang w:val="en-GB"/>
    </w:rPr>
  </w:style>
  <w:style w:type="table" w:styleId="TableGridLight">
    <w:name w:val="Grid Table Light"/>
    <w:basedOn w:val="TableNormal"/>
    <w:uiPriority w:val="40"/>
    <w:rsid w:val="00C516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5169B"/>
    <w:rPr>
      <w:color w:val="605E5C"/>
      <w:shd w:val="clear" w:color="auto" w:fill="E1DFDD"/>
      <w:lang w:val="en-GB"/>
    </w:rPr>
  </w:style>
  <w:style w:type="paragraph" w:customStyle="1" w:styleId="AnchorTop">
    <w:name w:val="Anchor Top"/>
    <w:basedOn w:val="1ptspacer"/>
    <w:next w:val="BodyText"/>
    <w:uiPriority w:val="43"/>
    <w:semiHidden/>
    <w:rsid w:val="00C5169B"/>
  </w:style>
  <w:style w:type="paragraph" w:customStyle="1" w:styleId="AnchorBottom">
    <w:name w:val="Anchor Bottom"/>
    <w:basedOn w:val="AnchorTop"/>
    <w:next w:val="BodyText"/>
    <w:uiPriority w:val="44"/>
    <w:semiHidden/>
    <w:rsid w:val="00C5169B"/>
  </w:style>
  <w:style w:type="paragraph" w:customStyle="1" w:styleId="SECTION2Column">
    <w:name w:val="__SECTION 2Column"/>
    <w:basedOn w:val="BaseSECTION"/>
    <w:next w:val="BodyText"/>
    <w:semiHidden/>
    <w:rsid w:val="00C5169B"/>
  </w:style>
  <w:style w:type="paragraph" w:customStyle="1" w:styleId="SECTION3Column">
    <w:name w:val="__SECTION 3Column"/>
    <w:basedOn w:val="BaseSECTION"/>
    <w:next w:val="BodyText"/>
    <w:semiHidden/>
    <w:rsid w:val="00C5169B"/>
  </w:style>
  <w:style w:type="paragraph" w:customStyle="1" w:styleId="SECTIONLetter">
    <w:name w:val="__SECTION Letter"/>
    <w:basedOn w:val="BaseSECTION"/>
    <w:next w:val="BodyText"/>
    <w:semiHidden/>
    <w:rsid w:val="00C5169B"/>
  </w:style>
  <w:style w:type="paragraph" w:customStyle="1" w:styleId="TombstoneText">
    <w:name w:val="Tombstone Text"/>
    <w:basedOn w:val="BaseText"/>
    <w:uiPriority w:val="20"/>
    <w:semiHidden/>
    <w:rsid w:val="00AF0899"/>
    <w:pPr>
      <w:spacing w:before="120"/>
      <w:ind w:left="113" w:right="113"/>
    </w:pPr>
    <w:rPr>
      <w:rFonts w:cstheme="minorHAnsi"/>
      <w:sz w:val="16"/>
      <w:szCs w:val="24"/>
    </w:rPr>
  </w:style>
  <w:style w:type="paragraph" w:customStyle="1" w:styleId="TombstoneHeading">
    <w:name w:val="Tombstone Heading"/>
    <w:basedOn w:val="TombstoneText"/>
    <w:next w:val="TombstoneText"/>
    <w:uiPriority w:val="20"/>
    <w:semiHidden/>
    <w:rsid w:val="00C5169B"/>
    <w:rPr>
      <w:b/>
      <w:color w:val="46535E"/>
      <w:sz w:val="18"/>
      <w:szCs w:val="28"/>
    </w:rPr>
  </w:style>
  <w:style w:type="character" w:customStyle="1" w:styleId="PrivacyStatus">
    <w:name w:val="Privacy Status"/>
    <w:basedOn w:val="HeaderChar"/>
    <w:uiPriority w:val="41"/>
    <w:semiHidden/>
    <w:rsid w:val="00C5169B"/>
    <w:rPr>
      <w:color w:val="5D6D78" w:themeColor="text1"/>
      <w:sz w:val="16"/>
      <w:lang w:val="en-GB"/>
    </w:rPr>
  </w:style>
  <w:style w:type="table" w:customStyle="1" w:styleId="TextBandedRows">
    <w:name w:val="Text Banded Rows"/>
    <w:basedOn w:val="TableNormal"/>
    <w:uiPriority w:val="99"/>
    <w:rsid w:val="00F21C41"/>
    <w:pPr>
      <w:spacing w:before="40" w:after="40" w:line="240" w:lineRule="auto"/>
      <w:ind w:left="79" w:right="79"/>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nil"/>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BandedColumns">
    <w:name w:val="Text Banded Columns"/>
    <w:basedOn w:val="TableNormal"/>
    <w:uiPriority w:val="99"/>
    <w:rsid w:val="00F21C41"/>
    <w:pPr>
      <w:spacing w:before="40" w:after="40" w:line="240" w:lineRule="auto"/>
      <w:ind w:left="79" w:right="79"/>
    </w:pPr>
    <w:rPr>
      <w:color w:val="262836" w:themeColor="text2"/>
      <w:sz w:val="18"/>
    </w:rPr>
    <w:tblPr>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V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tblStylePr w:type="band1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F9FCFC"/>
      </w:tcPr>
    </w:tblStylePr>
    <w:tblStylePr w:type="band2Vert">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nil"/>
          <w:tl2br w:val="nil"/>
          <w:tr2bl w:val="nil"/>
        </w:tcBorders>
        <w:shd w:val="clear" w:color="auto" w:fill="EEF6F7"/>
      </w:tcPr>
    </w:tblStylePr>
  </w:style>
  <w:style w:type="character" w:customStyle="1" w:styleId="SmartLink1">
    <w:name w:val="SmartLink1"/>
    <w:basedOn w:val="DefaultParagraphFont"/>
    <w:uiPriority w:val="99"/>
    <w:semiHidden/>
    <w:unhideWhenUsed/>
    <w:rsid w:val="00C5169B"/>
    <w:rPr>
      <w:color w:val="0000FF"/>
      <w:u w:val="single"/>
      <w:shd w:val="clear" w:color="auto" w:fill="F3F2F1"/>
      <w:lang w:val="en-GB"/>
    </w:rPr>
  </w:style>
  <w:style w:type="paragraph" w:customStyle="1" w:styleId="CoverTextBold">
    <w:name w:val="Cover Text Bold"/>
    <w:basedOn w:val="CoverText"/>
    <w:uiPriority w:val="27"/>
    <w:semiHidden/>
    <w:qFormat/>
    <w:rsid w:val="00C5169B"/>
    <w:pPr>
      <w:ind w:right="170"/>
    </w:pPr>
    <w:rPr>
      <w:b/>
      <w:bCs/>
    </w:rPr>
  </w:style>
  <w:style w:type="paragraph" w:customStyle="1" w:styleId="DividerNumber">
    <w:name w:val="Divider Number"/>
    <w:basedOn w:val="DividerTitle"/>
    <w:uiPriority w:val="22"/>
    <w:rsid w:val="00CF4BF9"/>
    <w:pPr>
      <w:numPr>
        <w:numId w:val="13"/>
      </w:numPr>
      <w:spacing w:after="0" w:line="3700" w:lineRule="exact"/>
      <w:contextualSpacing/>
    </w:pPr>
    <w:rPr>
      <w:rFonts w:ascii="Helvetica Now Text Light" w:hAnsi="Helvetica Now Text Light"/>
      <w:color w:val="EB0017" w:themeColor="accent1"/>
      <w:kern w:val="24"/>
      <w:position w:val="-50"/>
      <w:sz w:val="400"/>
      <w:szCs w:val="400"/>
    </w:rPr>
  </w:style>
  <w:style w:type="numbering" w:customStyle="1" w:styleId="DividerNumbers">
    <w:name w:val="Divider Numbers"/>
    <w:uiPriority w:val="99"/>
    <w:rsid w:val="00C5169B"/>
    <w:pPr>
      <w:numPr>
        <w:numId w:val="10"/>
      </w:numPr>
    </w:pPr>
  </w:style>
  <w:style w:type="paragraph" w:customStyle="1" w:styleId="AppendixNumber">
    <w:name w:val="Appendix Number"/>
    <w:basedOn w:val="DividerNumber"/>
    <w:next w:val="AppendixDivider"/>
    <w:uiPriority w:val="24"/>
    <w:rsid w:val="00C5169B"/>
    <w:pPr>
      <w:numPr>
        <w:numId w:val="12"/>
      </w:numPr>
    </w:pPr>
  </w:style>
  <w:style w:type="numbering" w:customStyle="1" w:styleId="AppendixNumbers">
    <w:name w:val="Appendix Numbers"/>
    <w:uiPriority w:val="99"/>
    <w:rsid w:val="00C5169B"/>
    <w:pPr>
      <w:numPr>
        <w:numId w:val="11"/>
      </w:numPr>
    </w:pPr>
  </w:style>
  <w:style w:type="paragraph" w:customStyle="1" w:styleId="DividerSubtitleWhite">
    <w:name w:val="Divider Subtitle White"/>
    <w:basedOn w:val="DividerSubtitle"/>
    <w:next w:val="BodyText"/>
    <w:uiPriority w:val="23"/>
    <w:rsid w:val="00C5169B"/>
    <w:rPr>
      <w:color w:val="FFFFFF" w:themeColor="background1"/>
    </w:rPr>
  </w:style>
  <w:style w:type="paragraph" w:customStyle="1" w:styleId="AppendixDividerWhite">
    <w:name w:val="Appendix Divider White"/>
    <w:basedOn w:val="AppendixDivider"/>
    <w:next w:val="DividerSubtitleWhite"/>
    <w:uiPriority w:val="25"/>
    <w:rsid w:val="00C5169B"/>
    <w:rPr>
      <w:color w:val="FFFFFF" w:themeColor="background1"/>
    </w:rPr>
  </w:style>
  <w:style w:type="paragraph" w:customStyle="1" w:styleId="FPDisclaimer">
    <w:name w:val="FP Disclaimer"/>
    <w:basedOn w:val="BodyText"/>
    <w:uiPriority w:val="27"/>
    <w:semiHidden/>
    <w:qFormat/>
    <w:rsid w:val="00D31844"/>
    <w:pPr>
      <w:spacing w:after="0"/>
    </w:pPr>
    <w:rPr>
      <w:color w:val="FFFFFF" w:themeColor="background1"/>
    </w:rPr>
  </w:style>
  <w:style w:type="paragraph" w:customStyle="1" w:styleId="LargeStatistic">
    <w:name w:val="Large Statistic"/>
    <w:basedOn w:val="BaseText"/>
    <w:uiPriority w:val="19"/>
    <w:qFormat/>
    <w:rsid w:val="000E1119"/>
    <w:pPr>
      <w:spacing w:after="60"/>
    </w:pPr>
    <w:rPr>
      <w:rFonts w:ascii="Helvetica Now Text Light" w:hAnsi="Helvetica Now Text Light"/>
      <w:color w:val="007585"/>
      <w:sz w:val="60"/>
      <w:szCs w:val="72"/>
    </w:rPr>
  </w:style>
  <w:style w:type="paragraph" w:customStyle="1" w:styleId="Statistic">
    <w:name w:val="Statistic"/>
    <w:basedOn w:val="BaseText"/>
    <w:uiPriority w:val="19"/>
    <w:qFormat/>
    <w:rsid w:val="000E1119"/>
    <w:pPr>
      <w:spacing w:after="60"/>
    </w:pPr>
    <w:rPr>
      <w:b/>
      <w:bCs/>
      <w:sz w:val="48"/>
      <w:szCs w:val="56"/>
    </w:rPr>
  </w:style>
  <w:style w:type="table" w:customStyle="1" w:styleId="DataGridlines">
    <w:name w:val="Data Gridlines"/>
    <w:basedOn w:val="TableNormal"/>
    <w:uiPriority w:val="99"/>
    <w:rsid w:val="001B3C66"/>
    <w:pPr>
      <w:spacing w:before="40" w:after="40" w:line="240" w:lineRule="auto"/>
      <w:ind w:left="79" w:right="79"/>
      <w:jc w:val="right"/>
    </w:pPr>
    <w:rPr>
      <w:color w:val="262836" w:themeColor="text2"/>
      <w:sz w:val="18"/>
    </w:rPr>
    <w:tblPr>
      <w:tblStyleRowBandSize w:val="1"/>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DataBandedRows">
    <w:name w:val="Data Banded Rows"/>
    <w:basedOn w:val="TableNormal"/>
    <w:uiPriority w:val="99"/>
    <w:rsid w:val="00056D2D"/>
    <w:pPr>
      <w:spacing w:before="40" w:after="40" w:line="240" w:lineRule="auto"/>
      <w:ind w:left="79" w:right="79"/>
      <w:jc w:val="right"/>
    </w:pPr>
    <w:rPr>
      <w:color w:val="262836" w:themeColor="text2"/>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cPr>
      <w:shd w:val="clear" w:color="auto" w:fill="F9FCFC"/>
    </w:tcPr>
    <w:tblStylePr w:type="firstRow">
      <w:pPr>
        <w:wordWrap/>
        <w:spacing w:beforeLines="0" w:before="40" w:beforeAutospacing="0" w:afterLines="0" w:after="40" w:afterAutospacing="0" w:line="240" w:lineRule="auto"/>
        <w:contextualSpacing w:val="0"/>
      </w:pPr>
      <w:rPr>
        <w:b/>
        <w:color w:val="262836" w:themeColor="text2"/>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DDBDE"/>
      </w:tcPr>
    </w:tblStylePr>
    <w:tblStylePr w:type="lastRow">
      <w:rPr>
        <w:b/>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ACC0C4"/>
      </w:tcPr>
    </w:tblStylePr>
    <w:tblStylePr w:type="firstCol">
      <w:pPr>
        <w:jc w:val="left"/>
      </w:pPr>
    </w:tblStylePr>
    <w:tblStylePr w:type="band1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EEF6F7"/>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l2br w:val="nil"/>
          <w:tr2bl w:val="nil"/>
        </w:tcBorders>
        <w:shd w:val="clear" w:color="auto" w:fill="F9FCFC"/>
      </w:tcPr>
    </w:tblStylePr>
  </w:style>
  <w:style w:type="table" w:customStyle="1" w:styleId="TextGridlines">
    <w:name w:val="Text Gridlines"/>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insideH w:val="single" w:sz="4" w:space="0" w:color="CDDBDE" w:themeColor="accent4"/>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table" w:customStyle="1" w:styleId="TextBasic">
    <w:name w:val="Text Basic"/>
    <w:basedOn w:val="TableNormal"/>
    <w:uiPriority w:val="99"/>
    <w:rsid w:val="00D6208C"/>
    <w:pPr>
      <w:spacing w:before="40" w:after="40" w:line="240" w:lineRule="auto"/>
      <w:ind w:left="79" w:right="79"/>
    </w:pPr>
    <w:rPr>
      <w:color w:val="262836" w:themeColor="text2"/>
      <w:sz w:val="18"/>
    </w:rPr>
    <w:tblPr>
      <w:tblBorders>
        <w:bottom w:val="single" w:sz="4" w:space="0" w:color="262836" w:themeColor="text2"/>
      </w:tblBorders>
      <w:tblCellMar>
        <w:left w:w="0" w:type="dxa"/>
        <w:right w:w="0" w:type="dxa"/>
      </w:tblCellMar>
    </w:tblPr>
    <w:tblStylePr w:type="firstRow">
      <w:pPr>
        <w:wordWrap/>
        <w:spacing w:beforeLines="0" w:before="120" w:beforeAutospacing="0"/>
      </w:pPr>
      <w:rPr>
        <w:b/>
        <w:color w:val="262836" w:themeColor="text2"/>
      </w:rPr>
      <w:tblPr/>
      <w:tcPr>
        <w:tcBorders>
          <w:bottom w:val="single" w:sz="4" w:space="0" w:color="262836" w:themeColor="text2"/>
        </w:tcBorders>
      </w:tcPr>
    </w:tblStylePr>
    <w:tblStylePr w:type="lastRow">
      <w:rPr>
        <w:b/>
      </w:rPr>
      <w:tblPr/>
      <w:tcPr>
        <w:tcBorders>
          <w:top w:val="single" w:sz="4" w:space="0" w:color="262836" w:themeColor="text2"/>
          <w:left w:val="nil"/>
          <w:bottom w:val="single" w:sz="4" w:space="0" w:color="262836" w:themeColor="text2"/>
          <w:right w:val="nil"/>
          <w:insideH w:val="nil"/>
          <w:insideV w:val="nil"/>
          <w:tl2br w:val="nil"/>
          <w:tr2bl w:val="nil"/>
        </w:tcBorders>
      </w:tcPr>
    </w:tblStylePr>
    <w:tblStylePr w:type="firstCol">
      <w:pPr>
        <w:jc w:val="left"/>
      </w:pPr>
    </w:tblStylePr>
  </w:style>
  <w:style w:type="paragraph" w:customStyle="1" w:styleId="BioHeading">
    <w:name w:val="Bio Heading"/>
    <w:basedOn w:val="BaseHeading"/>
    <w:next w:val="BodyText"/>
    <w:uiPriority w:val="21"/>
    <w:qFormat/>
    <w:rsid w:val="0002386A"/>
    <w:pPr>
      <w:keepNext w:val="0"/>
      <w:keepLines w:val="0"/>
      <w:spacing w:before="240" w:after="40"/>
    </w:pPr>
    <w:rPr>
      <w:b/>
      <w:bCs/>
      <w:color w:val="46535E"/>
    </w:rPr>
  </w:style>
  <w:style w:type="paragraph" w:customStyle="1" w:styleId="BioName">
    <w:name w:val="Bio Name"/>
    <w:basedOn w:val="BaseText"/>
    <w:next w:val="BodyText"/>
    <w:uiPriority w:val="21"/>
    <w:qFormat/>
    <w:rsid w:val="0002386A"/>
    <w:pPr>
      <w:spacing w:after="0"/>
    </w:pPr>
    <w:rPr>
      <w:color w:val="007585"/>
      <w:sz w:val="28"/>
      <w:szCs w:val="28"/>
    </w:rPr>
  </w:style>
  <w:style w:type="paragraph" w:styleId="Revision">
    <w:name w:val="Revision"/>
    <w:hidden/>
    <w:uiPriority w:val="99"/>
    <w:semiHidden/>
    <w:rsid w:val="00827DA8"/>
    <w:pPr>
      <w:spacing w:after="0" w:line="240" w:lineRule="auto"/>
    </w:pPr>
    <w:rPr>
      <w:color w:val="5D6D78"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140">
      <w:bodyDiv w:val="1"/>
      <w:marLeft w:val="0"/>
      <w:marRight w:val="0"/>
      <w:marTop w:val="0"/>
      <w:marBottom w:val="0"/>
      <w:divBdr>
        <w:top w:val="none" w:sz="0" w:space="0" w:color="auto"/>
        <w:left w:val="none" w:sz="0" w:space="0" w:color="auto"/>
        <w:bottom w:val="none" w:sz="0" w:space="0" w:color="auto"/>
        <w:right w:val="none" w:sz="0" w:space="0" w:color="auto"/>
      </w:divBdr>
    </w:div>
    <w:div w:id="68886132">
      <w:bodyDiv w:val="1"/>
      <w:marLeft w:val="0"/>
      <w:marRight w:val="0"/>
      <w:marTop w:val="0"/>
      <w:marBottom w:val="0"/>
      <w:divBdr>
        <w:top w:val="none" w:sz="0" w:space="0" w:color="auto"/>
        <w:left w:val="none" w:sz="0" w:space="0" w:color="auto"/>
        <w:bottom w:val="none" w:sz="0" w:space="0" w:color="auto"/>
        <w:right w:val="none" w:sz="0" w:space="0" w:color="auto"/>
      </w:divBdr>
    </w:div>
    <w:div w:id="71316113">
      <w:bodyDiv w:val="1"/>
      <w:marLeft w:val="0"/>
      <w:marRight w:val="0"/>
      <w:marTop w:val="0"/>
      <w:marBottom w:val="0"/>
      <w:divBdr>
        <w:top w:val="none" w:sz="0" w:space="0" w:color="auto"/>
        <w:left w:val="none" w:sz="0" w:space="0" w:color="auto"/>
        <w:bottom w:val="none" w:sz="0" w:space="0" w:color="auto"/>
        <w:right w:val="none" w:sz="0" w:space="0" w:color="auto"/>
      </w:divBdr>
    </w:div>
    <w:div w:id="145556167">
      <w:bodyDiv w:val="1"/>
      <w:marLeft w:val="0"/>
      <w:marRight w:val="0"/>
      <w:marTop w:val="0"/>
      <w:marBottom w:val="0"/>
      <w:divBdr>
        <w:top w:val="none" w:sz="0" w:space="0" w:color="auto"/>
        <w:left w:val="none" w:sz="0" w:space="0" w:color="auto"/>
        <w:bottom w:val="none" w:sz="0" w:space="0" w:color="auto"/>
        <w:right w:val="none" w:sz="0" w:space="0" w:color="auto"/>
      </w:divBdr>
    </w:div>
    <w:div w:id="185558261">
      <w:bodyDiv w:val="1"/>
      <w:marLeft w:val="0"/>
      <w:marRight w:val="0"/>
      <w:marTop w:val="0"/>
      <w:marBottom w:val="0"/>
      <w:divBdr>
        <w:top w:val="none" w:sz="0" w:space="0" w:color="auto"/>
        <w:left w:val="none" w:sz="0" w:space="0" w:color="auto"/>
        <w:bottom w:val="none" w:sz="0" w:space="0" w:color="auto"/>
        <w:right w:val="none" w:sz="0" w:space="0" w:color="auto"/>
      </w:divBdr>
    </w:div>
    <w:div w:id="233047005">
      <w:bodyDiv w:val="1"/>
      <w:marLeft w:val="0"/>
      <w:marRight w:val="0"/>
      <w:marTop w:val="0"/>
      <w:marBottom w:val="0"/>
      <w:divBdr>
        <w:top w:val="none" w:sz="0" w:space="0" w:color="auto"/>
        <w:left w:val="none" w:sz="0" w:space="0" w:color="auto"/>
        <w:bottom w:val="none" w:sz="0" w:space="0" w:color="auto"/>
        <w:right w:val="none" w:sz="0" w:space="0" w:color="auto"/>
      </w:divBdr>
    </w:div>
    <w:div w:id="275530620">
      <w:bodyDiv w:val="1"/>
      <w:marLeft w:val="0"/>
      <w:marRight w:val="0"/>
      <w:marTop w:val="0"/>
      <w:marBottom w:val="0"/>
      <w:divBdr>
        <w:top w:val="none" w:sz="0" w:space="0" w:color="auto"/>
        <w:left w:val="none" w:sz="0" w:space="0" w:color="auto"/>
        <w:bottom w:val="none" w:sz="0" w:space="0" w:color="auto"/>
        <w:right w:val="none" w:sz="0" w:space="0" w:color="auto"/>
      </w:divBdr>
    </w:div>
    <w:div w:id="300621912">
      <w:bodyDiv w:val="1"/>
      <w:marLeft w:val="0"/>
      <w:marRight w:val="0"/>
      <w:marTop w:val="0"/>
      <w:marBottom w:val="0"/>
      <w:divBdr>
        <w:top w:val="none" w:sz="0" w:space="0" w:color="auto"/>
        <w:left w:val="none" w:sz="0" w:space="0" w:color="auto"/>
        <w:bottom w:val="none" w:sz="0" w:space="0" w:color="auto"/>
        <w:right w:val="none" w:sz="0" w:space="0" w:color="auto"/>
      </w:divBdr>
    </w:div>
    <w:div w:id="321196902">
      <w:bodyDiv w:val="1"/>
      <w:marLeft w:val="0"/>
      <w:marRight w:val="0"/>
      <w:marTop w:val="0"/>
      <w:marBottom w:val="0"/>
      <w:divBdr>
        <w:top w:val="none" w:sz="0" w:space="0" w:color="auto"/>
        <w:left w:val="none" w:sz="0" w:space="0" w:color="auto"/>
        <w:bottom w:val="none" w:sz="0" w:space="0" w:color="auto"/>
        <w:right w:val="none" w:sz="0" w:space="0" w:color="auto"/>
      </w:divBdr>
    </w:div>
    <w:div w:id="360783826">
      <w:bodyDiv w:val="1"/>
      <w:marLeft w:val="0"/>
      <w:marRight w:val="0"/>
      <w:marTop w:val="0"/>
      <w:marBottom w:val="0"/>
      <w:divBdr>
        <w:top w:val="none" w:sz="0" w:space="0" w:color="auto"/>
        <w:left w:val="none" w:sz="0" w:space="0" w:color="auto"/>
        <w:bottom w:val="none" w:sz="0" w:space="0" w:color="auto"/>
        <w:right w:val="none" w:sz="0" w:space="0" w:color="auto"/>
      </w:divBdr>
    </w:div>
    <w:div w:id="372073756">
      <w:bodyDiv w:val="1"/>
      <w:marLeft w:val="0"/>
      <w:marRight w:val="0"/>
      <w:marTop w:val="0"/>
      <w:marBottom w:val="0"/>
      <w:divBdr>
        <w:top w:val="none" w:sz="0" w:space="0" w:color="auto"/>
        <w:left w:val="none" w:sz="0" w:space="0" w:color="auto"/>
        <w:bottom w:val="none" w:sz="0" w:space="0" w:color="auto"/>
        <w:right w:val="none" w:sz="0" w:space="0" w:color="auto"/>
      </w:divBdr>
    </w:div>
    <w:div w:id="385110756">
      <w:bodyDiv w:val="1"/>
      <w:marLeft w:val="0"/>
      <w:marRight w:val="0"/>
      <w:marTop w:val="0"/>
      <w:marBottom w:val="0"/>
      <w:divBdr>
        <w:top w:val="none" w:sz="0" w:space="0" w:color="auto"/>
        <w:left w:val="none" w:sz="0" w:space="0" w:color="auto"/>
        <w:bottom w:val="none" w:sz="0" w:space="0" w:color="auto"/>
        <w:right w:val="none" w:sz="0" w:space="0" w:color="auto"/>
      </w:divBdr>
    </w:div>
    <w:div w:id="388578257">
      <w:bodyDiv w:val="1"/>
      <w:marLeft w:val="0"/>
      <w:marRight w:val="0"/>
      <w:marTop w:val="0"/>
      <w:marBottom w:val="0"/>
      <w:divBdr>
        <w:top w:val="none" w:sz="0" w:space="0" w:color="auto"/>
        <w:left w:val="none" w:sz="0" w:space="0" w:color="auto"/>
        <w:bottom w:val="none" w:sz="0" w:space="0" w:color="auto"/>
        <w:right w:val="none" w:sz="0" w:space="0" w:color="auto"/>
      </w:divBdr>
    </w:div>
    <w:div w:id="423308298">
      <w:bodyDiv w:val="1"/>
      <w:marLeft w:val="0"/>
      <w:marRight w:val="0"/>
      <w:marTop w:val="0"/>
      <w:marBottom w:val="0"/>
      <w:divBdr>
        <w:top w:val="none" w:sz="0" w:space="0" w:color="auto"/>
        <w:left w:val="none" w:sz="0" w:space="0" w:color="auto"/>
        <w:bottom w:val="none" w:sz="0" w:space="0" w:color="auto"/>
        <w:right w:val="none" w:sz="0" w:space="0" w:color="auto"/>
      </w:divBdr>
    </w:div>
    <w:div w:id="452679589">
      <w:bodyDiv w:val="1"/>
      <w:marLeft w:val="0"/>
      <w:marRight w:val="0"/>
      <w:marTop w:val="0"/>
      <w:marBottom w:val="0"/>
      <w:divBdr>
        <w:top w:val="none" w:sz="0" w:space="0" w:color="auto"/>
        <w:left w:val="none" w:sz="0" w:space="0" w:color="auto"/>
        <w:bottom w:val="none" w:sz="0" w:space="0" w:color="auto"/>
        <w:right w:val="none" w:sz="0" w:space="0" w:color="auto"/>
      </w:divBdr>
    </w:div>
    <w:div w:id="460420881">
      <w:bodyDiv w:val="1"/>
      <w:marLeft w:val="0"/>
      <w:marRight w:val="0"/>
      <w:marTop w:val="0"/>
      <w:marBottom w:val="0"/>
      <w:divBdr>
        <w:top w:val="none" w:sz="0" w:space="0" w:color="auto"/>
        <w:left w:val="none" w:sz="0" w:space="0" w:color="auto"/>
        <w:bottom w:val="none" w:sz="0" w:space="0" w:color="auto"/>
        <w:right w:val="none" w:sz="0" w:space="0" w:color="auto"/>
      </w:divBdr>
    </w:div>
    <w:div w:id="582376369">
      <w:bodyDiv w:val="1"/>
      <w:marLeft w:val="0"/>
      <w:marRight w:val="0"/>
      <w:marTop w:val="0"/>
      <w:marBottom w:val="0"/>
      <w:divBdr>
        <w:top w:val="none" w:sz="0" w:space="0" w:color="auto"/>
        <w:left w:val="none" w:sz="0" w:space="0" w:color="auto"/>
        <w:bottom w:val="none" w:sz="0" w:space="0" w:color="auto"/>
        <w:right w:val="none" w:sz="0" w:space="0" w:color="auto"/>
      </w:divBdr>
    </w:div>
    <w:div w:id="610363698">
      <w:bodyDiv w:val="1"/>
      <w:marLeft w:val="0"/>
      <w:marRight w:val="0"/>
      <w:marTop w:val="0"/>
      <w:marBottom w:val="0"/>
      <w:divBdr>
        <w:top w:val="none" w:sz="0" w:space="0" w:color="auto"/>
        <w:left w:val="none" w:sz="0" w:space="0" w:color="auto"/>
        <w:bottom w:val="none" w:sz="0" w:space="0" w:color="auto"/>
        <w:right w:val="none" w:sz="0" w:space="0" w:color="auto"/>
      </w:divBdr>
    </w:div>
    <w:div w:id="634221632">
      <w:bodyDiv w:val="1"/>
      <w:marLeft w:val="0"/>
      <w:marRight w:val="0"/>
      <w:marTop w:val="0"/>
      <w:marBottom w:val="0"/>
      <w:divBdr>
        <w:top w:val="none" w:sz="0" w:space="0" w:color="auto"/>
        <w:left w:val="none" w:sz="0" w:space="0" w:color="auto"/>
        <w:bottom w:val="none" w:sz="0" w:space="0" w:color="auto"/>
        <w:right w:val="none" w:sz="0" w:space="0" w:color="auto"/>
      </w:divBdr>
    </w:div>
    <w:div w:id="650400811">
      <w:bodyDiv w:val="1"/>
      <w:marLeft w:val="0"/>
      <w:marRight w:val="0"/>
      <w:marTop w:val="0"/>
      <w:marBottom w:val="0"/>
      <w:divBdr>
        <w:top w:val="none" w:sz="0" w:space="0" w:color="auto"/>
        <w:left w:val="none" w:sz="0" w:space="0" w:color="auto"/>
        <w:bottom w:val="none" w:sz="0" w:space="0" w:color="auto"/>
        <w:right w:val="none" w:sz="0" w:space="0" w:color="auto"/>
      </w:divBdr>
    </w:div>
    <w:div w:id="665859136">
      <w:bodyDiv w:val="1"/>
      <w:marLeft w:val="0"/>
      <w:marRight w:val="0"/>
      <w:marTop w:val="0"/>
      <w:marBottom w:val="0"/>
      <w:divBdr>
        <w:top w:val="none" w:sz="0" w:space="0" w:color="auto"/>
        <w:left w:val="none" w:sz="0" w:space="0" w:color="auto"/>
        <w:bottom w:val="none" w:sz="0" w:space="0" w:color="auto"/>
        <w:right w:val="none" w:sz="0" w:space="0" w:color="auto"/>
      </w:divBdr>
    </w:div>
    <w:div w:id="690686209">
      <w:bodyDiv w:val="1"/>
      <w:marLeft w:val="0"/>
      <w:marRight w:val="0"/>
      <w:marTop w:val="0"/>
      <w:marBottom w:val="0"/>
      <w:divBdr>
        <w:top w:val="none" w:sz="0" w:space="0" w:color="auto"/>
        <w:left w:val="none" w:sz="0" w:space="0" w:color="auto"/>
        <w:bottom w:val="none" w:sz="0" w:space="0" w:color="auto"/>
        <w:right w:val="none" w:sz="0" w:space="0" w:color="auto"/>
      </w:divBdr>
    </w:div>
    <w:div w:id="787629819">
      <w:bodyDiv w:val="1"/>
      <w:marLeft w:val="0"/>
      <w:marRight w:val="0"/>
      <w:marTop w:val="0"/>
      <w:marBottom w:val="0"/>
      <w:divBdr>
        <w:top w:val="none" w:sz="0" w:space="0" w:color="auto"/>
        <w:left w:val="none" w:sz="0" w:space="0" w:color="auto"/>
        <w:bottom w:val="none" w:sz="0" w:space="0" w:color="auto"/>
        <w:right w:val="none" w:sz="0" w:space="0" w:color="auto"/>
      </w:divBdr>
    </w:div>
    <w:div w:id="815952553">
      <w:bodyDiv w:val="1"/>
      <w:marLeft w:val="0"/>
      <w:marRight w:val="0"/>
      <w:marTop w:val="0"/>
      <w:marBottom w:val="0"/>
      <w:divBdr>
        <w:top w:val="none" w:sz="0" w:space="0" w:color="auto"/>
        <w:left w:val="none" w:sz="0" w:space="0" w:color="auto"/>
        <w:bottom w:val="none" w:sz="0" w:space="0" w:color="auto"/>
        <w:right w:val="none" w:sz="0" w:space="0" w:color="auto"/>
      </w:divBdr>
    </w:div>
    <w:div w:id="842361354">
      <w:bodyDiv w:val="1"/>
      <w:marLeft w:val="0"/>
      <w:marRight w:val="0"/>
      <w:marTop w:val="0"/>
      <w:marBottom w:val="0"/>
      <w:divBdr>
        <w:top w:val="none" w:sz="0" w:space="0" w:color="auto"/>
        <w:left w:val="none" w:sz="0" w:space="0" w:color="auto"/>
        <w:bottom w:val="none" w:sz="0" w:space="0" w:color="auto"/>
        <w:right w:val="none" w:sz="0" w:space="0" w:color="auto"/>
      </w:divBdr>
    </w:div>
    <w:div w:id="871963210">
      <w:bodyDiv w:val="1"/>
      <w:marLeft w:val="0"/>
      <w:marRight w:val="0"/>
      <w:marTop w:val="0"/>
      <w:marBottom w:val="0"/>
      <w:divBdr>
        <w:top w:val="none" w:sz="0" w:space="0" w:color="auto"/>
        <w:left w:val="none" w:sz="0" w:space="0" w:color="auto"/>
        <w:bottom w:val="none" w:sz="0" w:space="0" w:color="auto"/>
        <w:right w:val="none" w:sz="0" w:space="0" w:color="auto"/>
      </w:divBdr>
    </w:div>
    <w:div w:id="995112760">
      <w:bodyDiv w:val="1"/>
      <w:marLeft w:val="0"/>
      <w:marRight w:val="0"/>
      <w:marTop w:val="0"/>
      <w:marBottom w:val="0"/>
      <w:divBdr>
        <w:top w:val="none" w:sz="0" w:space="0" w:color="auto"/>
        <w:left w:val="none" w:sz="0" w:space="0" w:color="auto"/>
        <w:bottom w:val="none" w:sz="0" w:space="0" w:color="auto"/>
        <w:right w:val="none" w:sz="0" w:space="0" w:color="auto"/>
      </w:divBdr>
    </w:div>
    <w:div w:id="1021661966">
      <w:bodyDiv w:val="1"/>
      <w:marLeft w:val="0"/>
      <w:marRight w:val="0"/>
      <w:marTop w:val="0"/>
      <w:marBottom w:val="0"/>
      <w:divBdr>
        <w:top w:val="none" w:sz="0" w:space="0" w:color="auto"/>
        <w:left w:val="none" w:sz="0" w:space="0" w:color="auto"/>
        <w:bottom w:val="none" w:sz="0" w:space="0" w:color="auto"/>
        <w:right w:val="none" w:sz="0" w:space="0" w:color="auto"/>
      </w:divBdr>
    </w:div>
    <w:div w:id="1026295586">
      <w:bodyDiv w:val="1"/>
      <w:marLeft w:val="0"/>
      <w:marRight w:val="0"/>
      <w:marTop w:val="0"/>
      <w:marBottom w:val="0"/>
      <w:divBdr>
        <w:top w:val="none" w:sz="0" w:space="0" w:color="auto"/>
        <w:left w:val="none" w:sz="0" w:space="0" w:color="auto"/>
        <w:bottom w:val="none" w:sz="0" w:space="0" w:color="auto"/>
        <w:right w:val="none" w:sz="0" w:space="0" w:color="auto"/>
      </w:divBdr>
    </w:div>
    <w:div w:id="1069961899">
      <w:bodyDiv w:val="1"/>
      <w:marLeft w:val="0"/>
      <w:marRight w:val="0"/>
      <w:marTop w:val="0"/>
      <w:marBottom w:val="0"/>
      <w:divBdr>
        <w:top w:val="none" w:sz="0" w:space="0" w:color="auto"/>
        <w:left w:val="none" w:sz="0" w:space="0" w:color="auto"/>
        <w:bottom w:val="none" w:sz="0" w:space="0" w:color="auto"/>
        <w:right w:val="none" w:sz="0" w:space="0" w:color="auto"/>
      </w:divBdr>
    </w:div>
    <w:div w:id="1096094619">
      <w:bodyDiv w:val="1"/>
      <w:marLeft w:val="0"/>
      <w:marRight w:val="0"/>
      <w:marTop w:val="0"/>
      <w:marBottom w:val="0"/>
      <w:divBdr>
        <w:top w:val="none" w:sz="0" w:space="0" w:color="auto"/>
        <w:left w:val="none" w:sz="0" w:space="0" w:color="auto"/>
        <w:bottom w:val="none" w:sz="0" w:space="0" w:color="auto"/>
        <w:right w:val="none" w:sz="0" w:space="0" w:color="auto"/>
      </w:divBdr>
    </w:div>
    <w:div w:id="1270237292">
      <w:bodyDiv w:val="1"/>
      <w:marLeft w:val="0"/>
      <w:marRight w:val="0"/>
      <w:marTop w:val="0"/>
      <w:marBottom w:val="0"/>
      <w:divBdr>
        <w:top w:val="none" w:sz="0" w:space="0" w:color="auto"/>
        <w:left w:val="none" w:sz="0" w:space="0" w:color="auto"/>
        <w:bottom w:val="none" w:sz="0" w:space="0" w:color="auto"/>
        <w:right w:val="none" w:sz="0" w:space="0" w:color="auto"/>
      </w:divBdr>
    </w:div>
    <w:div w:id="1341348392">
      <w:bodyDiv w:val="1"/>
      <w:marLeft w:val="0"/>
      <w:marRight w:val="0"/>
      <w:marTop w:val="0"/>
      <w:marBottom w:val="0"/>
      <w:divBdr>
        <w:top w:val="none" w:sz="0" w:space="0" w:color="auto"/>
        <w:left w:val="none" w:sz="0" w:space="0" w:color="auto"/>
        <w:bottom w:val="none" w:sz="0" w:space="0" w:color="auto"/>
        <w:right w:val="none" w:sz="0" w:space="0" w:color="auto"/>
      </w:divBdr>
    </w:div>
    <w:div w:id="1474565760">
      <w:bodyDiv w:val="1"/>
      <w:marLeft w:val="0"/>
      <w:marRight w:val="0"/>
      <w:marTop w:val="0"/>
      <w:marBottom w:val="0"/>
      <w:divBdr>
        <w:top w:val="none" w:sz="0" w:space="0" w:color="auto"/>
        <w:left w:val="none" w:sz="0" w:space="0" w:color="auto"/>
        <w:bottom w:val="none" w:sz="0" w:space="0" w:color="auto"/>
        <w:right w:val="none" w:sz="0" w:space="0" w:color="auto"/>
      </w:divBdr>
    </w:div>
    <w:div w:id="1478297279">
      <w:bodyDiv w:val="1"/>
      <w:marLeft w:val="0"/>
      <w:marRight w:val="0"/>
      <w:marTop w:val="0"/>
      <w:marBottom w:val="0"/>
      <w:divBdr>
        <w:top w:val="none" w:sz="0" w:space="0" w:color="auto"/>
        <w:left w:val="none" w:sz="0" w:space="0" w:color="auto"/>
        <w:bottom w:val="none" w:sz="0" w:space="0" w:color="auto"/>
        <w:right w:val="none" w:sz="0" w:space="0" w:color="auto"/>
      </w:divBdr>
    </w:div>
    <w:div w:id="1495416416">
      <w:bodyDiv w:val="1"/>
      <w:marLeft w:val="0"/>
      <w:marRight w:val="0"/>
      <w:marTop w:val="0"/>
      <w:marBottom w:val="0"/>
      <w:divBdr>
        <w:top w:val="none" w:sz="0" w:space="0" w:color="auto"/>
        <w:left w:val="none" w:sz="0" w:space="0" w:color="auto"/>
        <w:bottom w:val="none" w:sz="0" w:space="0" w:color="auto"/>
        <w:right w:val="none" w:sz="0" w:space="0" w:color="auto"/>
      </w:divBdr>
    </w:div>
    <w:div w:id="1602253176">
      <w:bodyDiv w:val="1"/>
      <w:marLeft w:val="0"/>
      <w:marRight w:val="0"/>
      <w:marTop w:val="0"/>
      <w:marBottom w:val="0"/>
      <w:divBdr>
        <w:top w:val="none" w:sz="0" w:space="0" w:color="auto"/>
        <w:left w:val="none" w:sz="0" w:space="0" w:color="auto"/>
        <w:bottom w:val="none" w:sz="0" w:space="0" w:color="auto"/>
        <w:right w:val="none" w:sz="0" w:space="0" w:color="auto"/>
      </w:divBdr>
    </w:div>
    <w:div w:id="1618491715">
      <w:bodyDiv w:val="1"/>
      <w:marLeft w:val="0"/>
      <w:marRight w:val="0"/>
      <w:marTop w:val="0"/>
      <w:marBottom w:val="0"/>
      <w:divBdr>
        <w:top w:val="none" w:sz="0" w:space="0" w:color="auto"/>
        <w:left w:val="none" w:sz="0" w:space="0" w:color="auto"/>
        <w:bottom w:val="none" w:sz="0" w:space="0" w:color="auto"/>
        <w:right w:val="none" w:sz="0" w:space="0" w:color="auto"/>
      </w:divBdr>
    </w:div>
    <w:div w:id="1629161236">
      <w:bodyDiv w:val="1"/>
      <w:marLeft w:val="0"/>
      <w:marRight w:val="0"/>
      <w:marTop w:val="0"/>
      <w:marBottom w:val="0"/>
      <w:divBdr>
        <w:top w:val="none" w:sz="0" w:space="0" w:color="auto"/>
        <w:left w:val="none" w:sz="0" w:space="0" w:color="auto"/>
        <w:bottom w:val="none" w:sz="0" w:space="0" w:color="auto"/>
        <w:right w:val="none" w:sz="0" w:space="0" w:color="auto"/>
      </w:divBdr>
    </w:div>
    <w:div w:id="1673605872">
      <w:bodyDiv w:val="1"/>
      <w:marLeft w:val="0"/>
      <w:marRight w:val="0"/>
      <w:marTop w:val="0"/>
      <w:marBottom w:val="0"/>
      <w:divBdr>
        <w:top w:val="none" w:sz="0" w:space="0" w:color="auto"/>
        <w:left w:val="none" w:sz="0" w:space="0" w:color="auto"/>
        <w:bottom w:val="none" w:sz="0" w:space="0" w:color="auto"/>
        <w:right w:val="none" w:sz="0" w:space="0" w:color="auto"/>
      </w:divBdr>
    </w:div>
    <w:div w:id="1830517691">
      <w:bodyDiv w:val="1"/>
      <w:marLeft w:val="0"/>
      <w:marRight w:val="0"/>
      <w:marTop w:val="0"/>
      <w:marBottom w:val="0"/>
      <w:divBdr>
        <w:top w:val="none" w:sz="0" w:space="0" w:color="auto"/>
        <w:left w:val="none" w:sz="0" w:space="0" w:color="auto"/>
        <w:bottom w:val="none" w:sz="0" w:space="0" w:color="auto"/>
        <w:right w:val="none" w:sz="0" w:space="0" w:color="auto"/>
      </w:divBdr>
    </w:div>
    <w:div w:id="1839810974">
      <w:bodyDiv w:val="1"/>
      <w:marLeft w:val="0"/>
      <w:marRight w:val="0"/>
      <w:marTop w:val="0"/>
      <w:marBottom w:val="0"/>
      <w:divBdr>
        <w:top w:val="none" w:sz="0" w:space="0" w:color="auto"/>
        <w:left w:val="none" w:sz="0" w:space="0" w:color="auto"/>
        <w:bottom w:val="none" w:sz="0" w:space="0" w:color="auto"/>
        <w:right w:val="none" w:sz="0" w:space="0" w:color="auto"/>
      </w:divBdr>
    </w:div>
    <w:div w:id="1914898450">
      <w:bodyDiv w:val="1"/>
      <w:marLeft w:val="0"/>
      <w:marRight w:val="0"/>
      <w:marTop w:val="0"/>
      <w:marBottom w:val="0"/>
      <w:divBdr>
        <w:top w:val="none" w:sz="0" w:space="0" w:color="auto"/>
        <w:left w:val="none" w:sz="0" w:space="0" w:color="auto"/>
        <w:bottom w:val="none" w:sz="0" w:space="0" w:color="auto"/>
        <w:right w:val="none" w:sz="0" w:space="0" w:color="auto"/>
      </w:divBdr>
    </w:div>
    <w:div w:id="1923946364">
      <w:bodyDiv w:val="1"/>
      <w:marLeft w:val="0"/>
      <w:marRight w:val="0"/>
      <w:marTop w:val="0"/>
      <w:marBottom w:val="0"/>
      <w:divBdr>
        <w:top w:val="none" w:sz="0" w:space="0" w:color="auto"/>
        <w:left w:val="none" w:sz="0" w:space="0" w:color="auto"/>
        <w:bottom w:val="none" w:sz="0" w:space="0" w:color="auto"/>
        <w:right w:val="none" w:sz="0" w:space="0" w:color="auto"/>
      </w:divBdr>
    </w:div>
    <w:div w:id="1940985085">
      <w:bodyDiv w:val="1"/>
      <w:marLeft w:val="0"/>
      <w:marRight w:val="0"/>
      <w:marTop w:val="0"/>
      <w:marBottom w:val="0"/>
      <w:divBdr>
        <w:top w:val="none" w:sz="0" w:space="0" w:color="auto"/>
        <w:left w:val="none" w:sz="0" w:space="0" w:color="auto"/>
        <w:bottom w:val="none" w:sz="0" w:space="0" w:color="auto"/>
        <w:right w:val="none" w:sz="0" w:space="0" w:color="auto"/>
      </w:divBdr>
    </w:div>
    <w:div w:id="1950163150">
      <w:bodyDiv w:val="1"/>
      <w:marLeft w:val="0"/>
      <w:marRight w:val="0"/>
      <w:marTop w:val="0"/>
      <w:marBottom w:val="0"/>
      <w:divBdr>
        <w:top w:val="none" w:sz="0" w:space="0" w:color="auto"/>
        <w:left w:val="none" w:sz="0" w:space="0" w:color="auto"/>
        <w:bottom w:val="none" w:sz="0" w:space="0" w:color="auto"/>
        <w:right w:val="none" w:sz="0" w:space="0" w:color="auto"/>
      </w:divBdr>
    </w:div>
    <w:div w:id="2032491876">
      <w:bodyDiv w:val="1"/>
      <w:marLeft w:val="0"/>
      <w:marRight w:val="0"/>
      <w:marTop w:val="0"/>
      <w:marBottom w:val="0"/>
      <w:divBdr>
        <w:top w:val="none" w:sz="0" w:space="0" w:color="auto"/>
        <w:left w:val="none" w:sz="0" w:space="0" w:color="auto"/>
        <w:bottom w:val="none" w:sz="0" w:space="0" w:color="auto"/>
        <w:right w:val="none" w:sz="0" w:space="0" w:color="auto"/>
      </w:divBdr>
    </w:div>
    <w:div w:id="2047095795">
      <w:bodyDiv w:val="1"/>
      <w:marLeft w:val="0"/>
      <w:marRight w:val="0"/>
      <w:marTop w:val="0"/>
      <w:marBottom w:val="0"/>
      <w:divBdr>
        <w:top w:val="none" w:sz="0" w:space="0" w:color="auto"/>
        <w:left w:val="none" w:sz="0" w:space="0" w:color="auto"/>
        <w:bottom w:val="none" w:sz="0" w:space="0" w:color="auto"/>
        <w:right w:val="none" w:sz="0" w:space="0" w:color="auto"/>
      </w:divBdr>
    </w:div>
    <w:div w:id="2063169536">
      <w:bodyDiv w:val="1"/>
      <w:marLeft w:val="0"/>
      <w:marRight w:val="0"/>
      <w:marTop w:val="0"/>
      <w:marBottom w:val="0"/>
      <w:divBdr>
        <w:top w:val="none" w:sz="0" w:space="0" w:color="auto"/>
        <w:left w:val="none" w:sz="0" w:space="0" w:color="auto"/>
        <w:bottom w:val="none" w:sz="0" w:space="0" w:color="auto"/>
        <w:right w:val="none" w:sz="0" w:space="0" w:color="auto"/>
      </w:divBdr>
    </w:div>
    <w:div w:id="2071417489">
      <w:bodyDiv w:val="1"/>
      <w:marLeft w:val="0"/>
      <w:marRight w:val="0"/>
      <w:marTop w:val="0"/>
      <w:marBottom w:val="0"/>
      <w:divBdr>
        <w:top w:val="none" w:sz="0" w:space="0" w:color="auto"/>
        <w:left w:val="none" w:sz="0" w:space="0" w:color="auto"/>
        <w:bottom w:val="none" w:sz="0" w:space="0" w:color="auto"/>
        <w:right w:val="none" w:sz="0" w:space="0" w:color="auto"/>
      </w:divBdr>
    </w:div>
    <w:div w:id="2074503893">
      <w:bodyDiv w:val="1"/>
      <w:marLeft w:val="0"/>
      <w:marRight w:val="0"/>
      <w:marTop w:val="0"/>
      <w:marBottom w:val="0"/>
      <w:divBdr>
        <w:top w:val="none" w:sz="0" w:space="0" w:color="auto"/>
        <w:left w:val="none" w:sz="0" w:space="0" w:color="auto"/>
        <w:bottom w:val="none" w:sz="0" w:space="0" w:color="auto"/>
        <w:right w:val="none" w:sz="0" w:space="0" w:color="auto"/>
      </w:divBdr>
    </w:div>
    <w:div w:id="20817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i_19750a3323321b994ae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810113\AppData\Local\Mediasterling\BedrockConfigs\wd_resources\Aon%20Report%20NA.dotx" TargetMode="External"/></Relationships>
</file>

<file path=word/theme/theme1.xml><?xml version="1.0" encoding="utf-8"?>
<a:theme xmlns:a="http://schemas.openxmlformats.org/drawingml/2006/main" name="Office Theme">
  <a:themeElements>
    <a:clrScheme name="_Aon 2023">
      <a:dk1>
        <a:srgbClr val="5D6D78"/>
      </a:dk1>
      <a:lt1>
        <a:srgbClr val="FFFFFF"/>
      </a:lt1>
      <a:dk2>
        <a:srgbClr val="262836"/>
      </a:dk2>
      <a:lt2>
        <a:srgbClr val="E5EFF0"/>
      </a:lt2>
      <a:accent1>
        <a:srgbClr val="EB0017"/>
      </a:accent1>
      <a:accent2>
        <a:srgbClr val="82939A"/>
      </a:accent2>
      <a:accent3>
        <a:srgbClr val="E5EFF0"/>
      </a:accent3>
      <a:accent4>
        <a:srgbClr val="CDDBDE"/>
      </a:accent4>
      <a:accent5>
        <a:srgbClr val="5D6D78"/>
      </a:accent5>
      <a:accent6>
        <a:srgbClr val="262836"/>
      </a:accent6>
      <a:hlink>
        <a:srgbClr val="29B0C3"/>
      </a:hlink>
      <a:folHlink>
        <a:srgbClr val="29B0C3"/>
      </a:folHlink>
    </a:clrScheme>
    <a:fontScheme name="Aon Rebrand">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EEF6F7"/>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lnRef>
        <a:fillRef idx="1">
          <a:schemeClr val="lt1"/>
        </a:fillRef>
        <a:effectRef idx="0">
          <a:schemeClr val="accent1"/>
        </a:effectRef>
        <a:fontRef idx="minor">
          <a:schemeClr val="dk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custClrLst>
    <a:custClr name="Red">
      <a:srgbClr val="EB0017"/>
    </a:custClr>
    <a:custClr name="Teal Light">
      <a:srgbClr val="29B0C3"/>
    </a:custClr>
    <a:custClr name="Teal Dark">
      <a:srgbClr val="007585"/>
    </a:custClr>
    <a:custClr name="Orange Light">
      <a:srgbClr val="F25D00"/>
    </a:custClr>
    <a:custClr name="Orange Dark">
      <a:srgbClr val="D14900"/>
    </a:custClr>
    <a:custClr name="Blank">
      <a:srgbClr val="FFFFFF"/>
    </a:custClr>
    <a:custClr name="Blank">
      <a:srgbClr val="FFFFFF"/>
    </a:custClr>
    <a:custClr name="Blank">
      <a:srgbClr val="FFFFFF"/>
    </a:custClr>
    <a:custClr name="Blank">
      <a:srgbClr val="FFFFFF"/>
    </a:custClr>
    <a:custClr name="Blank">
      <a:srgbClr val="FFFFFF"/>
    </a:custClr>
    <a:custClr name="Navy">
      <a:srgbClr val="262836"/>
    </a:custClr>
    <a:custClr name="Grey 01">
      <a:srgbClr val="46535E"/>
    </a:custClr>
    <a:custClr name="Grey 02">
      <a:srgbClr val="5D6D78"/>
    </a:custClr>
    <a:custClr name="Grey 03">
      <a:srgbClr val="82939A"/>
    </a:custClr>
    <a:custClr name="Grey 04">
      <a:srgbClr val="ACC0C4"/>
    </a:custClr>
    <a:custClr name="Grey 05">
      <a:srgbClr val="CDDBDE"/>
    </a:custClr>
    <a:custClr name="Grey 06">
      <a:srgbClr val="E5EFF0"/>
    </a:custClr>
    <a:custClr name="Grey 07">
      <a:srgbClr val="EEF6F7"/>
    </a:custClr>
    <a:custClr name="Grey 08">
      <a:srgbClr val="F9FCFC"/>
    </a:custClr>
    <a:custClr name="Blank">
      <a:srgbClr val="FFFFFF"/>
    </a:custClr>
    <a:custClr name="Aqua">
      <a:srgbClr val="73E2D8"/>
    </a:custClr>
    <a:custClr name="Teal Light">
      <a:srgbClr val="29B0C3"/>
    </a:custClr>
    <a:custClr name="Marine">
      <a:srgbClr val="0084BB"/>
    </a:custClr>
    <a:custClr name="Cobalt">
      <a:srgbClr val="0055A8"/>
    </a:custClr>
    <a:custClr name="Blue">
      <a:srgbClr val="101E7F"/>
    </a:custClr>
    <a:custClr name="Plum">
      <a:srgbClr val="6E027F"/>
    </a:custClr>
    <a:custClr name="Magenta">
      <a:srgbClr val="A70070"/>
    </a:custClr>
    <a:custClr name="Raspberry">
      <a:srgbClr val="D10058"/>
    </a:custClr>
    <a:custClr name="Red Data">
      <a:srgbClr val="EA2238"/>
    </a:custClr>
    <a:custClr name="Orange Light">
      <a:srgbClr val="F25D00"/>
    </a:custClr>
    <a:custClr name="Yellow">
      <a:srgbClr val="FFA600"/>
    </a:custClr>
    <a:custClr name="Lime">
      <a:srgbClr val="8ABD45"/>
    </a:custClr>
    <a:custClr name="Green">
      <a:srgbClr val="12A88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formDataEntries":[]}]]></TemplafyFormConfiguration>
</file>

<file path=customXml/item2.xml><?xml version="1.0" encoding="utf-8"?>
<TemplafyTemplateConfiguration><![CDATA[{"elementsMetadata":[{"type":"pictureContentControl","id":"2e71993d-f846-4a66-94f3-26d306436a00","elementConfiguration":{"inheritDimensions":"{{InheritDimensions.InheritNone}}","width":"","height":"0.9 cm","image":"{{DataSources.ImageFiles[\"AON_2023\"].Image}}","visibility":"","removeAndKeepContent":false,"disableUpdates":false,"type":"image"}},{"elementConfiguration":{"binding":"{{Translate(\"For internal distribution only\",DocumentLanguage)}}","promptAiService":false,"visibility":"","removeAndKeepContent":false,"disableUpdates":false,"type":"text"},"type":"richTextContentControl","id":"c0f61bfc-5e81-498c-9206-b6eee1655290"}],"transformationConfigurations":[{"language":"{{UserProfile.DocumentLanguage.Language}}","disableUpdates":false,"type":"proofingLanguage"}],"templateName":"Blank (1) (1)","templateDescription":"","enableDocumentContentUpdater":false,"version":"2.0"}]]></TemplafyTemplateConfiguration>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D0AC2-399E-4441-9A7D-89C91F672CF6}">
  <ds:schemaRefs/>
</ds:datastoreItem>
</file>

<file path=customXml/itemProps2.xml><?xml version="1.0" encoding="utf-8"?>
<ds:datastoreItem xmlns:ds="http://schemas.openxmlformats.org/officeDocument/2006/customXml" ds:itemID="{6748BA48-7816-4B96-BAC7-7D2DE9212ADF}">
  <ds:schemaRefs/>
</ds:datastoreItem>
</file>

<file path=customXml/itemProps3.xml><?xml version="1.0" encoding="utf-8"?>
<ds:datastoreItem xmlns:ds="http://schemas.openxmlformats.org/officeDocument/2006/customXml" ds:itemID="{A3B587C1-1FB5-47FC-B01B-34E98273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Aon Report NA.dotx</Template>
  <TotalTime>3913</TotalTime>
  <Pages>84</Pages>
  <Words>24727</Words>
  <Characters>140950</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A0810113 (Clement Yee)</dc:creator>
  <cp:lastModifiedBy>Clement Yee</cp:lastModifiedBy>
  <cp:revision>1128</cp:revision>
  <dcterms:created xsi:type="dcterms:W3CDTF">2025-06-05T10:08:00Z</dcterms:created>
  <dcterms:modified xsi:type="dcterms:W3CDTF">2025-06-09T04:09:00Z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Mediasterling">
    <vt:bool>true</vt:bool>
  </property>
  <property fmtid="{D5CDD505-2E9C-101B-9397-08002B2CF9AE}" pid="3" name="MS_AttachedTemplate">
    <vt:lpwstr>Report PT A4.dotx</vt:lpwstr>
  </property>
  <property fmtid="{D5CDD505-2E9C-101B-9397-08002B2CF9AE}" pid="4" name="MS_PathToINIFile">
    <vt:lpwstr>_Report.ini</vt:lpwstr>
  </property>
  <property fmtid="{D5CDD505-2E9C-101B-9397-08002B2CF9AE}" pid="5" name="MS_TemplateType">
    <vt:i4>2</vt:i4>
  </property>
  <property fmtid="{D5CDD505-2E9C-101B-9397-08002B2CF9AE}" pid="6" name="MS_Orientation">
    <vt:i4>0</vt:i4>
  </property>
  <property fmtid="{D5CDD505-2E9C-101B-9397-08002B2CF9AE}" pid="7" name="MS_Theme">
    <vt:lpwstr>Primary</vt:lpwstr>
  </property>
  <property fmtid="{D5CDD505-2E9C-101B-9397-08002B2CF9AE}" pid="8" name="MS_Version">
    <vt:lpwstr>v10.1.0</vt:lpwstr>
  </property>
  <property fmtid="{D5CDD505-2E9C-101B-9397-08002B2CF9AE}" pid="9" name="MS_Debugging">
    <vt:bool>false</vt:bool>
  </property>
  <property fmtid="{D5CDD505-2E9C-101B-9397-08002B2CF9AE}" pid="10" name="DocStatus">
    <vt:lpwstr>DocStatus</vt:lpwstr>
  </property>
  <property fmtid="{D5CDD505-2E9C-101B-9397-08002B2CF9AE}" pid="11" name="Entity">
    <vt:lpwstr/>
  </property>
  <property fmtid="{D5CDD505-2E9C-101B-9397-08002B2CF9AE}" pid="12" name="PrivacyStatus">
    <vt:lpwstr>PrivacyStatus</vt:lpwstr>
  </property>
  <property fmtid="{D5CDD505-2E9C-101B-9397-08002B2CF9AE}" pid="13" name="MS_ToCOption">
    <vt:i4>2</vt:i4>
  </property>
  <property fmtid="{D5CDD505-2E9C-101B-9397-08002B2CF9AE}" pid="14" name="MS_Client">
    <vt:lpwstr>Aon</vt:lpwstr>
  </property>
  <property fmtid="{D5CDD505-2E9C-101B-9397-08002B2CF9AE}" pid="15" name="TT_DefaultStyle">
    <vt:i4>4</vt:i4>
  </property>
  <property fmtid="{D5CDD505-2E9C-101B-9397-08002B2CF9AE}" pid="16" name="TemplafyTenantId">
    <vt:lpwstr>aon</vt:lpwstr>
  </property>
  <property fmtid="{D5CDD505-2E9C-101B-9397-08002B2CF9AE}" pid="17" name="TemplafyTemplateId">
    <vt:lpwstr>891870043037237771</vt:lpwstr>
  </property>
  <property fmtid="{D5CDD505-2E9C-101B-9397-08002B2CF9AE}" pid="18" name="TemplafyUserProfileId">
    <vt:lpwstr>901776368244883552</vt:lpwstr>
  </property>
  <property fmtid="{D5CDD505-2E9C-101B-9397-08002B2CF9AE}" pid="19" name="TemplafyLanguageCode">
    <vt:lpwstr>en-GB</vt:lpwstr>
  </property>
  <property fmtid="{D5CDD505-2E9C-101B-9397-08002B2CF9AE}" pid="20" name="TemplafyFromBlank">
    <vt:bool>true</vt:bool>
  </property>
  <property fmtid="{D5CDD505-2E9C-101B-9397-08002B2CF9AE}" pid="21" name="MSIP_Label_875a5b46-6a40-4ffc-90be-3fcbddbfaaf1_Removed">
    <vt:lpwstr>False</vt:lpwstr>
  </property>
  <property fmtid="{D5CDD505-2E9C-101B-9397-08002B2CF9AE}" pid="22" name="MSIP_Label_875a5b46-6a40-4ffc-90be-3fcbddbfaaf1_ActionId">
    <vt:lpwstr>581ff3f8-d2ad-446f-91f2-926724dea155</vt:lpwstr>
  </property>
  <property fmtid="{D5CDD505-2E9C-101B-9397-08002B2CF9AE}" pid="23" name="MSIP_Label_875a5b46-6a40-4ffc-90be-3fcbddbfaaf1_Name">
    <vt:lpwstr>CONFIDENTIAL \ CONFIDENTIAL</vt:lpwstr>
  </property>
  <property fmtid="{D5CDD505-2E9C-101B-9397-08002B2CF9AE}" pid="24" name="MSIP_Label_875a5b46-6a40-4ffc-90be-3fcbddbfaaf1_SetDate">
    <vt:lpwstr>2025-06-08T13:05:51Z</vt:lpwstr>
  </property>
  <property fmtid="{D5CDD505-2E9C-101B-9397-08002B2CF9AE}" pid="25" name="MSIP_Label_875a5b46-6a40-4ffc-90be-3fcbddbfaaf1_SiteId">
    <vt:lpwstr>94cfddbc-0627-494a-ad7a-29aea3aea832</vt:lpwstr>
  </property>
  <property fmtid="{D5CDD505-2E9C-101B-9397-08002B2CF9AE}" pid="26" name="MSIP_Label_875a5b46-6a40-4ffc-90be-3fcbddbfaaf1_Enabled">
    <vt:lpwstr>True</vt:lpwstr>
  </property>
  <property fmtid="{D5CDD505-2E9C-101B-9397-08002B2CF9AE}" pid="27" name="MSIP_Label_875a5b46-6a40-4ffc-90be-3fcbddbfaaf1_Parent">
    <vt:lpwstr>fa45f789-1f0b-4e07-bb5a-5b7474c73833</vt:lpwstr>
  </property>
  <property fmtid="{D5CDD505-2E9C-101B-9397-08002B2CF9AE}" pid="28" name="MSIP_Label_875a5b46-6a40-4ffc-90be-3fcbddbfaaf1_Extended_MSFT_Method">
    <vt:lpwstr>Standard</vt:lpwstr>
  </property>
  <property fmtid="{D5CDD505-2E9C-101B-9397-08002B2CF9AE}" pid="29" name="MSIP_Label_fa45f789-1f0b-4e07-bb5a-5b7474c73833_Enabled">
    <vt:lpwstr>True</vt:lpwstr>
  </property>
  <property fmtid="{D5CDD505-2E9C-101B-9397-08002B2CF9AE}" pid="30" name="MSIP_Label_fa45f789-1f0b-4e07-bb5a-5b7474c73833_SiteId">
    <vt:lpwstr>94cfddbc-0627-494a-ad7a-29aea3aea832</vt:lpwstr>
  </property>
  <property fmtid="{D5CDD505-2E9C-101B-9397-08002B2CF9AE}" pid="31" name="MSIP_Label_fa45f789-1f0b-4e07-bb5a-5b7474c73833_SetDate">
    <vt:lpwstr>2025-06-08T13:05:51Z</vt:lpwstr>
  </property>
  <property fmtid="{D5CDD505-2E9C-101B-9397-08002B2CF9AE}" pid="32" name="MSIP_Label_fa45f789-1f0b-4e07-bb5a-5b7474c73833_Name">
    <vt:lpwstr>CONFIDENTIAL</vt:lpwstr>
  </property>
  <property fmtid="{D5CDD505-2E9C-101B-9397-08002B2CF9AE}" pid="33" name="MSIP_Label_fa45f789-1f0b-4e07-bb5a-5b7474c73833_ActionId">
    <vt:lpwstr>7023c785-5111-4655-88ce-2f83f910ae7e</vt:lpwstr>
  </property>
  <property fmtid="{D5CDD505-2E9C-101B-9397-08002B2CF9AE}" pid="34" name="MSIP_Label_fa45f789-1f0b-4e07-bb5a-5b7474c73833_Extended_MSFT_Method">
    <vt:lpwstr>Standard</vt:lpwstr>
  </property>
  <property fmtid="{D5CDD505-2E9C-101B-9397-08002B2CF9AE}" pid="35" name="Sensitivity">
    <vt:lpwstr>CONFIDENTIAL \ CONFIDENTIAL CONFIDENTIAL</vt:lpwstr>
  </property>
</Properties>
</file>