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Poppins" w:cs="Poppins" w:eastAsia="Poppins" w:hAnsi="Poppins"/>
          <w:b/>
          <w:bCs/>
          <w:color w:val="0066FF"/>
          <w:sz w:val="18"/>
          <w:szCs w:val="18"/>
        </w:rPr>
        <w:t xml:space="preserve">JEWELL PROJECTS</w:t>
      </w:r>
    </w:p>
    <w:p>
      <w:pPr>
        <w:spacing w:after="240"/>
      </w:pPr>
      <w:r>
        <w:rPr>
          <w:rFonts w:ascii="Poppins" w:cs="Poppins" w:eastAsia="Poppins" w:hAnsi="Poppins"/>
          <w:b/>
          <w:bCs/>
          <w:color w:val="0066FF"/>
          <w:sz w:val="48"/>
          <w:szCs w:val="48"/>
        </w:rPr>
        <w:t xml:space="preserve">Discovery Pack Synthesis (D06) – Draft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ENGAGEMENT</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Adam Hall Buy My Car – Operating System engagement</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STATUS</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Draft v01 – pre-validation, to be updated after the session with Adam</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AUDIENCE</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Internal – Jewell Projects and Clent Jewell</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DATE</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15 July 2026</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SUPERSEDES</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n/a</w:t>
            </w:r>
          </w:p>
        </w:tc>
      </w:tr>
      <w:tr>
        <w:tc>
          <w:tcPr>
            <w:tcW w:type="pct" w:w="3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Poppins" w:cs="Poppins" w:eastAsia="Poppins" w:hAnsi="Poppins"/>
                <w:b/>
                <w:bCs/>
                <w:color w:val="000000"/>
                <w:sz w:val="22"/>
                <w:szCs w:val="22"/>
              </w:rPr>
              <w:t xml:space="preserve">PREPARED BY</w:t>
            </w:r>
          </w:p>
        </w:tc>
        <w:tc>
          <w:tcPr>
            <w:tcW w:type="pct" w:w="7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Poppins" w:cs="Poppins" w:eastAsia="Poppins" w:hAnsi="Poppins"/>
                <w:color w:val="000000"/>
                <w:sz w:val="22"/>
                <w:szCs w:val="22"/>
              </w:rPr>
              <w:t xml:space="preserve">Jewell Projects</w:t>
            </w:r>
          </w:p>
        </w:tc>
      </w:tr>
    </w:tbl>
    <w:p>
      <w:pPr>
        <w:pBdr>
          <w:bottom w:val="single" w:color="000000" w:sz="6" w:space="1"/>
        </w:pBdr>
        <w:spacing w:after="240" w:before="120"/>
      </w:pPr>
      <w:r>
        <w:rPr>
          <w:rFonts w:ascii="Poppins" w:cs="Poppins" w:eastAsia="Poppins" w:hAnsi="Poppins"/>
          <w:sz w:val="2"/>
          <w:szCs w:val="2"/>
        </w:rPr>
        <w:t xml:space="preserve"/>
      </w:r>
    </w:p>
    <w:p>
      <w:pPr>
        <w:spacing w:after="120" w:before="240"/>
      </w:pPr>
      <w:r>
        <w:rPr>
          <w:rFonts w:ascii="Poppins" w:cs="Poppins" w:eastAsia="Poppins" w:hAnsi="Poppins"/>
          <w:b/>
          <w:bCs/>
          <w:color w:val="0066FF"/>
          <w:sz w:val="28"/>
          <w:szCs w:val="28"/>
        </w:rPr>
        <w:t xml:space="preserve">Purpose of This Pack</w:t>
      </w:r>
    </w:p>
    <w:p>
      <w:pPr>
        <w:spacing w:after="120" w:line="360" w:lineRule="auto"/>
      </w:pPr>
      <w:r>
        <w:rPr>
          <w:rFonts w:ascii="Poppins" w:cs="Poppins" w:eastAsia="Poppins" w:hAnsi="Poppins"/>
          <w:b w:val="false"/>
          <w:bCs w:val="false"/>
          <w:color w:val="000000"/>
          <w:sz w:val="22"/>
          <w:szCs w:val="22"/>
        </w:rPr>
        <w:t xml:space="preserve">This pack synthesises what we know about Adam Hall Buy My Car, drawn from the March 2026 discovery set (D01–D05), the Intelligence Brief and the radio archive. It is a pre-validation draft: most of what sits under Audience, Brand and Offer is hypothesis, not fact. Its job is to give the Re-Discover sessions a sharp starting point, not a finished brief. Nothing here is locked until tested against Adam's own words.</w:t>
      </w:r>
    </w:p>
    <w:p>
      <w:pPr>
        <w:spacing w:after="120" w:before="240"/>
      </w:pPr>
      <w:r>
        <w:rPr>
          <w:rFonts w:ascii="Poppins" w:cs="Poppins" w:eastAsia="Poppins" w:hAnsi="Poppins"/>
          <w:b/>
          <w:bCs/>
          <w:color w:val="0066FF"/>
          <w:sz w:val="28"/>
          <w:szCs w:val="28"/>
        </w:rPr>
        <w:t xml:space="preserve">Summary on a Page</w:t>
      </w:r>
    </w:p>
    <w:p>
      <w:pPr>
        <w:spacing w:after="120" w:line="360" w:lineRule="auto"/>
      </w:pPr>
      <w:r>
        <w:rPr>
          <w:rFonts w:ascii="Poppins" w:cs="Poppins" w:eastAsia="Poppins" w:hAnsi="Poppins"/>
          <w:b w:val="false"/>
          <w:bCs w:val="false"/>
          <w:color w:val="000000"/>
          <w:sz w:val="22"/>
          <w:szCs w:val="22"/>
        </w:rPr>
        <w:t xml:space="preserve">Adam Hall Buy My Car turns over roughly $5M a year, buying ~25 cars a month at close to $4,200 retail gross each, 90% retail and 10% wholesale. The target is $7M, then a 10x path toward a Cars For Us-style exit. Core read: the constraint is not demand or trust, it is that the whole conversion system runs inside one person's head, and a system nobody else can see cannot be hired into, delegated or sold. Opportunity: Adam's valuation logic, yes/no instinct and payment discipline are extractable now, ahead of Design. Gap: none of it is written down, so capacity, hiring and sale-readiness all trace back to Adam standing in the room.</w:t>
      </w:r>
    </w:p>
    <w:p>
      <w:pPr>
        <w:spacing w:after="120" w:before="240"/>
      </w:pPr>
      <w:r>
        <w:rPr>
          <w:rFonts w:ascii="Poppins" w:cs="Poppins" w:eastAsia="Poppins" w:hAnsi="Poppins"/>
          <w:b/>
          <w:bCs/>
          <w:color w:val="0066FF"/>
          <w:sz w:val="28"/>
          <w:szCs w:val="28"/>
        </w:rPr>
        <w:t xml:space="preserve">The Commercial Read</w:t>
      </w:r>
    </w:p>
    <w:p>
      <w:pPr>
        <w:spacing w:after="120" w:line="360" w:lineRule="auto"/>
      </w:pPr>
      <w:r>
        <w:rPr>
          <w:rFonts w:ascii="Poppins" w:cs="Poppins" w:eastAsia="Poppins" w:hAnsi="Poppins"/>
          <w:b w:val="false"/>
          <w:bCs w:val="false"/>
          <w:color w:val="000000"/>
          <w:sz w:val="22"/>
          <w:szCs w:val="22"/>
        </w:rPr>
        <w:t xml:space="preserve">The constraint on Adam Hall Buy My Car is not demand and it is not trust – both already work at ~25 cars a month with a customer base that chooses this business on reputation alone. The constraint is that the conversion system, the mechanism that turns a nervous 68-year-old into a signed, settled sale, exists nowhere but Adam's head – invisible to a hire, unhireable as a role, unsellable as a business.</w:t>
      </w:r>
    </w:p>
    <w:p>
      <w:pPr>
        <w:spacing w:after="120" w:before="240"/>
      </w:pPr>
      <w:r>
        <w:rPr>
          <w:rFonts w:ascii="Poppins" w:cs="Poppins" w:eastAsia="Poppins" w:hAnsi="Poppins"/>
          <w:b/>
          <w:bCs/>
          <w:color w:val="0066FF"/>
          <w:sz w:val="28"/>
          <w:szCs w:val="28"/>
        </w:rPr>
        <w:t xml:space="preserve">What We Know (Confirmed)</w:t>
      </w:r>
    </w:p>
    <w:p>
      <w:pPr>
        <w:spacing w:after="120" w:line="360" w:lineRule="auto"/>
      </w:pPr>
      <w:r>
        <w:rPr>
          <w:rFonts w:ascii="Poppins" w:cs="Poppins" w:eastAsia="Poppins" w:hAnsi="Poppins"/>
          <w:b w:val="false"/>
          <w:bCs w:val="false"/>
          <w:color w:val="000000"/>
          <w:sz w:val="22"/>
          <w:szCs w:val="22"/>
        </w:rPr>
        <w:t xml:space="preserve">Adam Hall Buy My Car buys 20–30 cars a month (around 25) at roughly $4,200 retail gross per car, 90% retail and 10% wholesale. Revenue is approximately $5M, targeting $7M and a longer-run 10x. The customer base is predominantly 60–75 and older: downsizers, licence-loss sellers, and estate or health-driven sellers, for whom trust matters more than price. Adam carries the valuation logic, customer-trust technique, yes/no decision and payment and paperwork discipline, none of it documented. The Adam Hall Standard – empathy first then the solution, daily self-criticism, ownership not excuses, stay in the room, value your time commercially – is the cultural spine; the business has seen the cost of hiring skill before values, in George. Adam's radio presence gives the brand a public voice most competitors lack. Engagement approved 14 July 2026: Re-Discover, then Design, then Activate through Maxxim, with JewellAI keeping the system current after. The same method has already run for BTC.</w:t>
      </w:r>
    </w:p>
    <w:p>
      <w:pPr>
        <w:spacing w:after="120" w:before="240"/>
      </w:pPr>
      <w:r>
        <w:rPr>
          <w:rFonts w:ascii="Poppins" w:cs="Poppins" w:eastAsia="Poppins" w:hAnsi="Poppins"/>
          <w:b/>
          <w:bCs/>
          <w:color w:val="0066FF"/>
          <w:sz w:val="28"/>
          <w:szCs w:val="28"/>
        </w:rPr>
        <w:t xml:space="preserve">Business and Model</w:t>
      </w:r>
    </w:p>
    <w:p>
      <w:pPr>
        <w:spacing w:after="120" w:line="360" w:lineRule="auto"/>
      </w:pPr>
      <w:r>
        <w:rPr>
          <w:rFonts w:ascii="Poppins" w:cs="Poppins" w:eastAsia="Poppins" w:hAnsi="Poppins"/>
          <w:b w:val="false"/>
          <w:bCs w:val="false"/>
          <w:color w:val="000000"/>
          <w:sz w:val="22"/>
          <w:szCs w:val="22"/>
        </w:rPr>
        <w:t xml:space="preserve">This is a trust-conversion business operating inside a car-buying shell, not a car business that happens to be trusted. At ~25 cars a month and $4,200 retail gross, unit economics are healthy, but every transaction depends on Adam personally reading the seller, setting the number and calling the yes or no. The 90/10 split implies a discipline about what is worth retailing, a rule that also lives only in his judgement. Growth from $5M to $7M under the current model means more of Adam – the opposite of what a 10x, sellable brand needs.</w:t>
      </w:r>
    </w:p>
    <w:p>
      <w:pPr>
        <w:spacing w:after="120" w:before="240"/>
      </w:pPr>
      <w:r>
        <w:rPr>
          <w:rFonts w:ascii="Poppins" w:cs="Poppins" w:eastAsia="Poppins" w:hAnsi="Poppins"/>
          <w:b/>
          <w:bCs/>
          <w:color w:val="0066FF"/>
          <w:sz w:val="28"/>
          <w:szCs w:val="28"/>
        </w:rPr>
        <w:t xml:space="preserve">Audience Synthesis (Hypothesis)</w:t>
      </w:r>
    </w:p>
    <w:p>
      <w:pPr>
        <w:spacing w:after="120" w:line="360" w:lineRule="auto"/>
      </w:pPr>
      <w:r>
        <w:rPr>
          <w:rFonts w:ascii="Poppins" w:cs="Poppins" w:eastAsia="Poppins" w:hAnsi="Poppins"/>
          <w:b w:val="false"/>
          <w:bCs w:val="false"/>
          <w:color w:val="000000"/>
          <w:sz w:val="22"/>
          <w:szCs w:val="22"/>
        </w:rPr>
        <w:t xml:space="preserve">The baseline points to three segments inside the 60–75+ base: downsizers, licence-loss sellers needing to sell fast and with dignity, and estate or health-driven sellers, often family acting on someone else's behalf. All three are price-second, trust-first, and reward a calm, unhurried process. This is a hypothesis built from the March baseline and Adam's general description of customers, not yet tested segment by segment for volume, margin or referral behaviour. Confirm in the live sessions, not by assumption.</w:t>
      </w:r>
    </w:p>
    <w:p>
      <w:pPr>
        <w:spacing w:after="120" w:before="240"/>
      </w:pPr>
      <w:r>
        <w:rPr>
          <w:rFonts w:ascii="Poppins" w:cs="Poppins" w:eastAsia="Poppins" w:hAnsi="Poppins"/>
          <w:b/>
          <w:bCs/>
          <w:color w:val="0066FF"/>
          <w:sz w:val="28"/>
          <w:szCs w:val="28"/>
        </w:rPr>
        <w:t xml:space="preserve">Brand Direction (Hypothesis)</w:t>
      </w:r>
    </w:p>
    <w:p>
      <w:pPr>
        <w:spacing w:after="120" w:line="360" w:lineRule="auto"/>
      </w:pPr>
      <w:r>
        <w:rPr>
          <w:rFonts w:ascii="Poppins" w:cs="Poppins" w:eastAsia="Poppins" w:hAnsi="Poppins"/>
          <w:b w:val="false"/>
          <w:bCs w:val="false"/>
          <w:color w:val="000000"/>
          <w:sz w:val="22"/>
          <w:szCs w:val="22"/>
        </w:rPr>
        <w:t xml:space="preserve">Adam's radio heritage gives this brand something most car-buying operators lack: existing public recognition attached to a name. The hypothesis to test in Design is whether that recognition can be separated from Adam-the-person and rebuilt as Adam Hall Buy My Car-the-brand, so the trust attached to him personally becomes attached to a system a buyer could acquire. Unconfirmed, and central to the growth thesis.</w:t>
      </w:r>
    </w:p>
    <w:p>
      <w:pPr>
        <w:spacing w:after="120" w:before="240"/>
      </w:pPr>
      <w:r>
        <w:rPr>
          <w:rFonts w:ascii="Poppins" w:cs="Poppins" w:eastAsia="Poppins" w:hAnsi="Poppins"/>
          <w:b/>
          <w:bCs/>
          <w:color w:val="0066FF"/>
          <w:sz w:val="28"/>
          <w:szCs w:val="28"/>
        </w:rPr>
        <w:t xml:space="preserve">Market and White Space</w:t>
      </w:r>
    </w:p>
    <w:p>
      <w:pPr>
        <w:spacing w:after="120" w:line="360" w:lineRule="auto"/>
      </w:pPr>
      <w:r>
        <w:rPr>
          <w:rFonts w:ascii="Poppins" w:cs="Poppins" w:eastAsia="Poppins" w:hAnsi="Poppins"/>
          <w:b w:val="false"/>
          <w:bCs w:val="false"/>
          <w:color w:val="000000"/>
          <w:sz w:val="22"/>
          <w:szCs w:val="22"/>
        </w:rPr>
        <w:t xml:space="preserve">Everyone buys cars. Nobody makes selling one feel safe.</w:t>
      </w:r>
    </w:p>
    <w:p>
      <w:pPr>
        <w:spacing w:after="120" w:before="240"/>
      </w:pPr>
      <w:r>
        <w:rPr>
          <w:rFonts w:ascii="Poppins" w:cs="Poppins" w:eastAsia="Poppins" w:hAnsi="Poppins"/>
          <w:b/>
          <w:bCs/>
          <w:color w:val="0066FF"/>
          <w:sz w:val="28"/>
          <w:szCs w:val="28"/>
        </w:rPr>
        <w:t xml:space="preserve">Offer Synthesis (Hypothesis)</w:t>
      </w:r>
    </w:p>
    <w:p>
      <w:pPr>
        <w:spacing w:after="120" w:line="360" w:lineRule="auto"/>
      </w:pPr>
      <w:r>
        <w:rPr>
          <w:rFonts w:ascii="Poppins" w:cs="Poppins" w:eastAsia="Poppins" w:hAnsi="Poppins"/>
          <w:b w:val="false"/>
          <w:bCs w:val="false"/>
          <w:color w:val="000000"/>
          <w:sz w:val="22"/>
          <w:szCs w:val="22"/>
        </w:rPr>
        <w:t xml:space="preserve">Proposed for testing: three tiers with a named spine. Entry tier – a free home-visit valuation, removing the first fear point for an older seller who does not want to drive to a yard or deal with strangers online. Commercial spine – the retail buy itself, carrying the $4,200 gross. LTV engine – referrals and repeat family transactions, where adult children, neighbours and estate contacts become the next lead. The pathway between tiers is not yet mapped and needs Adam's own account of how it happens today.</w:t>
      </w:r>
    </w:p>
    <w:p>
      <w:pPr>
        <w:spacing w:after="120" w:before="240"/>
      </w:pPr>
      <w:r>
        <w:rPr>
          <w:rFonts w:ascii="Poppins" w:cs="Poppins" w:eastAsia="Poppins" w:hAnsi="Poppins"/>
          <w:b/>
          <w:bCs/>
          <w:color w:val="0066FF"/>
          <w:sz w:val="28"/>
          <w:szCs w:val="28"/>
        </w:rPr>
        <w:t xml:space="preserve">Bottlenecks and Risks</w:t>
      </w:r>
    </w:p>
    <w:p>
      <w:pPr>
        <w:spacing w:after="120" w:line="360" w:lineRule="auto"/>
      </w:pPr>
      <w:r>
        <w:rPr>
          <w:rFonts w:ascii="Poppins" w:cs="Poppins" w:eastAsia="Poppins" w:hAnsi="Poppins"/>
          <w:b w:val="false"/>
          <w:bCs w:val="false"/>
          <w:color w:val="000000"/>
          <w:sz w:val="22"/>
          <w:szCs w:val="22"/>
        </w:rPr>
        <w:t xml:space="preserve">The key-person ceiling caps volume at roughly 25 cars a month because every decision routes through one calendar. Undocumented valuation logic means delegating buying decisions carries real margin risk until Adam's rules are written down and tested. Trust is held personally, not by the brand – the biggest reason the business is not currently sellable, since a buyer would be acquiring Adam, not a system. A values-first hiring brief does not exist, and George is the live example of skill hired before values.</w:t>
      </w:r>
    </w:p>
    <w:p>
      <w:pPr>
        <w:spacing w:after="120" w:before="240"/>
      </w:pPr>
      <w:r>
        <w:rPr>
          <w:rFonts w:ascii="Poppins" w:cs="Poppins" w:eastAsia="Poppins" w:hAnsi="Poppins"/>
          <w:b/>
          <w:bCs/>
          <w:color w:val="0066FF"/>
          <w:sz w:val="28"/>
          <w:szCs w:val="28"/>
        </w:rPr>
        <w:t xml:space="preserve">High-Control Register</w:t>
      </w:r>
    </w:p>
    <w:p>
      <w:pPr>
        <w:spacing w:after="120" w:line="360" w:lineRule="auto"/>
      </w:pPr>
      <w:r>
        <w:rPr>
          <w:rFonts w:ascii="Poppins" w:cs="Poppins" w:eastAsia="Poppins" w:hAnsi="Poppins"/>
          <w:b w:val="false"/>
          <w:bCs w:val="false"/>
          <w:color w:val="000000"/>
          <w:sz w:val="22"/>
          <w:szCs w:val="22"/>
        </w:rPr>
        <w:t xml:space="preserve">The following touch money, customer ID, finance owing (PPSR), ownership, rego transfer or settlement paperwork, and are treated as high-control: how valuation inputs translate to a cash offer; the payment-to-settlement sequence, including when PPSR checks, ID verification and rego transfer happen; and any point where funds move before ownership is confirmed. None of this is assumed – each item is confirmed directly with Adam, precisely, before any SOP or automation is built around it.</w:t>
      </w:r>
    </w:p>
    <w:p>
      <w:pPr>
        <w:spacing w:after="120" w:before="240"/>
      </w:pPr>
      <w:r>
        <w:rPr>
          <w:rFonts w:ascii="Poppins" w:cs="Poppins" w:eastAsia="Poppins" w:hAnsi="Poppins"/>
          <w:b/>
          <w:bCs/>
          <w:color w:val="0066FF"/>
          <w:sz w:val="28"/>
          <w:szCs w:val="28"/>
        </w:rPr>
        <w:t xml:space="preserve">Strategic Hypotheses</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Adam's "by feel" valuation logic can be broken into a testable rule set, letting a second person value a car within an acceptable margin.</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A named, documented brand, separate from Adam personally, can carry the trust signal he currently carries alone.</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The home-visit valuation, as a free entry tier, is the strongest lead mechanism for this audience.</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Referrals and repeat-family transactions are under-systematised and are the fastest path to volume growth without added spend.</w:t>
      </w:r>
    </w:p>
    <w:p>
      <w:pPr>
        <w:pStyle w:val="ListParagraph"/>
        <w:numPr>
          <w:ilvl w:val="0"/>
          <w:numId w:val="2"/>
        </w:numPr>
        <w:spacing w:after="80" w:line="360" w:lineRule="auto"/>
      </w:pPr>
      <w:r>
        <w:rPr>
          <w:rFonts w:ascii="Poppins" w:cs="Poppins" w:eastAsia="Poppins" w:hAnsi="Poppins"/>
          <w:b w:val="false"/>
          <w:bCs w:val="false"/>
          <w:color w:val="000000"/>
          <w:sz w:val="22"/>
          <w:szCs w:val="22"/>
        </w:rPr>
        <w:t xml:space="preserve">A values-first hiring brief, built from the Adam Hall Standard, is the precondition for breaking the key-person ceiling without repeating George.</w:t>
      </w:r>
    </w:p>
    <w:p>
      <w:pPr>
        <w:spacing w:after="40"/>
      </w:pPr>
    </w:p>
    <w:p>
      <w:pPr>
        <w:spacing w:after="120" w:before="240"/>
      </w:pPr>
      <w:r>
        <w:rPr>
          <w:rFonts w:ascii="Poppins" w:cs="Poppins" w:eastAsia="Poppins" w:hAnsi="Poppins"/>
          <w:b/>
          <w:bCs/>
          <w:color w:val="0066FF"/>
          <w:sz w:val="28"/>
          <w:szCs w:val="28"/>
        </w:rPr>
        <w:t xml:space="preserve">CORE Questions for Adam</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Code</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Question</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Why it matters</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What the answer locks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CQ01</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Standing in front of a car in a driveway, what inputs do you weigh, in order, before a number?</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Lives only in Adam's head</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Draft valuation rule set</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CQ02</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Think of the last car you walked away from. What flipped your yes to a no?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Rules show at the edges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No-go criteria for yes/no</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CQ03</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What tells you retail versus wholesale, and how often is that gut call right?</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90/10 is an outcome, not a rule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Retail/wholesale decision rule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CQ04</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Walk through the sequence from agreed price to cash paid and clean title, including finance-owing and ID checks.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High-control: PPSR, ID, rego</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Verified payment-to-settlement sequence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CQ05</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First contact to keys in hand, how many hours does a typical deal take?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True capacity behind ~25/month</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Hours-per-deal and monthly ceiling</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CQ06</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Where do your leads actually come from, and what share from each source?</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Growth needs the real mix</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Confirmed lead source split</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CQ07</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When a happy seller refers someone, how does that happen today – do you ask, or does it occur on its own?</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LTV engine, unconfirmed</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Referral mechanism to systemise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CQ08</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If you sold this business in five years, what would "sellable" look like in numbers?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No numeric definition yet</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Sale-readiness target, Adam's terms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CQ09</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Right now, who on the team does what, and what still comes back through you?</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Maps the delegation gap</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Current team-and-handoff map</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CQ10</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What would you never let a new hire do without you in the room?</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Names the trust moment</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Non-negotiable human-only step</w:t>
            </w:r>
          </w:p>
        </w:tc>
      </w:tr>
    </w:tbl>
    <w:p>
      <w:pPr>
        <w:spacing w:after="120"/>
      </w:pPr>
    </w:p>
    <w:p>
      <w:pPr>
        <w:spacing w:after="120" w:before="240"/>
      </w:pPr>
      <w:r>
        <w:rPr>
          <w:rFonts w:ascii="Poppins" w:cs="Poppins" w:eastAsia="Poppins" w:hAnsi="Poppins"/>
          <w:b/>
          <w:bCs/>
          <w:color w:val="0066FF"/>
          <w:sz w:val="28"/>
          <w:szCs w:val="28"/>
        </w:rPr>
        <w:t xml:space="preserve">Validated vs Pending</w:t>
      </w:r>
    </w:p>
    <w:p>
      <w:pPr>
        <w:spacing w:after="120" w:line="360" w:lineRule="auto"/>
      </w:pPr>
      <w:r>
        <w:rPr>
          <w:rFonts w:ascii="Poppins" w:cs="Poppins" w:eastAsia="Poppins" w:hAnsi="Poppins"/>
          <w:b/>
          <w:bCs/>
          <w:color w:val="000000"/>
          <w:sz w:val="22"/>
          <w:szCs w:val="22"/>
        </w:rPr>
        <w:t xml:space="preserve">Validated:</w:t>
      </w:r>
      <w:r>
        <w:rPr>
          <w:rFonts w:ascii="Poppins" w:cs="Poppins" w:eastAsia="Poppins" w:hAnsi="Poppins"/>
          <w:b w:val="false"/>
          <w:bCs w:val="false"/>
          <w:color w:val="000000"/>
          <w:sz w:val="22"/>
          <w:szCs w:val="22"/>
        </w:rPr>
        <w:t xml:space="preserve"> revenue (~$5M) and target ($7M, then 10x); volume (~25/month, range 20–30); retail/wholesale split (90/10); average retail gross (~$4,200/car); customer profile (60–75+, trust-first, price-second); the Adam Hall Standard; the George outcome; the Cars For Us north star; the engagement approval and phase sequence.</w:t>
      </w:r>
    </w:p>
    <w:p>
      <w:pPr>
        <w:spacing w:after="120" w:line="360" w:lineRule="auto"/>
      </w:pPr>
      <w:r>
        <w:rPr>
          <w:rFonts w:ascii="Poppins" w:cs="Poppins" w:eastAsia="Poppins" w:hAnsi="Poppins"/>
          <w:b/>
          <w:bCs/>
          <w:color w:val="000000"/>
          <w:sz w:val="22"/>
          <w:szCs w:val="22"/>
        </w:rPr>
        <w:t xml:space="preserve">Pending:</w:t>
      </w:r>
      <w:r>
        <w:rPr>
          <w:rFonts w:ascii="Poppins" w:cs="Poppins" w:eastAsia="Poppins" w:hAnsi="Poppins"/>
          <w:b w:val="false"/>
          <w:bCs w:val="false"/>
          <w:color w:val="000000"/>
          <w:sz w:val="22"/>
          <w:szCs w:val="22"/>
        </w:rPr>
        <w:t xml:space="preserve"> valuation inputs and decision rules; the payment-to-settlement sequence (high-control); hours per deal and true ceiling; lead source mix; the referral mechanism; a numeric sale-readiness definition; team roles and handoffs; the non-negotiable human-only step; the audience and offer-tier architecture in this pack, both marked hypothesis.</w:t>
      </w:r>
    </w:p>
    <w:p>
      <w:pPr>
        <w:spacing w:after="120" w:before="240"/>
      </w:pPr>
      <w:r>
        <w:rPr>
          <w:rFonts w:ascii="Poppins" w:cs="Poppins" w:eastAsia="Poppins" w:hAnsi="Poppins"/>
          <w:b/>
          <w:bCs/>
          <w:color w:val="0066FF"/>
          <w:sz w:val="28"/>
          <w:szCs w:val="28"/>
        </w:rPr>
        <w:t xml:space="preserve">Action Items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Owner</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Action</w:t>
            </w:r>
          </w:p>
        </w:tc>
        <w:tc>
          <w:tcPr>
            <w:tcBorders>
              <w:top w:val="single" w:color="CCCCCC" w:sz="4"/>
              <w:left w:val="single" w:color="CCCCCC" w:sz="4"/>
              <w:bottom w:val="single" w:color="CCCCCC" w:sz="4"/>
              <w:right w:val="single" w:color="CCCCCC" w:sz="4"/>
            </w:tcBorders>
            <w:shd w:fill="F2F2F2" w:color="auto" w:val="clear"/>
            <w:tcMar>
              <w:top w:type="dxa" w:w="60"/>
              <w:left w:type="dxa" w:w="80"/>
              <w:bottom w:type="dxa" w:w="60"/>
              <w:right w:type="dxa" w:w="80"/>
            </w:tcMar>
            <w:vAlign w:val="center"/>
          </w:tcPr>
          <w:p>
            <w:pPr>
              <w:spacing w:after="0" w:line="240" w:lineRule="auto"/>
            </w:pPr>
            <w:r>
              <w:rPr>
                <w:rFonts w:ascii="Poppins" w:cs="Poppins" w:eastAsia="Poppins" w:hAnsi="Poppins"/>
                <w:b/>
                <w:bCs/>
                <w:color w:val="000000"/>
                <w:sz w:val="22"/>
                <w:szCs w:val="22"/>
              </w:rPr>
              <w:t xml:space="preserve">Due</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Adam Hall</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Answer CQ01–CQ10, in his own words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First two weeks of Re-Discover</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JP lead</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Capture verbatim answers, lock each as a parameter</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Ongoing through Re-Discover</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JP lead</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Confirm the payment/settlement sequence in writing</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Before Design begins</w:t>
            </w:r>
          </w:p>
        </w:tc>
      </w:tr>
      <w:tr>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Adam Hall</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Confirm or correct the audience and offer hypothesis</w:t>
            </w:r>
          </w:p>
        </w:tc>
        <w:tc>
          <w:tcPr>
            <w:tcBorders>
              <w:top w:val="single" w:color="CCCCCC" w:sz="4"/>
              <w:left w:val="single" w:color="CCCCCC" w:sz="4"/>
              <w:bottom w:val="single" w:color="CCCCCC" w:sz="4"/>
              <w:right w:val="single" w:color="CCCCCC" w:sz="4"/>
            </w:tcBorders>
            <w:tcMar>
              <w:top w:type="dxa" w:w="60"/>
              <w:left w:type="dxa" w:w="80"/>
              <w:bottom w:type="dxa" w:w="60"/>
              <w:right w:type="dxa" w:w="80"/>
            </w:tcMar>
            <w:vAlign w:val="center"/>
          </w:tcPr>
          <w:p>
            <w:pPr>
              <w:spacing w:after="0" w:line="240" w:lineRule="auto"/>
            </w:pPr>
            <w:r>
              <w:rPr>
                <w:rFonts w:ascii="Poppins" w:cs="Poppins" w:eastAsia="Poppins" w:hAnsi="Poppins"/>
                <w:b w:val="false"/>
                <w:bCs w:val="false"/>
                <w:color w:val="000000"/>
                <w:sz w:val="22"/>
                <w:szCs w:val="22"/>
              </w:rPr>
              <w:t xml:space="preserve">Within Re-Discover sessions</w:t>
            </w:r>
          </w:p>
        </w:tc>
      </w:tr>
    </w:tbl>
    <w:p>
      <w:pPr>
        <w:spacing w:after="120"/>
      </w:pPr>
    </w:p>
    <w:p>
      <w:pPr>
        <w:spacing w:after="120" w:before="240"/>
      </w:pPr>
      <w:r>
        <w:rPr>
          <w:rFonts w:ascii="Poppins" w:cs="Poppins" w:eastAsia="Poppins" w:hAnsi="Poppins"/>
          <w:b/>
          <w:bCs/>
          <w:color w:val="0066FF"/>
          <w:sz w:val="28"/>
          <w:szCs w:val="28"/>
        </w:rPr>
        <w:t xml:space="preserve">Feeds Into</w:t>
      </w:r>
    </w:p>
    <w:p>
      <w:pPr>
        <w:spacing w:after="120" w:line="360" w:lineRule="auto"/>
      </w:pPr>
      <w:r>
        <w:rPr>
          <w:rFonts w:ascii="Poppins" w:cs="Poppins" w:eastAsia="Poppins" w:hAnsi="Poppins"/>
          <w:b w:val="false"/>
          <w:bCs w:val="false"/>
          <w:color w:val="000000"/>
          <w:sz w:val="22"/>
          <w:szCs w:val="22"/>
        </w:rPr>
        <w:t xml:space="preserve">This pack feeds directly into Design, where confirmed valuation rules, decision criteria and the payment sequence become SOPs, scripts and hiring briefs, and the offer and audience hypotheses are tested and locked or revised.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center" w:pos="4680"/>
        <w:tab w:val="right" w:pos="9360"/>
      </w:tabs>
    </w:pPr>
    <w:r>
      <w:rPr>
        <w:rFonts w:ascii="Poppins" w:cs="Poppins" w:eastAsia="Poppins" w:hAnsi="Poppins"/>
        <w:color w:val="666666"/>
        <w:sz w:val="18"/>
        <w:szCs w:val="18"/>
      </w:rPr>
      <w:t xml:space="preserve">Jewell Projects</w:t>
    </w:r>
    <w:r>
      <w:rPr>
        <w:rFonts w:ascii="Poppins" w:cs="Poppins" w:eastAsia="Poppins" w:hAnsi="Poppins"/>
        <w:color w:val="666666"/>
        <w:sz w:val="18"/>
        <w:szCs w:val="18"/>
      </w:rPr>
      <w:t xml:space="preserve">	</w:t>
    </w:r>
    <w:r>
      <w:rPr>
        <w:rFonts w:ascii="Poppins" w:cs="Poppins" w:eastAsia="Poppins" w:hAnsi="Poppins"/>
        <w:color w:val="666666"/>
        <w:sz w:val="18"/>
        <w:szCs w:val="18"/>
      </w:rPr>
      <w:t xml:space="preserve">D06 Discovery Synthesis v01</w:t>
    </w:r>
    <w:r>
      <w:rPr>
        <w:rFonts w:ascii="Poppins" w:cs="Poppins" w:eastAsia="Poppins" w:hAnsi="Poppins"/>
        <w:color w:val="666666"/>
        <w:sz w:val="18"/>
        <w:szCs w:val="18"/>
      </w:rPr>
      <w:t xml:space="preserve">	</w:t>
    </w:r>
    <w:r>
      <w:rPr>
        <w:rFonts w:ascii="Poppins" w:cs="Poppins" w:eastAsia="Poppins" w:hAnsi="Poppins"/>
        <w:color w:val="666666"/>
        <w:sz w:val="18"/>
        <w:szCs w:val="18"/>
      </w:rPr>
      <w:t xml:space="preserve">Page </w:t>
    </w:r>
    <w:r>
      <w:rPr>
        <w:rFonts w:ascii="Poppins" w:cs="Poppins" w:eastAsia="Poppins" w:hAnsi="Poppins"/>
        <w:color w:val="666666"/>
        <w:sz w:val="18"/>
        <w:szCs w:val="18"/>
      </w:rPr>
      <w:fldChar w:fldCharType="begin"/>
      <w:instrText xml:space="preserve">PAGE</w:instrText>
      <w:fldChar w:fldCharType="separate"/>
      <w:fldChar w:fldCharType="end"/>
    </w:r>
    <w:r>
      <w:rPr>
        <w:rFonts w:ascii="Poppins" w:cs="Poppins" w:eastAsia="Poppins" w:hAnsi="Poppins"/>
        <w:color w:val="666666"/>
        <w:sz w:val="18"/>
        <w:szCs w:val="18"/>
      </w:rPr>
      <w:t xml:space="preserve"> of </w:t>
    </w:r>
    <w:r>
      <w:rPr>
        <w:rFonts w:ascii="Poppins" w:cs="Poppins" w:eastAsia="Poppins" w:hAnsi="Poppins"/>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40"/>
      </w:pPr>
      <w:rPr>
        <w:rFonts w:ascii="Poppins" w:cs="Poppins" w:eastAsia="Poppins" w:hAnsi="Poppins"/>
        <w:color w:val="0000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2026-07-15T00:46:38.487Z</dcterms:created>
  <dcterms:modified xsi:type="dcterms:W3CDTF">2026-07-15T00:46:38.487Z</dcterms:modified>
</cp:coreProperties>
</file>

<file path=docProps/custom.xml><?xml version="1.0" encoding="utf-8"?>
<Properties xmlns="http://schemas.openxmlformats.org/officeDocument/2006/custom-properties" xmlns:vt="http://schemas.openxmlformats.org/officeDocument/2006/docPropsVTypes"/>
</file>