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The Position</w:t>
      </w:r>
    </w:p>
    <w:p>
      <w:pPr>
        <w:spacing w:after="120" w:line="360"/>
      </w:pPr>
      <w:r>
        <w:rPr>
          <w:rFonts w:ascii="Poppins" w:cs="Poppins" w:eastAsia="Poppins" w:hAnsi="Poppins"/>
          <w:b/>
          <w:bCs/>
          <w:color w:val="000000"/>
          <w:sz w:val="22"/>
          <w:szCs w:val="22"/>
        </w:rPr>
        <w:t xml:space="preserve">The best night in, on tap.</w:t>
      </w:r>
    </w:p>
    <w:p>
      <w:pPr>
        <w:spacing w:after="120" w:line="360"/>
      </w:pPr>
      <w:r>
        <w:rPr>
          <w:rFonts w:ascii="Poppins" w:cs="Poppins" w:eastAsia="Poppins" w:hAnsi="Poppins"/>
          <w:color w:val="000000"/>
          <w:sz w:val="22"/>
          <w:szCs w:val="22"/>
        </w:rPr>
        <w:t xml:space="preserve">Chosen on 24 September from three drafts. It leans on occasion and hosting, which is the closest of the three to the idea underneath it and the easiest to build a campaign around. Every piece of collateral is written against it from here.</w:t>
      </w:r>
    </w:p>
    <w:p>
      <w:pPr>
        <w:spacing w:after="120" w:line="360"/>
      </w:pPr>
      <w:r>
        <w:rPr>
          <w:rFonts w:ascii="Poppins" w:cs="Poppins" w:eastAsia="Poppins" w:hAnsi="Poppins"/>
          <w:color w:val="000000"/>
          <w:sz w:val="22"/>
          <w:szCs w:val="22"/>
        </w:rPr>
        <w:t xml:space="preserve">Tap That is not in the beer business. It is in home entertainment, and in the business of bringing people together. The product does not just put beer in a glass at home. It turns an ordinary get-together into an occasion worth hosting, and it makes having people over something you look forward to rather than something you organise.</w:t>
      </w:r>
    </w:p>
    <w:p>
      <w:pPr>
        <w:spacing w:after="120" w:line="360"/>
      </w:pPr>
      <w:r>
        <w:rPr>
          <w:rFonts w:ascii="Poppins" w:cs="Poppins" w:eastAsia="Poppins" w:hAnsi="Poppins"/>
          <w:color w:val="000000"/>
          <w:sz w:val="22"/>
          <w:szCs w:val="22"/>
        </w:rPr>
        <w:t xml:space="preserve">Every household deserves beer on tap stays as the ambition. It is broad, and it describes what you want to be true rather than why anyone buys. The brand idea sits underneath it, and it is the one that sells.</w:t>
      </w:r>
    </w:p>
    <w:p>
      <w:pPr>
        <w:spacing w:after="120" w:line="360"/>
      </w:pPr>
      <w:r>
        <w:rPr>
          <w:rFonts w:ascii="Poppins" w:cs="Poppins" w:eastAsia="Poppins" w:hAnsi="Poppins"/>
          <w:b/>
          <w:bCs/>
          <w:color w:val="000000"/>
          <w:sz w:val="22"/>
          <w:szCs w:val="22"/>
        </w:rPr>
        <w:t xml:space="preserve">The comparison set changes with it. </w:t>
      </w:r>
      <w:r>
        <w:rPr>
          <w:rFonts w:ascii="Poppins" w:cs="Poppins" w:eastAsia="Poppins" w:hAnsi="Poppins"/>
          <w:color w:val="000000"/>
          <w:sz w:val="22"/>
          <w:szCs w:val="22"/>
        </w:rPr>
        <w:t xml:space="preserve">If the category is home entertainment, a keg system belongs beside the outdoor kitchen, the high-end barbecue and the coffee machine, rather than beside the bar fridge. That changes who will partner with you, what the hardware has to look like, and what people will pay for it.</w:t>
      </w:r>
    </w:p>
    <w:p>
      <w:pPr>
        <w:spacing w:after="120" w:line="360"/>
      </w:pPr>
      <w:r>
        <w:rPr>
          <w:rFonts w:ascii="Poppins" w:cs="Poppins" w:eastAsia="Poppins" w:hAnsi="Poppins"/>
          <w:b/>
          <w:bCs/>
          <w:color w:val="000000"/>
          <w:sz w:val="22"/>
          <w:szCs w:val="22"/>
        </w:rPr>
        <w:t xml:space="preserve">Which makes this a design brief as much as a marketing one. </w:t>
      </w:r>
      <w:r>
        <w:rPr>
          <w:rFonts w:ascii="Poppins" w:cs="Poppins" w:eastAsia="Poppins" w:hAnsi="Poppins"/>
          <w:color w:val="000000"/>
          <w:sz w:val="22"/>
          <w:szCs w:val="22"/>
        </w:rPr>
        <w:t xml:space="preserve">The keg systems on the market today read as appliances. Stand one next to a premium outdoor kitchen and it looks like equipment rather than something you chose. The comparison worth studying is the premium filtered-water tap: people pay for it because it looks right on the bench and they show it to visitors. A Tap That system should earn the same reaction.</w:t>
      </w:r>
    </w:p>
    <w:p>
      <w:pPr>
        <w:keepNext/>
        <w:spacing w:after="80" w:before="200" w:line="300"/>
      </w:pPr>
      <w:r>
        <w:rPr>
          <w:rFonts w:ascii="Poppins" w:cs="Poppins" w:eastAsia="Poppins" w:hAnsi="Poppins"/>
          <w:b/>
          <w:bCs/>
          <w:color w:val="000000"/>
          <w:sz w:val="22"/>
          <w:szCs w:val="22"/>
        </w:rPr>
        <w:t xml:space="preserve">What it was chosen against</w:t>
      </w:r>
    </w:p>
    <w:p>
      <w:pPr>
        <w:spacing w:after="120" w:line="360"/>
      </w:pPr>
      <w:r>
        <w:rPr>
          <w:rFonts w:ascii="Poppins" w:cs="Poppins" w:eastAsia="Poppins" w:hAnsi="Poppins"/>
          <w:color w:val="000000"/>
          <w:sz w:val="22"/>
          <w:szCs w:val="22"/>
        </w:rPr>
        <w:t xml:space="preserve">Three drafts went up. The other two are recorded here, because they name the two arguments the line has to keep carrying even though it does not lead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Your place. The one everyone wants to be at.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Social proof, and the be-the-envy-of-your-friends register. The chosen line has to keep that note in the work.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Pour like a pub. Host like a home.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Product and craft. The beer quality argument still has to reach the people who buy on taste.</w:t>
            </w:r>
          </w:p>
        </w:tc>
      </w:tr>
    </w:tbl>
    <w:p>
      <w:pPr>
        <w:spacing w:after="120" w:line="360"/>
      </w:pPr>
      <w:r>
        <w:rPr>
          <w:rFonts w:ascii="Poppins" w:cs="Poppins" w:eastAsia="Poppins" w:hAnsi="Poppins"/>
          <w:i/>
          <w:iCs/>
          <w:color w:val="000000"/>
          <w:sz w:val="22"/>
          <w:szCs w:val="22"/>
        </w:rPr>
        <w:t xml:space="preserve">– Christy works the line into key messaging for each target market inside 30 days.</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a paid coaching and implementation engagement. Jewell Projects becomes the delivery capacity around Harry for the next twelve months. We build, launch and run the activities below, to your plan and on your horizons. Christy coaches the direction in a short weekly check-in, we do the work between those check-ins, and every milestone on your ladder gets a written review and a stop-or-continue conversation. You keep every decision. One set of four numbers is reported monthly.</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The lead priority. These people have already bought the hardware and overcome every objection that goes with it.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National retail,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Harvey Norman, JB Hi-Fi and The Good Guys all sell the hardware. The opportunity is a gift-with-purchase or first-keg-free tied to a system sale at franchisee level, and access to the buyer database. The Bunnings-installer model: they sell the hardware, Tap That is the named first call for what goes in it. We hold the contacts to open these conversations.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lead priority. 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offer conditions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Written before the campaign runs, so the offer holds up. A hardware compatibility check before redemption; one offer per household or venue; proof of system ownership; wording that meets responsible service and liquor promotion rules; and Meta alcohol targeting set to 18 and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programme nobody can hold in their hand: 1,000 tap tokens, about $50 or half a keg, for a system or wholesale referral, and 500 for a refill customer. Tokens do not travel. A free keg does. We rebuild it around a reward worth passing on, a card with a QR code an owner can hand to a mate, and the CRM automation and creative behind both.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Internal referral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same mechanic pointed at keg system sales, for the team and for existing customers. Rewards in free beer or system credit, tracked so they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contacts already in hand: Mark’s two wedding venues,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Service networks,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Commercial service networks already running technician routes along the east coast, water cooler operators among them, put a trained person in front of thousands of businesses every month. The opportunity is a referral or introduction on a service visit. Worth a conversation before it is worth a plan.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QR or referral card the owners carry, earn free beer or a keg on every referral that converts, and the tracking sits in the CRM so it can be paid without argument.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Hosted tasting nights, to test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test, not a commitment. An owner hosts a tasting at home, we supply the kit, the invitation and the mechanics, and they earn a free keg or system credit on anything sold. Run a small number first and decide on the numbers, not the idea.</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programme below works under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Settled: the best night in, on tap. Christy works it into key messaging for each target market, and into the brief for anything that goes to market.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unit as an object worth owning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design direction for the hardware and how it is presented, so it earns a place on the bench or in the outdoor kitchen. A Zip HydroTap sells at around $10,000 largely on how it looks. Runs alongside designing for her, and it is what gets a keg system into the outdoor living aisle instead of the appliance aisle.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Beyond This Engagement</w:t>
      </w:r>
    </w:p>
    <w:p>
      <w:pPr>
        <w:spacing w:after="120" w:line="360"/>
      </w:pPr>
      <w:r>
        <w:rPr>
          <w:rFonts w:ascii="Poppins" w:cs="Poppins" w:eastAsia="Poppins" w:hAnsi="Poppins"/>
          <w:color w:val="000000"/>
          <w:sz w:val="22"/>
          <w:szCs w:val="22"/>
        </w:rPr>
        <w:t xml:space="preserve">Two items in workstream 6 are briefs rather than the work itself: designing for her, and the unit as an object worth owning. That is deliberate. Writing a brief is a month. Acting on one is product and industrial design, with different people in it and a different order of spend, and it deserves its own decision rather than being absorbed into a marketing retainer.</w:t>
      </w:r>
    </w:p>
    <w:p>
      <w:pPr>
        <w:spacing w:after="120" w:line="360"/>
      </w:pPr>
      <w:r>
        <w:rPr>
          <w:rFonts w:ascii="Poppins" w:cs="Poppins" w:eastAsia="Poppins" w:hAnsi="Poppins"/>
          <w:color w:val="000000"/>
          <w:sz w:val="22"/>
          <w:szCs w:val="22"/>
        </w:rPr>
        <w:t xml:space="preserve">Both are scoped as a separate project in the </w:t>
      </w:r>
      <w:r>
        <w:rPr>
          <w:rFonts w:ascii="Poppins" w:cs="Poppins" w:eastAsia="Poppins" w:hAnsi="Poppins"/>
          <w:b/>
          <w:bCs/>
          <w:color w:val="000000"/>
          <w:sz w:val="22"/>
          <w:szCs w:val="22"/>
        </w:rPr>
        <w:t xml:space="preserve">Product Design Brief</w:t>
      </w:r>
      <w:r>
        <w:rPr>
          <w:rFonts w:ascii="Poppins" w:cs="Poppins" w:eastAsia="Poppins" w:hAnsi="Poppins"/>
          <w:color w:val="000000"/>
          <w:sz w:val="22"/>
          <w:szCs w:val="22"/>
        </w:rPr>
        <w:t xml:space="preserve">, catalogue #78, on the delivery site at /product-design-brief. It covers the range designed for her and the hardware as something worth owning, in four stages with a stop-or-continue point at each, and nothing in it commits to manufacturing before demand has been tested.</w:t>
      </w:r>
    </w:p>
    <w:p>
      <w:pPr>
        <w:spacing w:after="120" w:line="360"/>
      </w:pPr>
      <w:r>
        <w:rPr>
          <w:rFonts w:ascii="Poppins" w:cs="Poppins" w:eastAsia="Poppins" w:hAnsi="Poppins"/>
          <w:b/>
          <w:bCs/>
          <w:color w:val="000000"/>
          <w:sz w:val="22"/>
          <w:szCs w:val="22"/>
        </w:rPr>
        <w:t xml:space="preserve">It runs alongside this engagement, not inside it. </w:t>
      </w:r>
      <w:r>
        <w:rPr>
          <w:rFonts w:ascii="Poppins" w:cs="Poppins" w:eastAsia="Poppins" w:hAnsi="Poppins"/>
          <w:color w:val="000000"/>
          <w:sz w:val="22"/>
          <w:szCs w:val="22"/>
        </w:rPr>
        <w:t xml:space="preserve">It is quoted separately, and nothing in it changes what is covered here or what it costs. This proposal still delivers both briefs at six months. The separate project is what they grow into if you want them to.</w:t>
      </w:r>
    </w:p>
    <w:p>
      <w:pPr>
        <w:spacing w:after="120" w:line="360"/>
      </w:pPr>
      <w:r>
        <w:rPr>
          <w:rFonts w:ascii="Poppins" w:cs="Poppins" w:eastAsia="Poppins" w:hAnsi="Poppins"/>
          <w:i/>
          <w:iCs/>
          <w:color w:val="000000"/>
          <w:sz w:val="22"/>
          <w:szCs w:val="22"/>
        </w:rPr>
        <w:t xml:space="preserve">– Read it when you are ready to decide on it, not before. The decision it needs first is whether Tap That makes hardware, specifies it with a manufacturer, or licences the design.</w:t>
      </w:r>
    </w:p>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Oktoberfest run. </w:t>
      </w:r>
      <w:r>
        <w:rPr>
          <w:rFonts w:ascii="Poppins" w:cs="Poppins" w:eastAsia="Poppins" w:hAnsi="Poppins"/>
          <w:color w:val="000000"/>
          <w:sz w:val="22"/>
          <w:szCs w:val="22"/>
        </w:rPr>
        <w:t xml:space="preserve">The giveaway mechanics feed the CRM from day one.</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Showroom or event space decided, and the Jewell split agreed. Messaging and journey signed, on the home entertainment position. KPIs, definitions and the weekly rhythm set. Oktoberfest run, giveaway entries in the CRM. $2.55 on the ad. The 250 date chosen.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250 active keg refillers, or December if you take the Christmas date. Wedding and functions programme selling. Membership redesigned. Designing-for-her and the hardware-as-object briefs in market.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Referrals, JVPs and online driving most system sales. Replicable events calendar running. Cashflow positive, Justin on a wage.</w:t>
            </w:r>
          </w:p>
        </w:tc>
      </w:tr>
    </w:tbl>
    <w:p>
      <w:pPr>
        <w:spacing w:after="120" w:line="360"/>
      </w:pPr>
      <w:r>
        <w:rPr>
          <w:rFonts w:ascii="Poppins" w:cs="Poppins" w:eastAsia="Poppins" w:hAnsi="Poppins"/>
          <w:i/>
          <w:iCs/>
          <w:color w:val="000000"/>
          <w:sz w:val="22"/>
          <w:szCs w:val="22"/>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Client Director $1,500 a day. Client Manager $1,250 a day.</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$12,500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50% on acceptance, 50% at the mid-December review. Stop or continue at that review. The line fees above are the standard rate and sum to $27,500; the discount is applied to the total.</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 a month + GST</w:t>
            </w:r>
            <w:r>
              <w:rPr>
                <w:rFonts w:ascii="Poppins" w:cs="Poppins" w:eastAsia="Poppins" w:hAnsi="Poppins"/>
                <w:color w:val="000000"/>
                <w:sz w:val="22"/>
                <w:szCs w:val="22"/>
              </w:rPr>
              <w:t xml:space="preserve">  ·  normally $5,500  ·  $30,000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$4,167 a month for three months with no commitment beyond it. Option B is $2,500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thirteen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28 September, which puts Oktoberfest on 1 October inside the first week and closes the 30-day sprint before the end of October.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v02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7f1d5963f8a24b20bb12810bd73692ff9e777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2026-09-24T07:10:48.149Z</dcterms:created>
  <dcterms:modified xsi:type="dcterms:W3CDTF">2026-09-24T07:10:48.169Z</dcterms:modified>
</cp:coreProperties>
</file>

<file path=docProps/custom.xml><?xml version="1.0" encoding="utf-8"?>
<Properties xmlns="http://schemas.openxmlformats.org/officeDocument/2006/custom-properties" xmlns:vt="http://schemas.openxmlformats.org/officeDocument/2006/docPropsVTypes"/>
</file>