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INFORME TÉCNICO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1 Antecedentes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2 Análisis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3 Conclusiones</w:t>
      </w:r>
    </w:p>
    <w:p>
      <w:pPr>
        <w:spacing w:after="180" w:line="360" w:lineRule="exact"/>
      </w:pPr>
      <w:r/>
    </w:p>
    <w:p>
      <w:pPr>
        <w:keepNext/>
        <w:spacing w:after="60" w:line="252" w:lineRule="auto"/>
      </w:pPr>
      <w:r>
        <w:rPr>
          <w:rFonts w:ascii="Arial" w:hAnsi="Arial"/>
          <w:b/>
          <w:sz w:val="22"/>
        </w:rPr>
        <w:t>4 Recomendaciones</w:t>
      </w:r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