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RESOLUCIÓN MINISTERIAL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