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instalación del SGD INIA con PostgreSQL</w:t>
      </w:r>
    </w:p>
    <w:p>
      <w:r>
        <w:t>Edición 10 de octubre de 2026. Servidores Windows x64 y Linux x64 con PostgreSQL nativo. Incluye preparación de los puestos Windows con Tramitedoc. Los destinos no necesitan Docker.</w:t>
      </w:r>
    </w:p>
    <w:p>
      <w:pPr>
        <w:pStyle w:val="Heading1"/>
      </w:pPr>
      <w:r>
        <w:t>1. Preparar la carpeta</w:t>
      </w:r>
    </w:p>
    <w:p>
      <w:r>
        <w:t>El portable es la carpeta completa SGD-INIA-INSTALL_PG. Para una instalación nueva disponer de fuentes, utilitarios, runtimes y dependencias en una ruta corta con permiso de escritura, por ejemplo C:\SGD\SGD-INIA-INSTALL_PG o /opt/sgd/SGD-INIA-INSTALL_PG. Git distribuye fuentes, motor Payara, configuración aprobada, cargas de usuarios, correcciones, utilitarios, manuales e instaladores de los clientes. Java, PostgreSQL, Python, Maven y dependencias offline también están en Git. Clonar y ejecutar Instalar-SGD; no se necesita copiar otro portable. No usar OneDrive, carpetas sincronizadas ni una unidad de red para la base activa. No copiar los datos ni las claves de esta PC para crear una instalación nueva.</w:t>
      </w:r>
    </w:p>
    <w:p>
      <w:r>
        <w:t>El paquete incluye PostgreSQL 17.11, Java Temurin 8u504, Payara 5.2022.5, Python, Maven 3.10.0, dependencias offline, fuentes, WAR y el instalador original Tramitedoc para los puestos Windows. Los runtimes del servidor se ejecutan desde la carpeta y la compilación inicial es offline. Tramitedoc se instala en Windows y registra su protocolo. Reservar 8 GB de RAM, preferiblemente 16 GB, y 15 GB de espacio inicial; documentos y respaldos necesitan espacio adicional.</w:t>
      </w:r>
    </w:p>
    <w:p>
      <w:r>
        <w:t>Alcance portable: Windows x64 y Linux x64 con glibc 2.31 o posterior. No incluye ejecutables ARM, macOS ni Alpine/musl. Linux necesita Bash, tar y las bibliotecas del sistema indicadas en la sección 3. En Windows se incluyen las DLL de ejecución C++ necesarias junto a PostgreSQL. La instalación no registra servicios del sistema: se inicia y detiene con los lanzadores de esta carpeta. Después de reiniciar el servidor, ejecutar Iniciar-SGD.</w:t>
      </w:r>
    </w:p>
    <w:p>
      <w:pPr>
        <w:pStyle w:val="Heading1"/>
        <w:pageBreakBefore/>
      </w:pPr>
      <w:r>
        <w:t>2. Windows y Windows Server</w:t>
      </w:r>
    </w:p>
    <w:p>
      <w:r>
        <w:t>Abrir la carpeta en Visual Studio Code. Revisar configuracion.json antes de instalar. Mantener modo completo para instalar PostgreSQL y Payara en el mismo servidor. Cambiar url_publica a la IP o dominio del servidor si accederán otros equipos. Puertos iniciales: PostgreSQL 55432, HTTP 8085, HTTPS 8185 y administración 4855. HTTPS institucional todavía requiere configurar certificado.</w:t>
      </w:r>
    </w:p>
    <w:p>
      <w:r>
        <w:t>Ejecutar desde PowerShell:</w:t>
      </w:r>
    </w:p>
    <w:p>
      <w:pPr>
        <w:keepLines/>
        <w:spacing w:line="240" w:lineRule="auto" w:before="80" w:after="180"/>
      </w:pPr>
      <w:r>
        <w:t>cd C:\SGD\SGD-INIA-INSTALL_PG</w:t>
        <w:br/>
        <w:t>.\Instalar-SGD.bat</w:t>
      </w:r>
    </w:p>
    <w:p>
      <w:r>
        <w:t>También se puede hacer doble clic en Instalar-SGD.bat. Elegir 1 para solo servidor, 2 para servidor y puesto en esta PC Windows, o 3 para solo puesto Windows. El lanzador conserva la ventana al terminar. Para instalar directamente el servidor, usar Instalar-SGD.bat servidor. Alternativa PowerShell:</w:t>
      </w:r>
    </w:p>
    <w:p>
      <w:pPr>
        <w:keepLines/>
        <w:spacing w:line="240" w:lineRule="auto" w:before="80" w:after="180"/>
      </w:pPr>
      <w:r>
        <w:rPr>
          <w:rFonts w:ascii="Consolas" w:hAnsi="Consolas"/>
          <w:sz w:val="18"/>
        </w:rPr>
        <w:t>powershell -NoProfile -ExecutionPolicy Bypass -File .\SGD.ps1 instalar -Equipo servidor</w:t>
      </w:r>
    </w:p>
    <w:p>
      <w:r>
        <w:t>Al elegir servidor, el instalador compila ocho aplicaciones, prepara PostgreSQL, carga una base nueva en una transacción, configura Payara/JDBC, despliega y verifica accesos. Al elegir servidor y puesto, primero instala o comprueba Tramitedoc y Word. Solo puesto no instala ni modifica servidor, BD ni usuarios. Un requisito ausente detiene el paso y muestra el error. Ver sección 14 para comprobar la conexión del cliente.</w:t>
      </w:r>
    </w:p>
    <w:p>
      <w:r>
        <w:t>Abrir http://127.0.0.1:8085/sisdoc/login.do, o la URL publicada configurada. Las contraseñas de prueba están en datos/ACCESOS-LABORATORIO.txt. Para los siguientes arranques utilizar Iniciar-SGD.bat; para apagar, Detener-SGD.bat. La parada conserva datos y documentos.</w:t>
      </w:r>
    </w:p>
    <w:p>
      <w:r>
        <w:t>La cuenta operadora necesita escritura en la carpeta. Para acceso remoto autorizar el puerto HTTP en el firewall del servidor; BD y administración escuchan localmente por defecto. Los puertos predeterminados no requieren administrador. El asistente MSI de Tramitedoc puede solicitar elevación de Windows al preparar un puesto.</w:t>
      </w:r>
    </w:p>
    <w:p>
      <w:pPr>
        <w:pStyle w:val="Heading1"/>
        <w:pageBreakBefore/>
      </w:pPr>
      <w:r>
        <w:t>3. Linux</w:t>
      </w:r>
    </w:p>
    <w:p>
      <w:r>
        <w:t>Usar una cuenta normal, con escritura en la carpeta. PostgreSQL no permite ejecutarse como root. Si /opt requiere permisos administrativos, crear la carpeta y asignarla previamente a la cuenta operadora; ejecutar los lanzadores con esa cuenta.</w:t>
      </w:r>
    </w:p>
    <w:p>
      <w:r>
        <w:t>En Debian/Ubuntu preparar bibliotecas del JDK y herramientas básicas:</w:t>
      </w:r>
    </w:p>
    <w:p>
      <w:pPr>
        <w:keepLines/>
        <w:spacing w:line="240" w:lineRule="auto" w:before="80" w:after="180"/>
      </w:pPr>
      <w:r>
        <w:rPr>
          <w:rFonts w:ascii="Consolas" w:hAnsi="Consolas"/>
          <w:sz w:val="18"/>
        </w:rPr>
        <w:t>sudo apt-get update</w:t>
        <w:br/>
        <w:t>sudo apt-get install -y ca-certificates fontconfig \</w:t>
        <w:br/>
        <w:t xml:space="preserve">  libfreetype6 libstdc++6 tar unzip</w:t>
      </w:r>
    </w:p>
    <w:p>
      <w:r>
        <w:t>En Rocky/RHEL usar fontconfig, freetype, libstdc++, ca-certificates, tar y unzip. La prueba Linux se realizó en Debian 12 x64. Los otros sistemas requieren ejecutar las verificaciones del instalador en el equipo destino.</w:t>
      </w:r>
    </w:p>
    <w:p>
      <w:r>
        <w:t>Con la carpeta portable completa, revisar configuracion.json y ejecutar lo siguiente. Sin argumentos se solicita elegir 1, solo servidor. También se admite bash Instalar-SGD.sh servidor. El cliente incluido es para los puestos Windows; no se ejecuta su MSI en Linux.</w:t>
      </w:r>
    </w:p>
    <w:p>
      <w:pPr>
        <w:keepLines/>
        <w:spacing w:line="240" w:lineRule="auto" w:before="80" w:after="180"/>
      </w:pPr>
      <w:r>
        <w:t>cd /opt/sgd/SGD-INIA-INSTALL_PG</w:t>
        <w:br/>
        <w:t>bash Instalar-SGD.sh</w:t>
      </w:r>
    </w:p>
    <w:p>
      <w:r>
        <w:t>Arrancar o detener posteriormente:</w:t>
      </w:r>
    </w:p>
    <w:p>
      <w:pPr>
        <w:keepLines/>
        <w:spacing w:line="240" w:lineRule="auto" w:before="80" w:after="180"/>
      </w:pPr>
      <w:r>
        <w:rPr>
          <w:rFonts w:ascii="Consolas" w:hAnsi="Consolas"/>
          <w:sz w:val="18"/>
        </w:rPr>
        <w:t>bash Iniciar-SGD.sh</w:t>
        <w:br/>
        <w:t>bash Detener-SGD.sh</w:t>
      </w:r>
    </w:p>
    <w:p>
      <w:r>
        <w:t>El primer uso extrae Python, Java y PostgreSQL Linux incluidos. PostgreSQL Linux se compiló desde el código oficial 17.11; incluye sus herramientas y contrib, y utiliza conexión TCP local. No se necesita gcc, pip, Maven global ni Docker. Este motor Linux no incluye TLS: la configuración predeterminada mantiene la base en loopback. Si se necesita una base remota, preparar transporte protegido y una distribución PostgreSQL con TLS antes de usar datos reales.</w:t>
      </w:r>
    </w:p>
    <w:p>
      <w:pPr>
        <w:pStyle w:val="Heading1"/>
        <w:pageBreakBefore/>
      </w:pPr>
      <w:r>
        <w:t>4. Organización y configuración</w:t>
      </w:r>
    </w:p>
    <w:p>
      <w:r>
        <w:t>Las carpetas principales son fuentes (código), java (JDK), payara (servidor y JDBC), herramientas (Python/Maven), bd (PostgreSQL y SQL), binarios (WAR), cliente-windows (MSI Tramitedoc y procedencia), datos (base, documentos y claves), logs (resultados) y manual (guías y evidencias).</w:t>
      </w:r>
    </w:p>
    <w:p>
      <w:r>
        <w:t>configuracion.json es el único archivo de configuración del instalador. base identifica la base nueva; host_bd es 127.0.0.1 en modo completo; entidad, ruc y anio personalizan la carga; url_publica determina enlaces; direccion_http controla escucha HTTP; activar_integraciones permanece false en el laboratorio. Mantener juntos binarios, fuentes, runtimes y dependencias al trasladar la carpeta.</w:t>
      </w:r>
    </w:p>
    <w:p>
      <w:r>
        <w:t>Para otra instancia en el mismo equipo elegir cuatro puertos diferentes. También se reservan cinco puertos auxiliares Payara: HTTP+1000 hasta HTTP+1004. Evitar que coincidan con otra instancia. Al cambiar configuración de una instalación existente, detener primero, ejecutar SGD configurar y luego SGD verificar; configurar no recarga la base.</w:t>
      </w:r>
    </w:p>
    <w:p>
      <w:r>
        <w:t>El dominio payara/payara5/glassfish/domains/sgd ya contiene la configuración JDBC. Los scripts adaptan rutas y puertos al destino y usan una variable de entorno para la clave JDBC. payara/payara-5.2022.5-backup.zip conserva el servidor original. Los scripts no cambian JAVA_HOME ni PATH globales.</w:t>
      </w:r>
    </w:p>
    <w:p>
      <w:pPr>
        <w:pStyle w:val="Heading1"/>
        <w:pageBreakBefore/>
      </w:pPr>
      <w:r>
        <w:t>5. Compilar y modificar desde Visual Studio Code</w:t>
      </w:r>
    </w:p>
    <w:p>
      <w:r>
        <w:t>Abrir la raíz de la carpeta portable. Incorporar las fuentes, los utilitarios y la documentación actualizados del repositorio; conservar la configuración privada, los datos y los runtimes de cada destino. Compilar genera los WAR en binarios; desplegar los pone en funcionamiento y verificar comprueba accesos. Usar Actualizar-SGD para aplicar el código nuevo sin repetir la instalación ni la carga de usuarios.</w:t>
      </w:r>
    </w:p>
    <w:p>
      <w:r>
        <w:t>Windows: ejecutar el siguiente comando o hacer doble clic en Actualizar-SGD.bat.</w:t>
      </w:r>
    </w:p>
    <w:p>
      <w:pPr>
        <w:keepLines/>
        <w:spacing w:line="240" w:lineRule="auto" w:before="80" w:after="180"/>
      </w:pPr>
      <w:r>
        <w:rPr>
          <w:rFonts w:ascii="Consolas" w:hAnsi="Consolas"/>
          <w:sz w:val="18"/>
        </w:rPr>
        <w:t>cd C:\SGD\SGD-INIA-INSTALL_PG</w:t>
        <w:br/>
        <w:t>.\Actualizar-SGD.bat</w:t>
      </w:r>
    </w:p>
    <w:p>
      <w:r>
        <w:t>Linux:</w:t>
      </w:r>
    </w:p>
    <w:p>
      <w:pPr>
        <w:keepLines/>
        <w:spacing w:line="240" w:lineRule="auto" w:before="80" w:after="180"/>
      </w:pPr>
      <w:r>
        <w:rPr>
          <w:rFonts w:ascii="Consolas" w:hAnsi="Consolas"/>
          <w:sz w:val="18"/>
        </w:rPr>
        <w:t>cd /opt/sgd/SGD-INIA-INSTALL_PG</w:t>
        <w:br/>
        <w:t>bash Actualizar-SGD.sh</w:t>
      </w:r>
    </w:p>
    <w:p>
      <w:r>
        <w:t>El lanzador compila, inicia PostgreSQL y Payara si corresponde, despliega y verifica, en ese orden. Se detiene si un paso falla; revisar el mensaje y logs/ULTIMO-ERROR.txt. En VS Code está disponible la tarea SGD: actualizar y verificar cambios.</w:t>
      </w:r>
    </w:p>
    <w:p>
      <w:r>
        <w:t>Alternativa manual: esperar a que cada comando termine correctamente antes de ejecutar el siguiente.</w:t>
      </w:r>
    </w:p>
    <w:p>
      <w:pPr>
        <w:keepLines/>
        <w:spacing w:line="240" w:lineRule="auto" w:before="80" w:after="180"/>
      </w:pPr>
      <w:r>
        <w:rPr>
          <w:rFonts w:ascii="Consolas" w:hAnsi="Consolas"/>
          <w:sz w:val="18"/>
        </w:rPr>
        <w:t>.\SGD.bat compilar</w:t>
        <w:br/>
        <w:t>.\SGD.bat iniciar</w:t>
        <w:br/>
        <w:t>.\SGD.bat desplegar</w:t>
        <w:br/>
        <w:t>.\SGD.bat verificar</w:t>
      </w:r>
    </w:p>
    <w:p>
      <w:pPr>
        <w:keepLines/>
        <w:spacing w:line="240" w:lineRule="auto" w:before="80" w:after="180"/>
      </w:pPr>
      <w:r>
        <w:rPr>
          <w:rFonts w:ascii="Consolas" w:hAnsi="Consolas"/>
          <w:sz w:val="18"/>
        </w:rPr>
        <w:t>bash SGD.sh compilar</w:t>
        <w:br/>
        <w:t>bash SGD.sh iniciar</w:t>
        <w:br/>
        <w:t>bash SGD.sh desplegar</w:t>
        <w:br/>
        <w:t>bash SGD.sh verificar</w:t>
      </w:r>
    </w:p>
    <w:p>
      <w:r>
        <w:t>Si ya se compiló correctamente y la pantalla sigue igual, no es necesario recompilar: ejecutar iniciar, desplegar y verificar. Después abrir http://127.0.0.1:8085/sisdoc/login.do y recargar con Ctrl+F5. Si persiste, revisar los logs de despliegue y confirmar la URL y el puerto de esta instalación.</w:t>
      </w:r>
    </w:p>
    <w:p>
      <w:r>
        <w:t>Se ejecuta clean install -DskipTests en modo offline con el JDK y Maven incluidos. Se generan ocho WAR: SGD, consulta, verificador, MPD, notificador, dos integraciones y recursos. El principal incluye autentica y libreria. logs/compilacion.json registra hashes de fuentes y WAR; el despliegue rechaza un WAR alterado. Las pruebas unitarias heredadas se omiten; las pruebas descritas aquí verifican instalación y acceso.</w:t>
      </w:r>
    </w:p>
    <w:p>
      <w:r>
        <w:t>Solo wstradoc carece de fuentes y utiliza el WAR suministrado. srvccuo, srvciopidetramite, srvcsunat y wsoapIopCliente son dependencias JAR suministradas sin fuentes. No se utiliza un WAR antiguo para ocultar un error de compilación de las aplicaciones disponibles. Notificador e integraciones se compilan, pero no se activan hasta configurar los servicios institucionales.</w:t>
      </w:r>
    </w:p>
    <w:p>
      <w:r>
        <w:t>Se corrigieron perfiles PostgreSQL, conexión por JNDI, propiedades MPV, rutas y dependencia del notificador. La fuente consulta del ZIP PostgreSQL no correspondía a sus vistas: se recuperó la fuente correcta del proyecto existente y se ajustaron las llamadas a funciones TABLE PostgreSQL. Los originales se conservan como respaldo.</w:t>
      </w:r>
    </w:p>
    <w:p>
      <w:pPr>
        <w:pStyle w:val="Heading1"/>
        <w:pageBreakBefore/>
      </w:pPr>
      <w:r>
        <w:t>6. Base, SQL y usuarios ficticios</w:t>
      </w:r>
    </w:p>
    <w:p>
      <w:r>
        <w:t>No ejecutar los scripts históricos SQL Server. Los tres SQL vigentes son bd/01-estructura-catalogos.sql, bd/02-inia-usuarios-ficticios.sql y bd/03-validar.sql. El primero contiene esquema y catálogos; el segundo crea la organización ficticia; el tercero valida estructura y permisos. El DDL MPV adicional del proveedor ya está incluido y no se repite.</w:t>
      </w:r>
    </w:p>
    <w:p>
      <w:r>
        <w:t>El instalador une estructura, catálogos, ficticios, contraseñas cifradas y permisos; ejecuta una única transacción con psql --single-transaction -v ON_ERROR_STOP=1. Un error revierte la carga completa. Una carga terminada no se repite. Un esquema existente sin marca de instalación se rechaza para evitar mezclar información.</w:t>
      </w:r>
    </w:p>
    <w:p>
      <w:r>
        <w:t>Usuarios: admin, mesa_demo, area_demo y jefe_demo. Se crean tres áreas de prueba y una cuenta administrativa temporal. DNI y nombres son ficticios. Las claves aleatorias se generan automáticamente por instalación y se cifran mediante la librería Java del SGD. Se guardan en datos/ACCESOS-LABORATORIO.txt. La conexión JDBC usa sgd_app sin privilegios de superusuario. datos contiene archivos privados; restringir su acceso a la cuenta operadora y no publicarlos.</w:t>
      </w:r>
    </w:p>
    <w:p>
      <w:r>
        <w:t>Si fuera indispensable cargar manualmente, ejecutar primero compilar y generar_sql con SGD.bat o SGD.sh. Se crea datos/INSTALACION-MANUAL-PRIVADA.sql con todas las instrucciones y claves. Ejecutar únicamente en una base nueva; el flujo automático SGD base seguido de SGD datos realiza esa misma carga. Para psql manual usar el ejecutable incluido y el puerto configurado:</w:t>
      </w:r>
    </w:p>
    <w:p>
      <w:pPr>
        <w:keepLines/>
        <w:spacing w:line="240" w:lineRule="auto" w:before="80" w:after="180"/>
      </w:pPr>
      <w:r>
        <w:rPr>
          <w:rFonts w:ascii="Consolas" w:hAnsi="Consolas"/>
          <w:sz w:val="18"/>
        </w:rPr>
        <w:t>$env:PGPASSWORD = (Get-Content datos/credenciales.json -Raw |</w:t>
        <w:br/>
        <w:t xml:space="preserve">  ConvertFrom-Json).postgres</w:t>
        <w:br/>
        <w:t>&amp; .\bd\postgresql\windows\bin\psql.exe -h 127.0.0.1 `</w:t>
        <w:br/>
        <w:t xml:space="preserve">  -p 55432 -U postgres -d idosgd_inia -X `</w:t>
        <w:br/>
        <w:t xml:space="preserve">  --single-transaction -v ON_ERROR_STOP=1 `</w:t>
        <w:br/>
        <w:t xml:space="preserve">  -f datos/INSTALACION-MANUAL-PRIVADA.sql</w:t>
        <w:br/>
        <w:t>Remove-Item Env:PGPASSWORD</w:t>
      </w:r>
    </w:p>
    <w:p>
      <w:r>
        <w:t>En Linux usar bd/postgresql/linux/bin/psql, con LD_LIBRARY_PATH apuntando a bd/postgresql/linux/lib. PGPASSWORD puede leerse de datos/postgres-password.txt; retirar la variable al terminar. El flujo ordinario no exige introducir estas claves manualmente.</w:t>
      </w:r>
    </w:p>
    <w:p>
      <w:pPr>
        <w:pStyle w:val="Heading1"/>
        <w:pageBreakBefore/>
      </w:pPr>
      <w:r>
        <w:t>7. Diagnóstico y recuperación</w:t>
      </w:r>
    </w:p>
    <w:p>
      <w:r>
        <w:t>Ante un error revisar logs/ULTIMO-ERROR.txt y el log del paso indicado. Los errores SQL están en logs/bd-instalacion.log; PostgreSQL en logs/postgresql-servidor.log; Payara en payara/payara5/glassfish/domains/sgd/logs/server.log. Corregir la causa y volver a ejecutar el instalador. No borrar la base para resolver un error.</w:t>
      </w:r>
    </w:p>
    <w:p>
      <w:r>
        <w:t>Puerto ocupado: detener esta instancia con su lanzador o elegir otros puertos; los scripts no detienen motores ajenos. Dependencia o ejecutable ausente: copiar nuevamente el paquete completo y comprobar SHA256. PostgreSQL no inicia: revisar permisos, cuenta no root en Linux y versión de datos 17. Login fallido: utilizar las claves de esa misma instalación y revisar logs/login-fallido.html. El cifrado no se sustituye por una contraseña escrita en SQL.</w:t>
      </w:r>
    </w:p>
    <w:p>
      <w:pPr>
        <w:pStyle w:val="Heading1"/>
        <w:pageBreakBefore/>
      </w:pPr>
      <w:r>
        <w:t>8. Copiar a otro equipo y respaldar</w:t>
      </w:r>
    </w:p>
    <w:p>
      <w:r>
        <w:t>Para instalar o mantener otro equipo, utilizar la carpeta portable completa. Las fuentes, los utilitarios y la documentación se distribuyen mediante Git; después de incorporarlos en una instalación existente, ejecutar Actualizar-SGD. Conservar sus datos, configuración privada, claves y runtimes. SGD empaquetar genera un ZIP opcional; no es un requisito de actualización. Payara y los instaladores de clientes se conservan en Git. Java, PostgreSQL, Python, Maven y el repositorio offline también se conservan en Git. En un equipo nuevo clonar y ejecutar Instalar-SGD.</w:t>
      </w:r>
    </w:p>
    <w:p>
      <w:r>
        <w:t>Para trasladar información existente, detener aplicaciones y arrancar solamente la base para sacar un respaldo consistente:</w:t>
      </w:r>
    </w:p>
    <w:p>
      <w:pPr>
        <w:keepLines/>
        <w:spacing w:line="240" w:lineRule="auto" w:before="80" w:after="180"/>
      </w:pPr>
      <w:r>
        <w:rPr>
          <w:rFonts w:ascii="Consolas" w:hAnsi="Consolas"/>
          <w:sz w:val="18"/>
        </w:rPr>
        <w:t>.\SGD.bat detener</w:t>
        <w:br/>
        <w:t>.\SGD.bat base</w:t>
        <w:br/>
        <w:t>.\SGD.bat respaldar</w:t>
        <w:br/>
        <w:t>.\SGD.bat detener</w:t>
      </w:r>
    </w:p>
    <w:p>
      <w:r>
        <w:t>En Linux utilizar bash SGD.sh con las mismas acciones. Para una restauración en un destino nuevo, preparar la carpeta portable completa y conservar datos/credenciales.json, datos/respaldo-portable.dump y datos/documentos del origen. Copiar esos recursos al destino, ajustar URL y puertos y ejecutar el instalador. Si la base está vacía y existe el dump, se restaura y conserva usuarios y claves. Actualizar código en una instalación existente no requiere restaurar ni reinstalar.</w:t>
      </w:r>
    </w:p>
    <w:p>
      <w:r>
        <w:t>No copiar datos/postgresql entre Windows y Linux: utilizar pg_dump y pg_restore mediante los comandos del instalador. La restauración se rechaza si ya existe esquema SGD. Guardar una copia externa del dump, credenciales y documentos. Para clonar el laboratorio como instalación nueva no copiar sus credenciales ni datos.</w:t>
      </w:r>
    </w:p>
    <w:p>
      <w:pPr>
        <w:pStyle w:val="Heading1"/>
        <w:pageBreakBefore/>
      </w:pPr>
      <w:r>
        <w:t>9. Pruebas y aceptación</w:t>
      </w:r>
    </w:p>
    <w:p>
      <w:r>
        <w:t>Se validó una carga nativa desde cero en Windows x64 y Debian 12 x64: ocho compilaciones offline, esquema/catálogos y cuatro ficticios, 103 tablas incluida la marca, 102 funciones, restricciones, privilegios, JDBC, cuatro páginas HTTP 200, 69 recursos estáticos, cuatro logins y WebSocket 101. Evidencias en manual/RESULTADO-PRUEBAS.json. Docker se utilizó exclusivamente en esta PC para aislar las pruebas Linux y compilar su motor; el instalador del paquete utiliza procesos nativos y no llama a Docker.</w:t>
      </w:r>
    </w:p>
    <w:p>
      <w:r>
        <w:t>También se comprobó en ambos motores nativos la parada y el reinicio, una segunda inicialización sin duplicados, la reversión total de una transacción con error provocado y la restauración de un dump en una base vacía.</w:t>
      </w:r>
    </w:p>
    <w:p>
      <w:r>
        <w:t>El ZIP limpio se extrajo en otra ruta Windows con espacios, se recompilaron ocho WAR offline, se crearon una base y claves nuevas y se repitieron satisfactoriamente las pruebas de acceso. También se restauró y validó un dump generado en Windows en el motor nativo Linux.</w:t>
      </w:r>
    </w:p>
    <w:p>
      <w:r>
        <w:t>La verificación automática cubre instalación y acceso inicial. Antes de cargar información real completar la aceptación documental: registrar un PDF desde mesa_demo, buscarlo, derivarlo al área técnica, recibirlo con area_demo y comprobar seguimiento y archivos en datos/documentos. Estos pasos del ciclo completo no están declarados como aprobados por las pruebas de acceso.</w:t>
      </w:r>
    </w:p>
    <w:p>
      <w:r>
        <w:t>La instalación en un Windows Server físico diferente todavía requiere ejecutar este procedimiento y verificar sus resultados allí. Java 8 y Payara 5 conservan la compatibilidad Java EE de SGD 4.7; no representan una migración Jakarta. Firma digital, PIDE, correo y HTTPS institucional requieren configuración y aceptación propias. Después del laboratorio sustituir ficticios por información institucional mediante una carga controlada.</w:t>
      </w:r>
    </w:p>
    <w:p>
      <w:r>
        <w:br w:type="page"/>
      </w:r>
    </w:p>
    <w:p>
      <w:pPr>
        <w:pStyle w:val="Heading1"/>
        <w:keepNext/>
        <w:spacing w:after="140"/>
      </w:pPr>
      <w:r>
        <w:rPr>
          <w:rFonts w:ascii="Calibri" w:hAnsi="Calibri"/>
          <w:sz w:val="30"/>
        </w:rPr>
        <w:t>10 Seleccionar personas y guardar los CSV</w:t>
      </w:r>
    </w:p>
    <w:p>
      <w:pPr>
        <w:spacing w:after="140"/>
      </w:pPr>
      <w:r>
        <w:rPr>
          <w:rFonts w:ascii="Calibri" w:hAnsi="Calibri"/>
          <w:sz w:val="21"/>
        </w:rPr>
        <w:t>Para el piloto comenzar con UTI, Mesa de Partes y una unidad usuaria pequeña. Seleccionar personas vigentes y autorizadas; una cuenta marcada con estado 1 puede corresponder a alguien que ya no labora.</w:t>
      </w:r>
    </w:p>
    <w:p>
      <w:pPr>
        <w:spacing w:after="140"/>
      </w:pPr>
      <w:r>
        <w:rPr>
          <w:rFonts w:ascii="Calibri" w:hAnsi="Calibri"/>
          <w:sz w:val="21"/>
        </w:rPr>
        <w:t>1. Tú ejecutas bd/Consultar-Estructura-SQLServer.sql y bd/Revisar-Area-SQLServer.sql. En el segundo elegir @Oficina y ejecutar el archivo completo. Revisar el resultado Personal candidato: iCodTrabajador, nombres, documento y cUsuario. La consulta de Tra_M_Perfil devuelve perfiles, no personas.</w:t>
      </w:r>
    </w:p>
    <w:p>
      <w:pPr>
        <w:spacing w:after="140"/>
      </w:pPr>
      <w:r>
        <w:rPr>
          <w:rFonts w:ascii="Calibri" w:hAnsi="Calibri"/>
          <w:sz w:val="21"/>
        </w:rPr>
        <w:t>2. Confirmar con el responsable del área quién participa. La selección se marca después en usuarios-verificados.csv: incluir_sgd=1 para incluir e incluir_sgd=0 para excluir cesados, cuentas genéricas o personas sin autorización. Conservar los registros del sistema anterior.</w:t>
      </w:r>
    </w:p>
    <w:p>
      <w:pPr>
        <w:spacing w:after="140"/>
      </w:pPr>
      <w:r>
        <w:rPr>
          <w:rFonts w:ascii="Calibri" w:hAnsi="Calibri"/>
          <w:sz w:val="21"/>
        </w:rPr>
        <w:t>3. Abrir bd/Exportar-Area-SQLServer.sql e indicar únicamente @Oficina con el código del área. Ejecutar el archivo completo y guardar sus cinco resultados. No hay una lista adicional de IDs que completar. La revisión y selección se realizan en el CSV preparado.</w:t>
      </w:r>
    </w:p>
    <w:p>
      <w:pPr>
        <w:spacing w:after="140"/>
      </w:pPr>
      <w:r>
        <w:rPr>
          <w:rFonts w:ascii="Calibri" w:hAnsi="Calibri"/>
          <w:sz w:val="21"/>
        </w:rPr>
        <w:t>4. Crear datos/exportacion-uti. Ejecutar SQL sólo muestra cuadrículas; todavía no crea archivos. En cada resultado usar clic derecho, Guardar resultados como, tipo CSV. Se admite sin encabezados: no hace falta copiar y pegar ni cambiar opciones de SSMS. Mantener el orden de columnas del tercer SQL y guardar cada resultado con su nombre correspondiente.</w:t>
      </w:r>
    </w:p>
    <w:p>
      <w:pPr>
        <w:spacing w:after="140"/>
      </w:pPr>
      <w:r>
        <w:rPr>
          <w:rFonts w:ascii="Calibri" w:hAnsi="Calibri"/>
          <w:sz w:val="21"/>
        </w:rPr>
        <w:t>Guardar los cinco resultados por separado, en este orden:</w:t>
      </w:r>
    </w:p>
    <w:p>
      <w:pPr>
        <w:spacing w:after="140"/>
      </w:pPr>
      <w:r>
        <w:rPr>
          <w:rFonts w:ascii="Consolas" w:hAnsi="Consolas"/>
          <w:sz w:val="18"/>
        </w:rPr>
        <w:t>1 ubicaciones.csv</w:t>
      </w:r>
    </w:p>
    <w:p>
      <w:pPr>
        <w:spacing w:after="140"/>
      </w:pPr>
      <w:r>
        <w:rPr>
          <w:rFonts w:ascii="Consolas" w:hAnsi="Consolas"/>
          <w:sz w:val="18"/>
        </w:rPr>
        <w:t>2 oficinas.csv</w:t>
      </w:r>
    </w:p>
    <w:p>
      <w:pPr>
        <w:spacing w:after="140"/>
      </w:pPr>
      <w:r>
        <w:rPr>
          <w:rFonts w:ascii="Consolas" w:hAnsi="Consolas"/>
          <w:sz w:val="18"/>
        </w:rPr>
        <w:t>3 trabajadores.csv</w:t>
      </w:r>
    </w:p>
    <w:p>
      <w:pPr>
        <w:spacing w:after="140"/>
      </w:pPr>
      <w:r>
        <w:rPr>
          <w:rFonts w:ascii="Consolas" w:hAnsi="Consolas"/>
          <w:sz w:val="18"/>
        </w:rPr>
        <w:t>4 perfiles.csv</w:t>
      </w:r>
    </w:p>
    <w:p>
      <w:pPr>
        <w:spacing w:after="140"/>
      </w:pPr>
      <w:r>
        <w:rPr>
          <w:rFonts w:ascii="Consolas" w:hAnsi="Consolas"/>
          <w:sz w:val="18"/>
        </w:rPr>
        <w:t>5 asignaciones.csv</w:t>
      </w:r>
    </w:p>
    <w:p>
      <w:pPr>
        <w:spacing w:after="140"/>
      </w:pPr>
      <w:r>
        <w:t>Conservar los cinco originales, con o sin encabezados, sin claves ni hashes. Las carpetas datos/exportacion-* y datos/carga-* se conservan en el repositorio privado; la base, los documentos, claves y respaldos permanecen locales. El preparador no modifica los originales y crea el CSV preparado con encabezados e incluir_sgd. No ejecutar nuevamente los SQL de instalación inicial.</w:t>
      </w:r>
    </w:p>
    <w:p>
      <w:pPr>
        <w:spacing w:after="140"/>
      </w:pPr>
      <w:r>
        <w:rPr>
          <w:rFonts w:ascii="Consolas" w:hAnsi="Consolas"/>
          <w:sz w:val="18"/>
        </w:rPr>
        <w:t>Referencia: learn.microsoft.com/en-us/ssms/quickstarts/work-with-query-results</w:t>
      </w:r>
    </w:p>
    <w:p>
      <w:pPr>
        <w:pStyle w:val="Heading1"/>
        <w:keepNext/>
        <w:pageBreakBefore/>
        <w:spacing w:after="140"/>
      </w:pPr>
      <w:r>
        <w:rPr>
          <w:rFonts w:ascii="Calibri" w:hAnsi="Calibri"/>
          <w:sz w:val="30"/>
        </w:rPr>
        <w:t>11 Preparar el CSV y seleccionar personas</w:t>
      </w:r>
    </w:p>
    <w:p>
      <w:pPr>
        <w:spacing w:after="140"/>
      </w:pPr>
      <w:r>
        <w:rPr>
          <w:rFonts w:ascii="Calibri" w:hAnsi="Calibri"/>
          <w:sz w:val="21"/>
        </w:rPr>
        <w:t>Guardar los cinco CSV en datos/exportacion-uti. Se admiten con o sin encabezados. Mantener el orden del tercer SQL: ubicaciones 4 columnas, oficinas 11, trabajadores 16, perfiles 3 y asignaciones 4. El preparador no modifica los originales ni conecta a bases.</w:t>
      </w:r>
    </w:p>
    <w:p>
      <w:pPr>
        <w:spacing w:after="140"/>
      </w:pPr>
      <w:r>
        <w:rPr>
          <w:rFonts w:ascii="Calibri" w:hAnsi="Calibri"/>
          <w:sz w:val="21"/>
        </w:rPr>
        <w:t>Windows PowerShell, desde C:\SGD\SGD-INIA-INSTALL_PG:</w:t>
      </w:r>
    </w:p>
    <w:p>
      <w:pPr>
        <w:spacing w:after="140"/>
      </w:pPr>
      <w:r>
        <w:rPr>
          <w:rFonts w:ascii="Consolas" w:hAnsi="Consolas"/>
          <w:sz w:val="18"/>
        </w:rPr>
        <w:t>.\Preparar-Carga.bat</w:t>
      </w:r>
    </w:p>
    <w:p>
      <w:pPr>
        <w:spacing w:after="140"/>
      </w:pPr>
      <w:r>
        <w:rPr>
          <w:rFonts w:ascii="Calibri" w:hAnsi="Calibri"/>
          <w:sz w:val="21"/>
        </w:rPr>
        <w:t>Linux, desde la raíz del paquete:</w:t>
      </w:r>
    </w:p>
    <w:p>
      <w:pPr>
        <w:spacing w:after="140"/>
      </w:pPr>
      <w:r>
        <w:rPr>
          <w:rFonts w:ascii="Consolas" w:hAnsi="Consolas"/>
          <w:sz w:val="18"/>
        </w:rPr>
        <w:t>bash Preparar-Carga.sh</w:t>
      </w:r>
    </w:p>
    <w:p>
      <w:pPr>
        <w:spacing w:after="140"/>
      </w:pPr>
      <w:r>
        <w:rPr>
          <w:rFonts w:ascii="Calibri" w:hAnsi="Calibri"/>
          <w:sz w:val="21"/>
        </w:rPr>
        <w:t>El comando crea datos/carga-uti-preparada con cuatro archivos. Abrir usuarios-verificados.csv para revisar personas y area.json para completar el área. pendientes.csv y LEEME.txt son ayudas de revisión. No volver a ejecutar la preparación sobre una carpeta ya revisada; el utilitario impide sobrescribirla.</w:t>
      </w:r>
    </w:p>
    <w:p>
      <w:pPr/>
      <w:r>
        <w:t>Para cargar UTI en otra instalación, enviar únicamente area.json y usuarios-verificados.csv ya revisados. Colocarlos juntos en datos/carga-uti-preparada dentro de la carpeta del SGD de destino. area.json define el área, la sede, el responsable y los perfiles; el CSV define las personas incluidas y verificadas.</w:t>
      </w:r>
    </w:p>
    <w:p>
      <w:pPr/>
      <w:r>
        <w:t>LEEME.txt y pendientes.csv son ayudas de revisión. cargos-piloto.csv, si se conserva, también es auxiliar: el cargador no lo lee. Los cinco CSV originales sólo se necesitan para preparar otra vez la carga. Conservar estos archivos de trabajo en el repositorio privado para repetir la carga en otros ambientes. No copiar las credenciales ni claves generadas de otra instalación.</w:t>
      </w:r>
    </w:p>
    <w:p>
      <w:pPr>
        <w:spacing w:after="140"/>
      </w:pPr>
      <w:r>
        <w:rPr>
          <w:rFonts w:ascii="Calibri" w:hAnsi="Calibri"/>
          <w:sz w:val="21"/>
        </w:rPr>
        <w:t>En usuarios-verificados.csv, incluir_sgd=0 excluye a la persona aunque conserve verificado=NO. incluir_sgd=1 la selecciona; sólo marcar verificado=SI después de revisar identidad, cargo y permisos. Excluir cesados, cuentas genéricas y personas no autorizadas. No elimina sus registros del origen.</w:t>
      </w:r>
    </w:p>
    <w:p>
      <w:pPr>
        <w:spacing w:after="140"/>
      </w:pPr>
      <w:r>
        <w:rPr>
          <w:rFonts w:ascii="Calibri" w:hAnsi="Calibri"/>
          <w:sz w:val="21"/>
        </w:rPr>
        <w:t>Seleccionar personas es sólo el primer paso. Antes de cargar, completar los campos indicados en la página siguiente. Una fila con 1 necesita todos sus datos obligatorios; una fila con 0 se omite. El CSV preparado se guarda en UTF-8 separado por coma y conserva los encabezados.</w:t>
      </w:r>
    </w:p>
    <w:p>
      <w:pPr>
        <w:spacing w:after="140"/>
      </w:pPr>
      <w:r>
        <w:rPr>
          <w:rFonts w:ascii="Calibri" w:hAnsi="Calibri"/>
          <w:sz w:val="21"/>
        </w:rPr>
        <w:t>Para otra área o una nueva exportación, elegir carpetas diferentes:</w:t>
      </w:r>
    </w:p>
    <w:p>
      <w:pPr>
        <w:spacing w:after="140"/>
      </w:pPr>
      <w:r>
        <w:rPr>
          <w:rFonts w:ascii="Consolas" w:hAnsi="Consolas"/>
          <w:sz w:val="18"/>
        </w:rPr>
        <w:t>.\Preparar-Carga.bat --origen datos\exportacion-otra --carpeta datos\carga-otra-preparada</w:t>
        <w:br/>
        <w:t>bash Preparar-Carga.sh --origen datos/exportacion-otra --carpeta datos/carga-otra-preparada</w:t>
      </w:r>
    </w:p>
    <w:p>
      <w:pPr>
        <w:spacing w:after="140"/>
      </w:pPr>
      <w:r>
        <w:rPr>
          <w:rFonts w:ascii="Calibri" w:hAnsi="Calibri"/>
          <w:sz w:val="21"/>
        </w:rPr>
        <w:t>Los CSV anteriores sin incluir_sgd siguen siendo compatibles: sus filas se consideran incluidas. Para usar el selector añadir incluir_sgd al final del encabezado y 1 o 0 al final de cada fila. Las nuevas plantillas ya lo generan.</w:t>
      </w:r>
    </w:p>
    <w:p>
      <w:pPr>
        <w:spacing w:after="140"/>
      </w:pPr>
      <w:r>
        <w:t>Versionar las cargas y exportaciones revisadas; conservar credenciales, documentos emitidos, SQL privado y dumps fuera de Git. La preparación y las 25 pruebas offline no equivalen a una carga real ni a la aceptación del ciclo documental. Validación previa de los utilitarios: 33 pruebas offline; las 7 pruebas de PostgreSQL aislado corresponden a una ejecución anterior.</w:t>
      </w:r>
    </w:p>
    <w:p>
      <w:pPr>
        <w:pStyle w:val="Heading1"/>
        <w:keepNext/>
        <w:pageBreakBefore/>
        <w:spacing w:after="140"/>
      </w:pPr>
      <w:r>
        <w:rPr>
          <w:rFonts w:ascii="Calibri" w:hAnsi="Calibri"/>
          <w:sz w:val="30"/>
        </w:rPr>
        <w:t>12 Completar datos y validar antes de cargar</w:t>
      </w:r>
    </w:p>
    <w:p>
      <w:pPr>
        <w:spacing w:after="140"/>
      </w:pPr>
      <w:r>
        <w:rPr>
          <w:rFonts w:ascii="Calibri" w:hAnsi="Calibri"/>
          <w:sz w:val="21"/>
        </w:rPr>
        <w:t>Completar estos campos en datos/carga-uti-preparada. La herramienta no puede inventar DNI, cargos ni responsables. No es necesario volver a exportar ni cambiar los SQL para completar esta revisión.</w:t>
      </w:r>
    </w:p>
    <w:p>
      <w:pPr>
        <w:spacing w:after="140"/>
      </w:pPr>
      <w:r>
        <w:rPr>
          <w:rFonts w:ascii="Calibri" w:hAnsi="Calibri"/>
          <w:sz w:val="21"/>
        </w:rPr>
        <w:t>Archivo area.json</w:t>
      </w:r>
    </w:p>
    <w:tbl>
      <w:tblPr>
        <w:tblStyle w:val="TableGrid"/>
        <w:tblW w:type="auto" w:w="0"/>
        <w:tblLook w:firstColumn="1" w:firstRow="1" w:lastColumn="0" w:lastRow="0" w:noHBand="0" w:noVBand="1" w:val="04A0"/>
      </w:tblPr>
      <w:tblGrid>
        <w:gridCol w:w="4968"/>
        <w:gridCol w:w="4968"/>
      </w:tblGrid>
      <w:tr>
        <w:tc>
          <w:tcPr>
            <w:tcW w:type="dxa" w:w="4968"/>
          </w:tcPr>
          <w:p>
            <w:pPr>
              <w:spacing w:after="80"/>
            </w:pPr>
            <w:r>
              <w:rPr>
                <w:rFonts w:ascii="Calibri" w:hAnsi="Calibri"/>
                <w:sz w:val="20"/>
              </w:rPr>
              <w:t>Campo</w:t>
            </w:r>
          </w:p>
        </w:tc>
        <w:tc>
          <w:tcPr>
            <w:tcW w:type="dxa" w:w="4968"/>
          </w:tcPr>
          <w:p>
            <w:pPr>
              <w:spacing w:after="80"/>
            </w:pPr>
            <w:r>
              <w:rPr>
                <w:rFonts w:ascii="Calibri" w:hAnsi="Calibri"/>
                <w:sz w:val="20"/>
              </w:rPr>
              <w:t>Qué indicar</w:t>
            </w:r>
          </w:p>
        </w:tc>
      </w:tr>
      <w:tr>
        <w:tc>
          <w:tcPr>
            <w:tcW w:type="dxa" w:w="4968"/>
          </w:tcPr>
          <w:p>
            <w:pPr>
              <w:spacing w:after="80"/>
            </w:pPr>
            <w:r>
              <w:rPr>
                <w:rFonts w:ascii="Calibri" w:hAnsi="Calibri"/>
                <w:sz w:val="20"/>
              </w:rPr>
              <w:t>nombre_corto</w:t>
            </w:r>
          </w:p>
        </w:tc>
        <w:tc>
          <w:tcPr>
            <w:tcW w:type="dxa" w:w="4968"/>
          </w:tcPr>
          <w:p>
            <w:pPr>
              <w:spacing w:after="80"/>
            </w:pPr>
            <w:r>
              <w:rPr>
                <w:rFonts w:ascii="Calibri" w:hAnsi="Calibri"/>
                <w:sz w:val="20"/>
              </w:rPr>
              <w:t>UTI para esta área; máximo 20 caracteres.</w:t>
            </w:r>
          </w:p>
        </w:tc>
      </w:tr>
      <w:tr>
        <w:tc>
          <w:tcPr>
            <w:tcW w:type="dxa" w:w="4968"/>
          </w:tcPr>
          <w:p>
            <w:pPr>
              <w:spacing w:after="80"/>
            </w:pPr>
            <w:r>
              <w:rPr>
                <w:rFonts w:ascii="Calibri" w:hAnsi="Calibri"/>
                <w:sz w:val="20"/>
              </w:rPr>
              <w:t>titular_empleado</w:t>
            </w:r>
          </w:p>
        </w:tc>
        <w:tc>
          <w:tcPr>
            <w:tcW w:type="dxa" w:w="4968"/>
          </w:tcPr>
          <w:p>
            <w:pPr>
              <w:spacing w:after="80"/>
            </w:pPr>
            <w:r>
              <w:rPr>
                <w:rFonts w:ascii="Calibri" w:hAnsi="Calibri"/>
                <w:sz w:val="20"/>
              </w:rPr>
              <w:t>Código de cinco dígitos, tomado de codigo_empleado del responsable incluido en el CSV. No usar su DNI ni nombre de usuario.</w:t>
            </w:r>
          </w:p>
        </w:tc>
      </w:tr>
      <w:tr>
        <w:tc>
          <w:tcPr>
            <w:tcW w:type="dxa" w:w="4968"/>
          </w:tcPr>
          <w:p>
            <w:pPr>
              <w:spacing w:after="80"/>
            </w:pPr>
            <w:r>
              <w:rPr>
                <w:rFonts w:ascii="Calibri" w:hAnsi="Calibri"/>
                <w:sz w:val="20"/>
              </w:rPr>
              <w:t>sede.direccion</w:t>
            </w:r>
          </w:p>
        </w:tc>
        <w:tc>
          <w:tcPr>
            <w:tcW w:type="dxa" w:w="4968"/>
          </w:tcPr>
          <w:p>
            <w:pPr>
              <w:spacing w:after="80"/>
            </w:pPr>
            <w:r>
              <w:rPr>
                <w:rFonts w:ascii="Calibri" w:hAnsi="Calibri"/>
                <w:sz w:val="20"/>
              </w:rPr>
              <w:t>Dirección real de la sede, dentro del objeto sede. No sustituir todo el objeto.</w:t>
            </w:r>
          </w:p>
        </w:tc>
      </w:tr>
      <w:tr>
        <w:tc>
          <w:tcPr>
            <w:tcW w:type="dxa" w:w="4968"/>
          </w:tcPr>
          <w:p>
            <w:pPr>
              <w:spacing w:after="80"/>
            </w:pPr>
            <w:r>
              <w:rPr>
                <w:rFonts w:ascii="Calibri" w:hAnsi="Calibri"/>
                <w:sz w:val="20"/>
              </w:rPr>
              <w:t>verificado_por</w:t>
            </w:r>
          </w:p>
        </w:tc>
        <w:tc>
          <w:tcPr>
            <w:tcW w:type="dxa" w:w="4968"/>
          </w:tcPr>
          <w:p>
            <w:pPr>
              <w:spacing w:after="80"/>
            </w:pPr>
            <w:r>
              <w:rPr>
                <w:rFonts w:ascii="Calibri" w:hAnsi="Calibri"/>
                <w:sz w:val="20"/>
              </w:rPr>
              <w:t>Nombre de la persona que revisó y aprobó la carga.</w:t>
            </w:r>
          </w:p>
        </w:tc>
      </w:tr>
      <w:tr>
        <w:tc>
          <w:tcPr>
            <w:tcW w:type="dxa" w:w="4968"/>
          </w:tcPr>
          <w:p>
            <w:pPr>
              <w:spacing w:after="80"/>
            </w:pPr>
            <w:r>
              <w:rPr>
                <w:rFonts w:ascii="Calibri" w:hAnsi="Calibri"/>
                <w:sz w:val="20"/>
              </w:rPr>
              <w:t>aprobado</w:t>
            </w:r>
          </w:p>
        </w:tc>
        <w:tc>
          <w:tcPr>
            <w:tcW w:type="dxa" w:w="4968"/>
          </w:tcPr>
          <w:p>
            <w:pPr>
              <w:spacing w:after="80"/>
            </w:pPr>
            <w:r>
              <w:rPr>
                <w:rFonts w:ascii="Calibri" w:hAnsi="Calibri"/>
                <w:sz w:val="20"/>
              </w:rPr>
              <w:t>SI sólo al terminar de revisar el área, las personas y los permisos.</w:t>
            </w:r>
          </w:p>
        </w:tc>
      </w:tr>
    </w:tbl>
    <w:p>
      <w:pPr>
        <w:spacing w:after="140"/>
      </w:pPr>
      <w:r>
        <w:rPr>
          <w:rFonts w:ascii="Calibri" w:hAnsi="Calibri"/>
          <w:sz w:val="21"/>
        </w:rPr>
        <w:t>Revisar padre, nivel y tipos documentales. El padre 00000 es provisional del laboratorio. Consultar bd/Consultar-Catalogos-Piloto-PostgreSQL.sql: resultado 2 = sedes; resultado 3 = cargos. Conservar la misma equivalencia de empleado entre áreas.</w:t>
      </w:r>
    </w:p>
    <w:p>
      <w:pPr>
        <w:spacing w:after="140"/>
      </w:pPr>
      <w:r>
        <w:rPr>
          <w:rFonts w:ascii="Calibri" w:hAnsi="Calibri"/>
          <w:sz w:val="21"/>
        </w:rPr>
        <w:t>Sede 001: las instalaciones nuevas crean los datos reales. En bases anteriores, Cargar-Area actualiza sólo INSTALACION LOCAL INIA / PENDIENTE, activo y creado por admin, con lo aprobado en area.json. Comparte respaldo y transacción: un error revierte también la sede. Conserva código y relaciones; otros datos incompatibles se rechazan. No reinstalar ni ejecutar SQL previo. Actualizar-Sede-Piloto-PostgreSQL.sql es sólo recuperación opcional.</w:t>
      </w:r>
    </w:p>
    <w:p>
      <w:pPr>
        <w:spacing w:after="140"/>
      </w:pPr>
      <w:r>
        <w:rPr>
          <w:rFonts w:ascii="Calibri" w:hAnsi="Calibri"/>
          <w:sz w:val="21"/>
        </w:rPr>
        <w:t>Archivo usuarios-verificados.csv, sólo filas con incluir_sgd=1</w:t>
      </w:r>
    </w:p>
    <w:tbl>
      <w:tblPr>
        <w:tblStyle w:val="TableGrid"/>
        <w:tblW w:type="auto" w:w="0"/>
        <w:tblLook w:firstColumn="1" w:firstRow="1" w:lastColumn="0" w:lastRow="0" w:noHBand="0" w:noVBand="1" w:val="04A0"/>
      </w:tblPr>
      <w:tblGrid>
        <w:gridCol w:w="4968"/>
        <w:gridCol w:w="4968"/>
      </w:tblGrid>
      <w:tr>
        <w:tc>
          <w:tcPr>
            <w:tcW w:type="dxa" w:w="4968"/>
          </w:tcPr>
          <w:p>
            <w:pPr>
              <w:spacing w:after="80"/>
            </w:pPr>
            <w:r>
              <w:rPr>
                <w:rFonts w:ascii="Calibri" w:hAnsi="Calibri"/>
                <w:sz w:val="20"/>
              </w:rPr>
              <w:t>Campo</w:t>
            </w:r>
          </w:p>
        </w:tc>
        <w:tc>
          <w:tcPr>
            <w:tcW w:type="dxa" w:w="4968"/>
          </w:tcPr>
          <w:p>
            <w:pPr>
              <w:spacing w:after="80"/>
            </w:pPr>
            <w:r>
              <w:rPr>
                <w:rFonts w:ascii="Calibri" w:hAnsi="Calibri"/>
                <w:sz w:val="20"/>
              </w:rPr>
              <w:t>Qué indicar</w:t>
            </w:r>
          </w:p>
        </w:tc>
      </w:tr>
      <w:tr>
        <w:tc>
          <w:tcPr>
            <w:tcW w:type="dxa" w:w="4968"/>
          </w:tcPr>
          <w:p>
            <w:pPr>
              <w:spacing w:after="80"/>
            </w:pPr>
            <w:r>
              <w:rPr>
                <w:rFonts w:ascii="Calibri" w:hAnsi="Calibri"/>
                <w:sz w:val="20"/>
              </w:rPr>
              <w:t>dni</w:t>
            </w:r>
          </w:p>
        </w:tc>
        <w:tc>
          <w:tcPr>
            <w:tcW w:type="dxa" w:w="4968"/>
          </w:tcPr>
          <w:p>
            <w:pPr>
              <w:spacing w:after="80"/>
            </w:pPr>
            <w:r>
              <w:rPr>
                <w:rFonts w:ascii="Calibri" w:hAnsi="Calibri"/>
                <w:sz w:val="20"/>
              </w:rPr>
              <w:t>DNI real de ocho dígitos. Conservar ceros iniciales; no inventar ni usar 00000000.</w:t>
            </w:r>
          </w:p>
        </w:tc>
      </w:tr>
      <w:tr>
        <w:tc>
          <w:tcPr>
            <w:tcW w:type="dxa" w:w="4968"/>
          </w:tcPr>
          <w:p>
            <w:pPr>
              <w:spacing w:after="80"/>
            </w:pPr>
            <w:r>
              <w:rPr>
                <w:rFonts w:ascii="Calibri" w:hAnsi="Calibri"/>
                <w:sz w:val="20"/>
              </w:rPr>
              <w:t>apellido_paterno / apellido_materno</w:t>
            </w:r>
          </w:p>
        </w:tc>
        <w:tc>
          <w:tcPr>
            <w:tcW w:type="dxa" w:w="4968"/>
          </w:tcPr>
          <w:p>
            <w:pPr>
              <w:spacing w:after="80"/>
            </w:pPr>
            <w:r>
              <w:rPr>
                <w:rFonts w:ascii="Calibri" w:hAnsi="Calibri"/>
                <w:sz w:val="20"/>
              </w:rPr>
              <w:t>Separar y confirmar los apellidos completos conservados por el preparador.</w:t>
            </w:r>
          </w:p>
        </w:tc>
      </w:tr>
      <w:tr>
        <w:tc>
          <w:tcPr>
            <w:tcW w:type="dxa" w:w="4968"/>
          </w:tcPr>
          <w:p>
            <w:pPr>
              <w:spacing w:after="80"/>
            </w:pPr>
            <w:r>
              <w:rPr>
                <w:rFonts w:ascii="Calibri" w:hAnsi="Calibri"/>
                <w:sz w:val="20"/>
              </w:rPr>
              <w:t>cargo_codigo / cargo_nombre</w:t>
            </w:r>
          </w:p>
        </w:tc>
        <w:tc>
          <w:tcPr>
            <w:tcW w:type="dxa" w:w="4968"/>
          </w:tcPr>
          <w:p>
            <w:pPr>
              <w:spacing w:after="80"/>
            </w:pPr>
            <w:r>
              <w:rPr>
                <w:rFonts w:ascii="Calibri" w:hAnsi="Calibri"/>
                <w:sz w:val="20"/>
              </w:rPr>
              <w:t>Código de cargo de cuatro dígitos y denominación real. Si el cargo existe en destino, usar sus datos exactos.</w:t>
            </w:r>
          </w:p>
        </w:tc>
      </w:tr>
      <w:tr>
        <w:tc>
          <w:tcPr>
            <w:tcW w:type="dxa" w:w="4968"/>
          </w:tcPr>
          <w:p>
            <w:pPr>
              <w:spacing w:after="80"/>
            </w:pPr>
            <w:r>
              <w:rPr>
                <w:rFonts w:ascii="Calibri" w:hAnsi="Calibri"/>
                <w:sz w:val="20"/>
              </w:rPr>
              <w:t>perfil</w:t>
            </w:r>
          </w:p>
        </w:tc>
        <w:tc>
          <w:tcPr>
            <w:tcW w:type="dxa" w:w="4968"/>
          </w:tcPr>
          <w:p>
            <w:pPr>
              <w:spacing w:after="80"/>
            </w:pPr>
            <w:r>
              <w:rPr>
                <w:rFonts w:ascii="Calibri" w:hAnsi="Calibri"/>
                <w:sz w:val="20"/>
              </w:rPr>
              <w:t>USUARIO_AREA para permisos básicos de la propuesta; SOPORTE_UTI sólo para soporte autorizado, pues concede administrador. Revisar las opciones en area.json.</w:t>
            </w:r>
          </w:p>
        </w:tc>
      </w:tr>
      <w:tr>
        <w:tc>
          <w:tcPr>
            <w:tcW w:type="dxa" w:w="4968"/>
          </w:tcPr>
          <w:p>
            <w:pPr>
              <w:spacing w:after="80"/>
            </w:pPr>
            <w:r>
              <w:rPr>
                <w:rFonts w:ascii="Calibri" w:hAnsi="Calibri"/>
                <w:sz w:val="20"/>
              </w:rPr>
              <w:t>verificado</w:t>
            </w:r>
          </w:p>
        </w:tc>
        <w:tc>
          <w:tcPr>
            <w:tcW w:type="dxa" w:w="4968"/>
          </w:tcPr>
          <w:p>
            <w:pPr>
              <w:spacing w:after="80"/>
            </w:pPr>
            <w:r>
              <w:rPr>
                <w:rFonts w:ascii="Calibri" w:hAnsi="Calibri"/>
                <w:sz w:val="20"/>
              </w:rPr>
              <w:t>SI después de revisar esa persona; mantener 0 en incluir_sgd si no debe ingresar.</w:t>
            </w:r>
          </w:p>
        </w:tc>
      </w:tr>
    </w:tbl>
    <w:p>
      <w:pPr>
        <w:spacing w:after="140"/>
      </w:pPr>
      <w:r>
        <w:rPr>
          <w:rFonts w:ascii="Calibri" w:hAnsi="Calibri"/>
          <w:sz w:val="21"/>
        </w:rPr>
        <w:t>Guardar ambos archivos. Validar-Carga revisa campos, selección, titular, cargos, permisos, modelo local y archivos necesarios, sin consultar bases. Windows admite doble clic:</w:t>
      </w:r>
    </w:p>
    <w:p>
      <w:pPr>
        <w:spacing w:after="140"/>
      </w:pPr>
      <w:r>
        <w:rPr>
          <w:rFonts w:ascii="Consolas" w:hAnsi="Consolas"/>
          <w:sz w:val="18"/>
        </w:rPr>
        <w:t>.\Validar-Carga.bat --carpeta datos\carga-uti-preparada</w:t>
        <w:br/>
        <w:t>bash Validar-Carga.sh --carpeta datos/carga-uti-preparada</w:t>
      </w:r>
    </w:p>
    <w:p>
      <w:pPr>
        <w:spacing w:after="140"/>
      </w:pPr>
      <w:r>
        <w:rPr>
          <w:rFonts w:ascii="Calibri" w:hAnsi="Calibri"/>
          <w:sz w:val="21"/>
        </w:rPr>
        <w:t>Continuar sólo con VALIDACION CORRECTA. Informe: datos/validacion-carga/resultado.json. Si hay ERROR, corregir el campo indicado y repetir. Para otra área añadir --carpeta RUTA. La conexión, respaldo, padre activo y colisiones actuales se comprueban al aplicar. No repetir la preparación ni ejecutar plan.sql manualmente.</w:t>
      </w:r>
    </w:p>
    <w:p>
      <w:pPr>
        <w:pStyle w:val="Heading1"/>
        <w:pageBreakBefore/>
      </w:pPr>
      <w:r>
        <w:t>13 Aplicar y retirar un área del piloto</w:t>
      </w:r>
    </w:p>
    <w:p>
      <w:pPr>
        <w:spacing w:after="140"/>
      </w:pPr>
      <w:r>
        <w:t>1. Continuar sólo con VALIDACION CORRECTA en el destino y con los archivos revisados. Aplicar en mantenimiento, con usuarios fuera del SGD. UTI 00217 ya está cargada en esta PC local; la secuencia siguiente corresponde a otra instalación donde aún no está cargada.</w:t>
      </w:r>
    </w:p>
    <w:p>
      <w:pPr/>
      <w:r>
        <w:t>2. En una instalación completa en el mismo equipo, detener la aplicación y arrancar sólo PostgreSQL:</w:t>
      </w:r>
    </w:p>
    <w:p>
      <w:pPr>
        <w:keepLines/>
        <w:spacing w:after="140"/>
      </w:pPr>
      <w:r>
        <w:rPr>
          <w:rFonts w:ascii="Consolas" w:hAnsi="Consolas"/>
          <w:sz w:val="20"/>
        </w:rPr>
        <w:t>.\SGD.bat detener</w:t>
      </w:r>
      <w:r>
        <w:br/>
      </w:r>
      <w:r>
        <w:rPr>
          <w:rFonts w:ascii="Consolas" w:hAnsi="Consolas"/>
          <w:sz w:val="20"/>
        </w:rPr>
        <w:t>.\SGD.bat base</w:t>
      </w:r>
    </w:p>
    <w:p>
      <w:pPr>
        <w:spacing w:after="140"/>
      </w:pPr>
      <w:r>
        <w:t>En Linux usar bash SGD.sh detener y bash SGD.sh base. Si aplicación y base están en equipos separados, coordinar también la parada de la aplicación remota.</w:t>
      </w:r>
    </w:p>
    <w:p>
      <w:pPr>
        <w:spacing w:after="140"/>
      </w:pPr>
      <w:r>
        <w:t>3. Ejecutar la carga aprobada desde la raíz del SGD. Para otra área sustituir la carpeta y CARGAR:00217 por el código de su area.json. Ejecutar cada comando por separado y detenerse ante cualquier error.</w:t>
      </w:r>
    </w:p>
    <w:p>
      <w:pPr>
        <w:keepLines/>
        <w:spacing w:after="140"/>
      </w:pPr>
      <w:r>
        <w:rPr>
          <w:rFonts w:ascii="Consolas" w:hAnsi="Consolas"/>
          <w:sz w:val="18"/>
        </w:rPr>
        <w:t>.\Cargar-Area.bat --carpeta datos\carga-uti-preparada --aplicar --confirmar CARGAR:00217</w:t>
        <w:br/>
        <w:t>bash Cargar-Area.sh --carpeta datos/carga-uti-preparada --aplicar --confirmar CARGAR:00217</w:t>
      </w:r>
    </w:p>
    <w:p>
      <w:pPr>
        <w:spacing w:after="140"/>
      </w:pPr>
      <w:r>
        <w:t>El cargador crea un respaldo completo y su SHA-256 antes de modificar la base; si falla, no continúa. La carga se aplica en una transacción. Requiere las credenciales de ese destino y la librería de cifrado compilada; si falta, ejecutar SGD.bat compilar o bash SGD.sh compilar antes de aplicar.</w:t>
      </w:r>
    </w:p>
    <w:p>
      <w:pPr/>
      <w:r>
        <w:t>4. Cuando indique Operación terminada, revisar resultado.json de esa ejecución y levantar el SGD:</w:t>
      </w:r>
    </w:p>
    <w:p>
      <w:pPr>
        <w:spacing w:after="160"/>
      </w:pPr>
      <w:r>
        <w:rPr>
          <w:rFonts w:ascii="Consolas" w:hAnsi="Consolas"/>
          <w:sz w:val="18"/>
        </w:rPr>
        <w:t>.\SGD.bat iniciar</w:t>
        <w:br/>
        <w:t>bash SGD.sh iniciar</w:t>
      </w:r>
    </w:p>
    <w:p>
      <w:pPr/>
      <w:r>
        <w:t>5. Abrir la URL configurada del SGD y probar el acceso y los permisos del área. Las claves de las cuentas nuevas están en CLAVES-GENERADAS-PRIVADAS.json, dentro de la carpeta de resultados indicada por esa carga confirmada. Las cuentas existentes conservan sus claves. No distribuir claves de una ejecución fallida ni usar las generadas en otra instalación.</w:t>
      </w:r>
    </w:p>
    <w:p>
      <w:pPr>
        <w:spacing w:after="140"/>
      </w:pPr>
      <w:r>
        <w:t>Repetir archivos idénticos no duplica registros ni cambia claves. Datos incompatibles o un área ya cargada con archivos distintos se rechazan; no se sobrescriben. Una persona compartida conserva su oficina principal y necesita códigos, identidad y permisos globales compatibles. Las cuentas ficticias continúan hasta su sustitución controlada.</w:t>
      </w:r>
    </w:p>
    <w:p>
      <w:pPr>
        <w:spacing w:after="140"/>
      </w:pPr>
      <w:r>
        <w:t>Retiro del área, sólo cuando se solicite: Limpiar-BD con --area retira un área cargada con este utilitario. El reinicio completo con --todo se explica en la sección 16. No forma parte de la carga anterior. Primero preparar su plan sin consultar la base:</w:t>
      </w:r>
    </w:p>
    <w:p>
      <w:pPr>
        <w:keepLines/>
        <w:spacing w:after="140"/>
      </w:pPr>
      <w:r>
        <w:rPr>
          <w:rFonts w:ascii="Consolas" w:hAnsi="Consolas"/>
          <w:sz w:val="20"/>
        </w:rPr>
        <w:t>.\Limpiar-BD.bat --area 00217</w:t>
        <w:br/>
        <w:t>bash Limpiar-BD.sh --area 00217</w:t>
      </w:r>
    </w:p>
    <w:p>
      <w:pPr>
        <w:spacing w:after="140"/>
      </w:pPr>
      <w:r>
        <w:t>Después de tu revisión, aplicar el retiro en mantenimiento:</w:t>
      </w:r>
    </w:p>
    <w:p>
      <w:pPr>
        <w:keepLines/>
        <w:spacing w:after="140"/>
      </w:pPr>
      <w:r>
        <w:rPr>
          <w:rFonts w:ascii="Consolas" w:hAnsi="Consolas"/>
          <w:sz w:val="20"/>
        </w:rPr>
        <w:t>.\Limpiar-BD.bat --area 00217 --aplicar --confirmar RETIRAR:00217</w:t>
        <w:br/>
        <w:t>bash Limpiar-BD.sh --area 00217 --aplicar --confirmar RETIRAR:00217</w:t>
      </w:r>
    </w:p>
    <w:p>
      <w:pPr>
        <w:spacing w:after="140"/>
      </w:pPr>
      <w:r>
        <w:t>Conserva catálogos, archivos, accesos registrados y usuarios compartidos. Se bloquea si existen documentos, oficinas hijas, otros vínculos o cambios incompatibles. No vacía la base ni elimina documentos. Crea un respaldo antes del retiro y revierte la transacción ante errores. La restauración del respaldo requiere un procedimiento separado.</w:t>
      </w:r>
      <w:r>
        <w:t xml:space="preserve"> Tras un retiro confirmado, levantar el SGD con iniciar.</w:t>
      </w:r>
    </w:p>
    <w:p>
      <w:pPr>
        <w:pStyle w:val="Heading1"/>
        <w:pageBreakBefore/>
      </w:pPr>
      <w:r>
        <w:rPr>
          <w:color w:val="000000"/>
        </w:rPr>
        <w:t>14 Cliente Tramitedoc en los puestos Windows</w:t>
      </w:r>
    </w:p>
    <w:p>
      <w:r>
        <w:t>Tramitedoc es la aplicación de escritorio que conecta el navegador del SGD con los archivos y programas de la PC. Permite que Generar Doc descargue y guarde el documento de trabajo, que Abrir Doc lo abra en el editor y que Cargar Doc lo envíe al repositorio. Debe instalarse en cada PC Windows que usa el navegador, aunque Payara y PostgreSQL estén en otros servidores.</w:t>
      </w:r>
    </w:p>
    <w:p>
      <w:r>
        <w:t>wstradoc.war es el puente WebSocket alojado en Payara. No instala Tramitedoc en las estaciones. Microsoft Word es el editor indicado por el proveedor; el utilitario comprueba su ejecutable registrado, sin instalar Office ni certificar todas sus versiones. La firma digital mantiene su configuración propia y sigue opcional en el piloto.</w:t>
      </w:r>
    </w:p>
    <w:p>
      <w:r>
        <w:t>Instalación nueva: Instalar-SGD.bat pregunta el uso del equipo. Solo servidor prepara el servidor y recuerda el requisito de los puestos; servidor y puesto prepara ambos en la misma PC Windows; solo puesto prepara el cliente sin tocar servidor ni BD. Instalar-SGD.sh prepara el servidor Linux y comprueba que el portable incluya el cliente Windows.</w:t>
      </w:r>
    </w:p>
    <w:p>
      <w:r>
        <w:t>Para preparar estaciones adicionales o una instalación existente, ejecutar desde la carpeta completa del portable:</w:t>
      </w:r>
    </w:p>
    <w:p>
      <w:pPr>
        <w:keepLines/>
        <w:spacing w:line="240" w:lineRule="auto" w:before="80" w:after="180"/>
      </w:pPr>
      <w:r>
        <w:rPr>
          <w:rFonts w:ascii="Consolas" w:hAnsi="Consolas"/>
          <w:sz w:val="18"/>
        </w:rPr>
        <w:t>.\Cliente-SGD.bat instalar</w:t>
        <w:br/>
        <w:t>.\Cliente-SGD.bat verificar</w:t>
      </w:r>
    </w:p>
    <w:p>
      <w:r>
        <w:t>El utilitario verifica el SHA256 del MSI antes de ejecutarlo. Si el protocolo ya apunta a Tramitedoc.exe existente, conserva la instalación. Si falta, abre el asistente original. Una cancelación, error, reinicio pendiente, registro inválido o Word ausente impide declarar listo el puesto. El cliente queda instalado en Windows; el resto del SGD mantiene sus runtimes en la carpeta portable.</w:t>
      </w:r>
    </w:p>
    <w:p>
      <w:r>
        <w:t>Usar la misma cuenta Windows que abre Chrome. Después ingresar al SGD, permitir abrir Tramitedoc y comprobar el indicador verde de conexión. Verificar que la ruta de documentos sea local a esa estación y tenga permiso de escritura. La comprobación del protocolo y Word no demuestra conexión con APPCLIENT ni prueba documentos.</w:t>
      </w:r>
    </w:p>
    <w:p>
      <w:r>
        <w:t>En Linux, Cliente-SGD.sh informa que el cliente suministrado requiere Windows y devuelve error para evitar un resultado falso de puesto preparado. Las estaciones Windows se preparan con Cliente-SGD.bat incluso si el servidor utiliza Linux. No instalar el MSI en el servidor Linux.</w:t>
      </w:r>
    </w:p>
    <w:p>
      <w:r>
        <w:t>Aceptación: el operador debe probar generar, abrir, cargar y reabrir un documento autorizado. Se aprobaron 18 pruebas offline de instalación del cliente y 17 escenarios JavaScript de generación. No ejecutan MSI ni documentos reales. En esta PC también se comprobó el protocolo con ejecutable existente y Word registrado; la conexión y el ciclo documental requieren su prueba en el navegador.</w:t>
      </w:r>
    </w:p>
    <w:p>
      <w:pPr/>
      <w:r>
        <w:rPr>
          <w:rFonts w:ascii="Calibri" w:hAnsi="Calibri"/>
        </w:rPr>
        <w:t>Plantillas DOCX: la instalación nueva incorpora INFORME 003 y OFICIO 001 adaptados al modelo INIA. Para una base existente o restaurada usar el procedimiento de la sección 15. El SGD comprueba el formato antes de solicitar la descarga. Una copia local o un Word ya cargado pueden abrirse sin regenerarlo. En los nombres de archivo, las barras de las siglas se sustituyen por guiones; el contenido conserva las siglas originales.</w:t>
      </w:r>
    </w:p>
    <w:p>
      <w:pPr>
        <w:pStyle w:val="Heading1"/>
        <w:pageBreakBefore/>
      </w:pPr>
      <w:r>
        <w:rPr>
          <w:color w:val="000000"/>
        </w:rPr>
        <w:t>15 Plantillas INIA para INFORME y OFICIO</w:t>
      </w:r>
    </w:p>
    <w:p>
      <w:r>
        <w:t>El portable incluye plantillas-docx/INFORME-INIA.docx (003) y OFICIO-INIA.docx (001), con cabecera MIDAGRI e INIA, dependencia emisora y pie institucional del modelo suministrado. INFORME contiene antecedentes, análisis, conclusiones y recomendaciones. OFICIO admite destinatarios internos y externos. Los datos del SGD completan los campos; el cuerpo queda editable en Word.</w:t>
      </w:r>
    </w:p>
    <w:p>
      <w:r>
        <w:t>No se copiaron nombres, número, asunto, contenido, firma, QR ni código de verificación del memorando. La plantilla no afirma que el documento esté firmado. Las denominaciones anuales se toman de los parámetros del SGD; revisar su configuración institucional.</w:t>
      </w:r>
    </w:p>
    <w:p>
      <w:r>
        <w:t>En una base nueva el instalador incorpora ambos formatos activos en la dependencia global 00000, dentro de la transacción inicial. Se conserva la selección de formatos por área. Una base restaurada mantiene las plantillas de su respaldo; para una instalación existente o restaurada sin estos formatos, usar el utilitario siguiente. No reinstalar ni repetir la carga de UTI 00217.</w:t>
      </w:r>
    </w:p>
    <w:p>
      <w:r>
        <w:t>1. Revisar los DOCX y ejecutar una sola opción desde la raíz del paquete completo. Verifica archivos y SHA256 y genera datos/plantillas-INIA.sql sin consultar la BD:</w:t>
      </w:r>
    </w:p>
    <w:p>
      <w:pPr>
        <w:spacing w:after="160"/>
      </w:pPr>
      <w:r>
        <w:rPr>
          <w:rFonts w:ascii="Consolas" w:hAnsi="Consolas"/>
          <w:sz w:val="18"/>
        </w:rPr>
        <w:t>Windows: .\Plantillas-SGD.bat</w:t>
        <w:br/>
        <w:t>Linux: bash Plantillas-SGD.sh</w:t>
      </w:r>
    </w:p>
    <w:p>
      <w:r>
        <w:t>2. Con PostgreSQL iniciado y las credenciales de esa instalación, el operador puede aplicar desde el equipo que administra la BD. Elegir una opción:</w:t>
      </w:r>
    </w:p>
    <w:p>
      <w:pPr>
        <w:spacing w:after="160"/>
      </w:pPr>
      <w:r>
        <w:rPr>
          <w:rFonts w:ascii="Consolas" w:hAnsi="Consolas"/>
          <w:sz w:val="18"/>
        </w:rPr>
        <w:t>.\Plantillas-SGD.bat --aplicar --confirmar PLANTILLAS:INIA</w:t>
        <w:br/>
        <w:t>bash Plantillas-SGD.sh --aplicar --confirmar PLANTILLAS:INIA</w:t>
      </w:r>
    </w:p>
    <w:p>
      <w:r>
        <w:t>Antes de cargar, crea datos/respaldo-antes-plantillas-FECHA-ID.dump y su SHA256. Si falla el respaldo no aplica. La carga es una transacción: un formato idéntico activo no se duplica; un formato global distinto o inactivo detiene y revierte todo. Conserva los formatos por área, usuarios, expedientes y documentos. Revisar logs/plantillas-respaldo.log y plantillas-aplicar.log ante errores.</w:t>
      </w:r>
    </w:p>
    <w:p>
      <w:r>
        <w:t>3. Para incorporar el código corregido usar Actualizar-SGD y recargar el navegador, conservando antes cualquier edición pendiente. Comprobar conexión verde de Tramitedoc y generar, abrir, cargar y reabrir un documento autorizado. No se aplicaron estas plantillas en la BD real durante su preparación.</w:t>
      </w:r>
    </w:p>
    <w:p>
      <w:pPr/>
      <w:r>
        <w:t>Si Generar Doc muestra ERROR y el registro indica DEPENDENCIA_TITULO nulo, ejecutar Actualizar-SGD. La cabecera usa el título configurado o el nombre de la dependencia emisora; los campos nulos se convierten en texto vacío. No modificar la BD ni repetir las cargas de plantillas o UTI. Un fallo del motor no devuelve un DOCX incompleto.</w:t>
      </w:r>
    </w:p>
    <w:p>
      <w:r>
        <w:t>Validación: 14 pruebas offline del utilitario, seis DOCX ficticios procesados con XDocReport y FreeMarker incluidos y una prueba PostgreSQL aislada de repetición, conservación y reversión. Se revisaron los formatos renderizados. La prueba en el navegador con Tramitedoc y Word queda a cargo del operador; Docker solo se usó en esta PC para pruebas.</w:t>
      </w:r>
      <w:r>
        <w:t xml:space="preserve"> La prueba adicional del servicio real reproduce el fallo y aprueba 287 comprobaciones con ocho DOCX ficticios y campos nulos, alternativas de cabecera y respuestas del servlet ante archivos incompletos.</w:t>
      </w:r>
    </w:p>
    <w:p>
      <w:pPr>
        <w:pStyle w:val="Heading1"/>
        <w:pageBreakBefore/>
      </w:pPr>
      <w:r>
        <w:t>16 Reiniciar completamente la base del piloto</w:t>
      </w:r>
    </w:p>
    <w:p>
      <w:r>
        <w:t>Este procedimiento elimina todos los documentos, usuarios reales y oficinas cargadas de la base local idosgd_inia. Se usa cuando el operador decidió comenzar nuevamente todo el piloto. El operador ejecuta los comandos; la revisión de fuentes o de Payara no autoriza por sí sola ese borrado.</w:t>
      </w:r>
    </w:p>
    <w:p>
      <w:r>
        <w:t>Desde la raíz de la instalación, ejecutar uno por uno. Si cualquier comando falla, detenerse y revisar el respaldo y los logs antes de continuar:</w:t>
      </w:r>
    </w:p>
    <w:p>
      <w:pPr>
        <w:pStyle w:val="ComandoSGD"/>
      </w:pPr>
      <w:r>
        <w:t>.\Limpiar-BD.bat --todo --aplicar --confirmar REINICIAR:idosgd_inia</w:t>
      </w:r>
    </w:p>
    <w:p>
      <w:pPr>
        <w:pStyle w:val="ComandoSGD"/>
      </w:pPr>
      <w:r>
        <w:t>.\Cargar-Area.bat --carpeta datos\carga-uti-preparada --aplicar --confirmar CARGAR:00217</w:t>
      </w:r>
    </w:p>
    <w:p>
      <w:pPr>
        <w:pStyle w:val="ComandoSGD"/>
      </w:pPr>
      <w:r>
        <w:t>.\SGD.bat iniciar</w:t>
      </w:r>
    </w:p>
    <w:p>
      <w:r>
        <w:t>Limpiar-BD detiene Payara, respalda y comprueba la base, aparta los archivos documentales anteriores y recrea la estructura y catálogos. Conserva las carpetas de carga y las credenciales de instalación. El respaldo y los documentos anteriores quedan bajo datos/reinicio-piloto-FECHA-ID. Se recrean las cuatro cuentas de laboratorio; la carga de UTI genera nuevas claves para los usuarios reales.</w:t>
      </w:r>
    </w:p>
    <w:p>
      <w:r>
        <w:t>Usar las claves indicadas por esa nueva carga e iniciar una sesión nueva. Para otras oficinas, repetir Cargar-Area con su carpeta revisada y el código correspondiente. No ejecutar SGD todo como sustituto de la carga: puede restaurar un respaldo portable anterior.</w:t>
      </w:r>
    </w:p>
    <w:p>
      <w:r>
        <w:t>La eliminación y recreación completas no son una única transacción. Si la instalación falla después del borrado, conservar el respaldo y recuperar o corregir antes de cargar usuarios. La creación del esquema nuevo sí se ejecuta en una transacción. El utilitario rechaza destinos distintos de idosgd_inia local, puerto 55432, modo completo.</w:t>
      </w:r>
    </w:p>
    <w:p>
      <w:r>
        <w:t>Limpiar-BD con --area conserva su retiro protegido: se bloquea si la oficina tiene documentos o referencias. Recargar-Usuarios cambia el alcance de acceso preservando cuentas, contraseñas y documentos; no vacía la base.</w:t>
      </w:r>
    </w:p>
    <w:p>
      <w:pPr>
        <w:pStyle w:val="Heading1"/>
        <w:pageBreakBefore/>
      </w:pPr>
      <w:r>
        <w:t>17 Limpiar los archivos regenerables de Payara</w:t>
      </w:r>
    </w:p>
    <w:p>
      <w:r>
        <w:t>Utilitario Windows para reducir el espacio del servidor conservando módulos, configuración, certificados, driver, propiedades y aplicaciones desplegadas. Primero revisar el alcance sin borrar ni detener servicios:</w:t>
      </w:r>
    </w:p>
    <w:p>
      <w:pPr>
        <w:pStyle w:val="ComandoSGD"/>
      </w:pPr>
      <w:r>
        <w:t>.\Limpiar-Payara.bat</w:t>
      </w:r>
    </w:p>
    <w:p>
      <w:r>
        <w:t>Para aplicar la limpieza:</w:t>
      </w:r>
    </w:p>
    <w:p>
      <w:pPr>
        <w:pStyle w:val="ComandoSGD"/>
      </w:pPr>
      <w:r>
        <w:t>.\Limpiar-Payara.bat --aplicar</w:t>
      </w:r>
    </w:p>
    <w:p>
      <w:r>
        <w:t>Solo retira los contenidos de osgi-cache, generated, temp y logs del dominio sgd. No elimina config, domain.xml, domain.xml.bak, applications, lib, reportes ni los documentos oficiales de datos/documentos. Los temporales de trabajo y logs anteriores se eliminan; ejecutar cuando no haya elaboración o carga de documentos en curso.</w:t>
      </w:r>
    </w:p>
    <w:p>
      <w:r>
        <w:t>Si Payara estaba activo, lo detiene antes de limpiar y lo vuelve a iniciar. Si estaba detenido, queda detenido. No administra PostgreSQL ni aplica SQL. El primer arranque reconstruye cachés y puede tardar más. Un PID residual o enlace/junction bloquea el borrado. El resultado se guarda en logs/limpieza-payara.json.</w:t>
      </w:r>
    </w:p>
    <w:p>
      <w:r>
        <w:t>El 10 de octubre de 2026 se retiraron 146,57 MiB de archivos regenerables del piloto y se comprobaron 1.229 archivos protegidos por SHA256. Payara estaba detenido y quedó detenido. No se ejecutaron comandos PostgreSQL. Las pruebas nativas verificaron conservación de aplicaciones y documentos, modo de revisión y bloqueos por PID y junction.</w:t>
      </w:r>
    </w:p>
    <w:p>
      <w:pPr>
        <w:pStyle w:val="Heading1"/>
        <w:pageBreakBefore/>
      </w:pPr>
      <w:r>
        <w:t>18 Archivos que se suben al repositorio privado</w:t>
      </w:r>
    </w:p>
    <w:p>
      <w:r>
        <w:t>Se conservan fuentes, utilitarios, manuales, plantillas, motor Payara, configuración aprobada, instaladores, cargas y correcciones. Las cargas permanecen en datos/carga-*, datos/cargas y datos/exportacion-*; se incluyen CSV, area.json y archivos auxiliares de revisión. INCIDENCIAS incluye scripts, reversión, paquetes y evidencias para atender las mismas observaciones en otros ambientes.</w:t>
      </w:r>
    </w:p>
    <w:p>
      <w:r>
        <w:t>Se excluyen documentos emitidos PDF/Word, documentos anteriores del reinicio, base física, credenciales, claves nuevas, SQL privado, dumps, logs operativos, target, output, node_modules y temporales. No se ignoran globalmente PDF o DOCX: los manuales, formatos y ejemplos de fuentes se necesitan en las instalaciones.</w:t>
      </w:r>
    </w:p>
    <w:p>
      <w:r>
        <w:t>Payara se versiona desde payara/payara5, conservando sus bibliotecas, scripts, licencias y componentes internos. Se excluyen glassfish/domains, mq/var, ejemplos, Javadoc y fuentes auxiliares de H2. El ZIP de respaldo no se duplica en Git. La configuración aprobada del dominio se mantiene en payara/configuracion con su manifiesto y hashes.</w:t>
      </w:r>
    </w:p>
    <w:p>
      <w:r>
        <w:t>WAR que sí se suben: binarios/proveedor/wstradoc.war, único servicio SGD sin fuentes; y los WAR internos del motor ejb-timer-service-app.war, metro/wstx-services.war, mq/lib/imqums.war, mq/lib/imqhttp.war y mq/lib/imqhttps.war. Las rutas completas están en manual/VERSIONADO.md.</w:t>
      </w:r>
    </w:p>
    <w:p>
      <w:r>
        <w:t>WAR que no se suben: sgd.war, consulta.war, verifica.war, mpd.war, notificador.war, wsiotramite.war, mpvio.war y recursos.war, ni sus copias históricas o versiones con sufijos. Se generan al compilar. Las dependencias JAR especiales y los módulos del motor sí se conservan.</w:t>
      </w:r>
    </w:p>
    <w:p>
      <w:r>
        <w:t>Para preparar todos los cambios sin dejar fuentes pendientes:</w:t>
      </w:r>
    </w:p>
    <w:p>
      <w:pPr>
        <w:pStyle w:val="ComandoSGD"/>
      </w:pPr>
      <w:r>
        <w:t>git add .</w:t>
        <w:br/>
        <w:t>git diff --cached --check</w:t>
        <w:br/>
        <w:t>git diff --cached --stat</w:t>
      </w:r>
    </w:p>
    <w:p>
      <w:r>
        <w:t>Revisar el índice antes del commit y del push. Las reglas de Git no borran archivos locales ni retiran archivos que ya estaban registrados. El repositorio no reemplaza los respaldos de PostgreSQL y documentos. Los acuerdos de continuidad están en AGENTS.md.</w:t>
      </w:r>
    </w:p>
    <w:p>
      <w:pPr>
        <w:pStyle w:val="Heading1"/>
        <w:pageBreakBefore/>
      </w:pPr>
      <w:r>
        <w:t>19 Resumen para instalar o reemplazar fuentes</w:t>
      </w:r>
    </w:p>
    <w:p>
      <w:r>
        <w:t>1. Clonar la rama base-sgd-inia en una instalación nueva. Git incluye los motores y dependencias necesarios. En instalaciones existentes incorporar el commit conservando datos y configuración local.</w:t>
      </w:r>
    </w:p>
    <w:p>
      <w:r>
        <w:t>2. Instalar-SGD crea configuracion.json desde el ejemplo si falta, con heap_payara_mb=4096. Para personalizar IP o puertos antes de instalar, copiar y editar el ejemplo. No copia datos ni claves de otra máquina.</w:t>
      </w:r>
    </w:p>
    <w:p>
      <w:r>
        <w:t>3. Para una instalación nueva usar Instalar-SGD.bat servidor. El instalador crea un dominio nuevo, compila los ocho WAR propios y despliega los servicios. Para una existente usar Actualizar-SGD.bat y verificar; no reiniciar su base.</w:t>
      </w:r>
    </w:p>
    <w:p>
      <w:r>
        <w:t>4. Validar cada carpeta de carga y aplicar Cargar-Area con el código correcto. Usar las claves generadas en ese ambiente. No volver a cargar una oficina ya cargada salvo el procedimiento explícito de reinicio o actualización.</w:t>
      </w:r>
    </w:p>
    <w:p>
      <w:r>
        <w:t>5. Revisar las incidencias pendientes y ejecutar solo las correcciones que correspondan al estado del ambiente. Subir los scripts no los aplica automáticamente.</w:t>
      </w:r>
    </w:p>
    <w:p>
      <w:r>
        <w:t>6. Abrir una sesión nueva y probar permisos, generación, apertura, carga y firma según el flujo institucional. Compilar por sí solo no despliega los cambios.</w:t>
      </w:r>
    </w:p>
    <w:p>
      <w:r>
        <w:t>7. Para preparar otra entrega usar .gitignore, git add . y revisar el contenido antes de publicar. No ejecutar limpieza física por preparar una subida: los archivos locales se conservan.</w:t>
      </w:r>
    </w:p>
    <w:p>
      <w:r>
        <w:t>La copia payara/configuracion puede contener referencias a aplicaciones del piloto. Sirve para conservar y comparar los ajustes y para su restauración administrada. En una instalación nueva seguir el instalador; no reemplazar ciegamente el dominio recién creado con la captura de otro ambiente.</w:t>
      </w:r>
    </w:p>
    <w:p>
      <w:pPr>
        <w:pStyle w:val="Heading1"/>
        <w:pageBreakBefore/>
      </w:pPr>
      <w:r>
        <w:t>20 Utilitarios y cuándo usarlos</w:t>
      </w:r>
    </w:p>
    <w:tbl>
      <w:tblPr>
        <w:tblW w:type="auto" w:w="0"/>
        <w:jc w:val="center"/>
        <w:tblLayout w:type="fixed"/>
        <w:tblLook w:firstColumn="1" w:firstRow="1" w:lastColumn="0" w:lastRow="0" w:noHBand="0" w:noVBand="1" w:val="04A0"/>
      </w:tblPr>
      <w:tblGrid>
        <w:gridCol w:w="3024"/>
        <w:gridCol w:w="6336"/>
      </w:tblGrid>
      <w:tr>
        <w:trPr>
          <w:tblHeade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243746"/>
          </w:tcPr>
          <w:p>
            <w:pPr>
              <w:keepNext w:val="0"/>
              <w:spacing w:before="0" w:after="20" w:line="252" w:lineRule="auto"/>
            </w:pPr>
            <w:r>
              <w:rPr>
                <w:b/>
                <w:color w:val="FFFFFF"/>
                <w:sz w:val="21"/>
              </w:rPr>
              <w:t>Utilitario</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243746"/>
          </w:tcPr>
          <w:p>
            <w:pPr>
              <w:keepNext w:val="0"/>
              <w:spacing w:before="0" w:after="20" w:line="252" w:lineRule="auto"/>
            </w:pPr>
            <w:r>
              <w:rPr>
                <w:b/>
                <w:color w:val="FFFFFF"/>
                <w:sz w:val="21"/>
              </w:rPr>
              <w:t>Uso y momento</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Instalar-SGD</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Crear una instalación nueva. Elegir servidor, completo o puesto según el equipo.</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Actualizar-SGD</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Incorporar fuentes nuevas, compilar, desplegar y verificar una instalación existente.</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SGD</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Acciones específicas: compilar, desplegar, verificar, configurar, base, datos, respaldar y restaurar. Revisar el alcance antes de acciones de base.</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Iniciar-SGD / Detener-SGD</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Arrancar o detener los servicios del equipo. Detener-SGD también detiene PostgreSQL en modo completo.</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Cliente-SGD</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Instalar o comprobar Tramitedoc y Word en la estación Windows del navegador.</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Preparar-Carga</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Convertir los cinco CSV exportados a una carga pendiente de revisión; no consulta la base.</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Validar-Carga</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Comprobar los archivos revisados antes de cargar; no consulta la base.</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Cargar-Area</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Crear oficina y usuarios desde archivos aprobados. --aplicar exige confirmación y respaldo.</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Limpiar-BD --area</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Retirar una oficina rastreada sin documentos ni referencias que bloqueen el retiro.</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Limpiar-BD --todo</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Reiniciar toda la base local del piloto, con respaldo, y volver a cargar las oficinas. Elimina documentos y usuarios reales.</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Recargar-Usuarios</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Corregir el alcance de acceso de cuentas ya cargadas, individualmente o por lote. Conserva documentos y claves.</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Limpiar-Payara</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Revisar o retirar cachés, archivos generados, temporales y logs; conserva configuración y aplicaciones. Disponible para Windows.</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Plantillas-SGD</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Validar o aplicar las plantillas globales INFORME y OFICIO con respaldo previo.</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ACTIVAR-MEMORIA-PAYARA.ps1</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Aplicar el heap aprobado a un dominio existente; seguir AJUSTE-MEMORIA-PAYARA.md.</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configuracion_payara.py</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FFFFF"/>
          </w:tcPr>
          <w:p>
            <w:pPr>
              <w:keepNext w:val="0"/>
              <w:spacing w:before="0" w:after="20" w:line="252" w:lineRule="auto"/>
            </w:pPr>
            <w:r>
              <w:rPr>
                <w:b w:val="0"/>
                <w:color w:val="000000"/>
                <w:sz w:val="21"/>
              </w:rPr>
              <w:t>Exportar, verificar o restaurar una copia de configuración. La restauración requiere dominio detenido y revisión del destino.</w:t>
            </w:r>
          </w:p>
        </w:tc>
      </w:tr>
      <w:tr>
        <w:trPr>
          <w:cantSplit/>
          <w:cantSplit/>
        </w:trPr>
        <w:tc>
          <w:tcPr>
            <w:tcW w:type="dxa" w:w="3024"/>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SUBIR-CONFIGURACION-PAYARA.ps1</w:t>
            </w:r>
          </w:p>
        </w:tc>
        <w:tc>
          <w:tcPr>
            <w:tcW w:type="dxa" w:w="6336"/>
            <w:vAlign w:val="center"/>
            <w:tcBorders>
              <w:top w:val="single" w:sz="4" w:color="D9D9D9"/>
              <w:left w:val="single" w:sz="4" w:color="D9D9D9"/>
              <w:bottom w:val="single" w:sz="4" w:color="D9D9D9"/>
              <w:right w:val="single" w:sz="4" w:color="D9D9D9"/>
            </w:tcBorders>
            <w:tcMar>
              <w:top w:w="60" w:type="dxa"/>
              <w:left w:w="100" w:type="dxa"/>
              <w:bottom w:w="60" w:type="dxa"/>
              <w:right w:w="100" w:type="dxa"/>
            </w:tcMar>
            <w:shd w:fill="F3F6F8"/>
          </w:tcPr>
          <w:p>
            <w:pPr>
              <w:keepNext w:val="0"/>
              <w:spacing w:before="0" w:after="20" w:line="252" w:lineRule="auto"/>
            </w:pPr>
            <w:r>
              <w:rPr>
                <w:b w:val="0"/>
                <w:color w:val="000000"/>
                <w:sz w:val="21"/>
              </w:rPr>
              <w:t>Verificar la copia, preparar git add ., revisar y crear commit. -Publicar también hace push; usar cuando la entrega esté revisada.</w:t>
            </w:r>
          </w:p>
        </w:tc>
      </w:tr>
    </w:tbl>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Windows / Linux x64 · Edición 10/10/2026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SGD INIA  |  Instalación portable PostgreSQL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andoSGD">
    <w:name w:val="Comando SGD"/>
    <w:pPr>
      <w:keepLines/>
      <w:spacing w:before="60" w:after="12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 SGD INIA PostgreSQL</dc:title>
  <dc:subject>Procedimiento Windows y Linux con PostgreSQL nativo</dc:subject>
  <dc:creator>INIA · Preparación técnica SGD</dc:creator>
  <cp:keywords/>
  <dc:description>generated by python-docx</dc:description>
  <cp:lastModifiedBy/>
  <cp:revision>1</cp:revision>
  <dcterms:created xsi:type="dcterms:W3CDTF">2013-12-23T23:15:00Z</dcterms:created>
  <dcterms:modified xsi:type="dcterms:W3CDTF">2013-12-23T23:15:00Z</dcterms:modified>
  <cp:category/>
</cp:coreProperties>
</file>