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SGD INIA · PostgreSQL</w:t>
      </w:r>
    </w:p>
    <w:p>
      <w:r>
        <w:t>Edición 8 de octubre de 2026. Windows x64 y Linux x64. PostgreSQL nativo: los equipos de destino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y WAR. No requiere instalar globalmente estos programas ni conectarse a Internet para la compilación inicial.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 lanzador conserva la ventana al terminar. Alternativa PowerShell con política limitada al proceso:</w:t>
      </w:r>
    </w:p>
    <w:p>
      <w:pPr>
        <w:keepLines/>
        <w:spacing w:line="240" w:lineRule="auto" w:before="80" w:after="180"/>
      </w:pPr>
      <w:r>
        <w:rPr>
          <w:rFonts w:ascii="Consolas" w:hAnsi="Consolas"/>
          <w:sz w:val="18"/>
        </w:rPr>
        <w:t>powershell -NoProfile -ExecutionPolicy Bypass -File .\SGD.ps1 todo</w:t>
      </w:r>
    </w:p>
    <w:p>
      <w:r>
        <w:t>El instalador compila ocho aplicaciones desde fuentes, inicializa PostgreSQL con initdb, arranca el motor con pg_ctl, crea la base, carga SQL en una transacción, configura Payara y JDBC, despliega y verifica los accesos. Se detiene ante el primer error y muestra el log pertinente. No necesita Docker, WSL ni una VM en el servidor destino.</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debe tener escritura en toda la carpeta. Para acceso de otros equipos, autorizar el puerto HTTP elegido en el firewall del servidor. PostgreSQL y administración escuchan localmente por defecto. No hace falta ejecutar como administrador para usar los puertos predeterminados.</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nueve carpetas principales son: fuentes (código editable), java (JDK de ambos sistemas), payara (servidor normal, respaldo ZIP, plantillas y driver), herramientas (Python, Maven, repositorio offline y utilidades), bd (motor nativo, tres SQL y originales), binarios (WAR generados y reserva del proveedor), datos (base, documentos y claves), logs (resultado de operaciones) y manual (esta guía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Compilar genera los WAR en binarios; no actualiza la aplicación que está ejecutando Payara. Desplegar reemplaza las aplicaciones por esos WAR y verificar comprueba sus accesos. Conservar la base y los documentos; no repetir la instalación inicial para publicar cambios de código.</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entregado. Para generar otro ZIP tras cambios de fuentes, ejecutar SGD.bat empaquetar o bash SGD.sh empaquetar. Se crea SGD-INIA-INSTALL_PG-PORTABLE.zip junto a la carpeta, con archivo SHA256. Excluye base activa, claves, documentos, target y despliegues antiguos. El destino recompila y crea nuevas claves.</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La selección se marca después en usuarios-verificados.csv: incluir_sgd=1 para incluir e incluir_sgd=0 para excluir cesados, cuentas genéricas o personas sin autorización. Conservar los registros del sistema anterior.</w:t>
      </w:r>
    </w:p>
    <w:p>
      <w:pPr>
        <w:spacing w:after="140"/>
      </w:pPr>
      <w:r>
        <w:rPr>
          <w:rFonts w:ascii="Calibri" w:hAnsi="Calibri"/>
          <w:sz w:val="21"/>
        </w:rPr>
        <w:t>3. Abrir bd/Exportar-Area-SQLServer.sql e indicar únicamente @Oficina con el código del área. Ejecutar el archivo completo y guardar sus cinco resultados. No hay una lista adicional de IDs que completar. La revisión y selección se realizan en el CSV preparado.</w:t>
      </w:r>
    </w:p>
    <w:p>
      <w:pPr>
        <w:spacing w:after="140"/>
      </w:pPr>
      <w:r>
        <w:rPr>
          <w:rFonts w:ascii="Calibri" w:hAnsi="Calibri"/>
          <w:sz w:val="21"/>
        </w:rPr>
        <w:t>4. Crear datos/exportacion-uti. Ejecutar SQL sólo muestra cuadrículas; todavía no crea archivos. En cada resultado usar clic derecho, Guardar resultados como, tipo CSV. Se admite sin encabezados: no hace falta copiar y pegar ni cambiar opciones de SSMS. Mantener el orden de columnas del tercer SQL y guardar cada resultado con su nombre correspondiente.</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br/>
        <w:t>2 oficinas.csv</w:t>
        <w:br/>
        <w:t>3 trabajadores.csv</w:t>
        <w:br/>
        <w:t>4 perfiles.csv</w:t>
        <w:br/>
        <w:t>5 asignaciones.csv</w:t>
      </w:r>
    </w:p>
    <w:p>
      <w:pPr>
        <w:spacing w:after="140"/>
      </w:pPr>
      <w:r>
        <w:rPr>
          <w:rFonts w:ascii="Calibri" w:hAnsi="Calibri"/>
          <w:sz w:val="21"/>
        </w:rPr>
        <w:t>Conservar los cinco originales, con o sin encabezados, sin claves ni hashes. datos está excluido de Git. El preparador no modifica los originales y crea el CSV preparado con encabezados e incluir_sgd.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el CSV y seleccionar personas</w:t>
      </w:r>
    </w:p>
    <w:p>
      <w:pPr>
        <w:spacing w:after="140"/>
      </w:pPr>
      <w:r>
        <w:rPr>
          <w:rFonts w:ascii="Calibri" w:hAnsi="Calibri"/>
          <w:sz w:val="21"/>
        </w:rPr>
        <w:t>Guardar los cinco CSV en datos/exportacion-uti. Se admiten con o sin encabezados. Mantener el orden del tercer SQL: ubicaciones 4 columnas, oficinas 11, trabajadores 16, perfiles 3 y asignaciones 4. El preparador no modifica los originales ni conecta a bases.</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El comando crea datos/carga-uti-preparada con cuatro archivos. Abrir usuarios-verificados.csv para revisar personas y area.json para completar el área. pendientes.csv y LEEME.txt son ayudas de revisión. No volver a ejecutar la preparación sobre una carpeta ya revisada; el utilitario impide sobrescribirla.</w:t>
      </w:r>
    </w:p>
    <w:p>
      <w:pPr>
        <w:spacing w:after="140"/>
      </w:pPr>
      <w:r>
        <w:rPr>
          <w:rFonts w:ascii="Calibri" w:hAnsi="Calibri"/>
          <w:sz w:val="21"/>
        </w:rPr>
        <w:t>En usuarios-verificados.csv, incluir_sgd=0 excluye a la persona aunque conserve verificado=NO. incluir_sgd=1 la selecciona; sólo marcar verificado=SI después de revisar identidad, cargo y permisos. Excluir cesados, cuentas genéricas y personas no autorizadas. No elimina sus registros del origen.</w:t>
      </w:r>
    </w:p>
    <w:p>
      <w:pPr>
        <w:spacing w:after="140"/>
      </w:pPr>
      <w:r>
        <w:rPr>
          <w:rFonts w:ascii="Calibri" w:hAnsi="Calibri"/>
          <w:sz w:val="21"/>
        </w:rPr>
        <w:t>Seleccionar personas es sólo el primer paso. Antes de cargar, completar los campos indicados en la página siguiente. Una fila con 1 necesita todos sus datos obligatorios; una fila con 0 se omite. El CSV preparado se guarda en UTF-8 separado por coma y conserva los encabezados.</w:t>
      </w:r>
    </w:p>
    <w:p>
      <w:pPr>
        <w:spacing w:after="140"/>
      </w:pPr>
      <w:r>
        <w:rPr>
          <w:rFonts w:ascii="Calibri" w:hAnsi="Calibri"/>
          <w:sz w:val="21"/>
        </w:rPr>
        <w:t>Para otra área o una nueva exportación, elegir carpetas diferentes: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Los CSV anteriores sin incluir_sgd siguen siendo compatibles: sus filas se consideran incluidas. Para usar el selector añadir incluir_sgd al final del encabezado y 1 o 0 al final de cada fila. Las nuevas plantillas ya lo generan.</w:t>
      </w:r>
    </w:p>
    <w:p>
      <w:pPr>
        <w:spacing w:after="140"/>
      </w:pPr>
      <w:r>
        <w:rPr>
          <w:rFonts w:ascii="Calibri" w:hAnsi="Calibri"/>
          <w:sz w:val="21"/>
        </w:rPr>
        <w:t>Conservar datos en privado y fuera de Git. La preparación y las 25 pruebas offline no equivalen a una carga real ni a la aceptación del ciclo documental.</w:t>
      </w:r>
    </w:p>
    <w:p>
      <w:pPr>
        <w:pStyle w:val="Heading1"/>
        <w:keepNext/>
        <w:pageBreakBefore/>
        <w:spacing w:after="140"/>
      </w:pPr>
      <w:r>
        <w:rPr>
          <w:rFonts w:ascii="Calibri" w:hAnsi="Calibri"/>
          <w:sz w:val="30"/>
        </w:rPr>
        <w:t>12 Completar datos y validar antes de cargar</w:t>
      </w:r>
    </w:p>
    <w:p>
      <w:pPr>
        <w:spacing w:after="140"/>
      </w:pPr>
      <w:r>
        <w:rPr>
          <w:rFonts w:ascii="Calibri" w:hAnsi="Calibri"/>
          <w:sz w:val="21"/>
        </w:rPr>
        <w:t>Completar estos campos en datos/carga-uti-preparada. La herramienta no puede inventar DNI, cargos ni responsables. No es necesario volver a exportar ni cambiar los SQL para completar esta revisión.</w:t>
      </w:r>
    </w:p>
    <w:p>
      <w:pPr>
        <w:spacing w:after="140"/>
      </w:pPr>
      <w:r>
        <w:rPr>
          <w:rFonts w:ascii="Calibri" w:hAnsi="Calibri"/>
          <w:sz w:val="21"/>
        </w:rPr>
        <w:t>Archivo area.json</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nombre_corto</w:t>
            </w:r>
          </w:p>
        </w:tc>
        <w:tc>
          <w:tcPr>
            <w:tcW w:type="dxa" w:w="4968"/>
          </w:tcPr>
          <w:p>
            <w:pPr>
              <w:spacing w:after="80"/>
            </w:pPr>
            <w:r>
              <w:rPr>
                <w:rFonts w:ascii="Calibri" w:hAnsi="Calibri"/>
                <w:sz w:val="20"/>
              </w:rPr>
              <w:t>UTI para esta área; máximo 20 caracteres.</w:t>
            </w:r>
          </w:p>
        </w:tc>
      </w:tr>
      <w:tr>
        <w:tc>
          <w:tcPr>
            <w:tcW w:type="dxa" w:w="4968"/>
          </w:tcPr>
          <w:p>
            <w:pPr>
              <w:spacing w:after="80"/>
            </w:pPr>
            <w:r>
              <w:rPr>
                <w:rFonts w:ascii="Calibri" w:hAnsi="Calibri"/>
                <w:sz w:val="20"/>
              </w:rPr>
              <w:t>titular_empleado</w:t>
            </w:r>
          </w:p>
        </w:tc>
        <w:tc>
          <w:tcPr>
            <w:tcW w:type="dxa" w:w="4968"/>
          </w:tcPr>
          <w:p>
            <w:pPr>
              <w:spacing w:after="80"/>
            </w:pPr>
            <w:r>
              <w:rPr>
                <w:rFonts w:ascii="Calibri" w:hAnsi="Calibri"/>
                <w:sz w:val="20"/>
              </w:rPr>
              <w:t>Código de cinco dígitos, tomado de codigo_empleado del responsable incluido en el CSV. No usar su DNI ni nombre de usuario.</w:t>
            </w:r>
          </w:p>
        </w:tc>
      </w:tr>
      <w:tr>
        <w:tc>
          <w:tcPr>
            <w:tcW w:type="dxa" w:w="4968"/>
          </w:tcPr>
          <w:p>
            <w:pPr>
              <w:spacing w:after="80"/>
            </w:pPr>
            <w:r>
              <w:rPr>
                <w:rFonts w:ascii="Calibri" w:hAnsi="Calibri"/>
                <w:sz w:val="20"/>
              </w:rPr>
              <w:t>sede.direccion</w:t>
            </w:r>
          </w:p>
        </w:tc>
        <w:tc>
          <w:tcPr>
            <w:tcW w:type="dxa" w:w="4968"/>
          </w:tcPr>
          <w:p>
            <w:pPr>
              <w:spacing w:after="80"/>
            </w:pPr>
            <w:r>
              <w:rPr>
                <w:rFonts w:ascii="Calibri" w:hAnsi="Calibri"/>
                <w:sz w:val="20"/>
              </w:rPr>
              <w:t>Dirección real de la sede, dentro del objeto sede. No sustituir todo el objeto.</w:t>
            </w:r>
          </w:p>
        </w:tc>
      </w:tr>
      <w:tr>
        <w:tc>
          <w:tcPr>
            <w:tcW w:type="dxa" w:w="4968"/>
          </w:tcPr>
          <w:p>
            <w:pPr>
              <w:spacing w:after="80"/>
            </w:pPr>
            <w:r>
              <w:rPr>
                <w:rFonts w:ascii="Calibri" w:hAnsi="Calibri"/>
                <w:sz w:val="20"/>
              </w:rPr>
              <w:t>verificado_por</w:t>
            </w:r>
          </w:p>
        </w:tc>
        <w:tc>
          <w:tcPr>
            <w:tcW w:type="dxa" w:w="4968"/>
          </w:tcPr>
          <w:p>
            <w:pPr>
              <w:spacing w:after="80"/>
            </w:pPr>
            <w:r>
              <w:rPr>
                <w:rFonts w:ascii="Calibri" w:hAnsi="Calibri"/>
                <w:sz w:val="20"/>
              </w:rPr>
              <w:t>Nombre de la persona que revisó y aprobó la carga.</w:t>
            </w:r>
          </w:p>
        </w:tc>
      </w:tr>
      <w:tr>
        <w:tc>
          <w:tcPr>
            <w:tcW w:type="dxa" w:w="4968"/>
          </w:tcPr>
          <w:p>
            <w:pPr>
              <w:spacing w:after="80"/>
            </w:pPr>
            <w:r>
              <w:rPr>
                <w:rFonts w:ascii="Calibri" w:hAnsi="Calibri"/>
                <w:sz w:val="20"/>
              </w:rPr>
              <w:t>aprobado</w:t>
            </w:r>
          </w:p>
        </w:tc>
        <w:tc>
          <w:tcPr>
            <w:tcW w:type="dxa" w:w="4968"/>
          </w:tcPr>
          <w:p>
            <w:pPr>
              <w:spacing w:after="80"/>
            </w:pPr>
            <w:r>
              <w:rPr>
                <w:rFonts w:ascii="Calibri" w:hAnsi="Calibri"/>
                <w:sz w:val="20"/>
              </w:rPr>
              <w:t>SI sólo al terminar de revisar el área, las personas y los permisos.</w:t>
            </w:r>
          </w:p>
        </w:tc>
      </w:tr>
    </w:tbl>
    <w:p>
      <w:pPr>
        <w:spacing w:after="140"/>
      </w:pPr>
      <w:r>
        <w:rPr>
          <w:rFonts w:ascii="Calibri" w:hAnsi="Calibri"/>
          <w:sz w:val="21"/>
        </w:rPr>
        <w:t>Revisar padre, nivel y tipos documentales. El padre 00000 es provisional del laboratorio. Consultar bd/Consultar-Catalogos-Piloto-PostgreSQL.sql: resultado 2 = sedes; resultado 3 = cargos. Conservar la misma equivalencia de empleado entre áreas.</w:t>
      </w:r>
    </w:p>
    <w:p>
      <w:pPr>
        <w:spacing w:after="140"/>
      </w:pPr>
      <w:r>
        <w:rPr>
          <w:rFonts w:ascii="Calibri" w:hAnsi="Calibri"/>
          <w:sz w:val="21"/>
        </w:rPr>
        <w:t>Sede 001: la instalación nueva crea directamente el nombre y dirección reales de la sede central. En bases anteriores, Cargar-Area actualiza automáticamente sólo el registro provisional INSTALACION LOCAL INIA / PENDIENTE, activo y creado por admin, con los datos aprobados en area.json. Se aplica dentro del respaldo y la transacción de la carga; un error revierte también la sede. Otros datos incompatibles se rechazan. No cambia el código ni sus relaciones. No ejecutar un SQL previo ni reinstalar. bd/Actualizar-Sede-Piloto-PostgreSQL.sql queda sólo como alternativa manual de recuperación para la sede central en PostgreSQL.</w:t>
      </w:r>
    </w:p>
    <w:p>
      <w:pPr>
        <w:spacing w:after="140"/>
      </w:pPr>
      <w:r>
        <w:rPr>
          <w:rFonts w:ascii="Calibri" w:hAnsi="Calibri"/>
          <w:sz w:val="21"/>
        </w:rPr>
        <w:t>Archivo usuarios-verificados.csv, sólo filas con incluir_sgd=1</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dni</w:t>
            </w:r>
          </w:p>
        </w:tc>
        <w:tc>
          <w:tcPr>
            <w:tcW w:type="dxa" w:w="4968"/>
          </w:tcPr>
          <w:p>
            <w:pPr>
              <w:spacing w:after="80"/>
            </w:pPr>
            <w:r>
              <w:rPr>
                <w:rFonts w:ascii="Calibri" w:hAnsi="Calibri"/>
                <w:sz w:val="20"/>
              </w:rPr>
              <w:t>DNI real de ocho dígitos. Conservar ceros iniciales; no inventar ni usar 00000000.</w:t>
            </w:r>
          </w:p>
        </w:tc>
      </w:tr>
      <w:tr>
        <w:tc>
          <w:tcPr>
            <w:tcW w:type="dxa" w:w="4968"/>
          </w:tcPr>
          <w:p>
            <w:pPr>
              <w:spacing w:after="80"/>
            </w:pPr>
            <w:r>
              <w:rPr>
                <w:rFonts w:ascii="Calibri" w:hAnsi="Calibri"/>
                <w:sz w:val="20"/>
              </w:rPr>
              <w:t>apellido_paterno / apellido_materno</w:t>
            </w:r>
          </w:p>
        </w:tc>
        <w:tc>
          <w:tcPr>
            <w:tcW w:type="dxa" w:w="4968"/>
          </w:tcPr>
          <w:p>
            <w:pPr>
              <w:spacing w:after="80"/>
            </w:pPr>
            <w:r>
              <w:rPr>
                <w:rFonts w:ascii="Calibri" w:hAnsi="Calibri"/>
                <w:sz w:val="20"/>
              </w:rPr>
              <w:t>Separar y confirmar los apellidos completos conservados por el preparador.</w:t>
            </w:r>
          </w:p>
        </w:tc>
      </w:tr>
      <w:tr>
        <w:tc>
          <w:tcPr>
            <w:tcW w:type="dxa" w:w="4968"/>
          </w:tcPr>
          <w:p>
            <w:pPr>
              <w:spacing w:after="80"/>
            </w:pPr>
            <w:r>
              <w:rPr>
                <w:rFonts w:ascii="Calibri" w:hAnsi="Calibri"/>
                <w:sz w:val="20"/>
              </w:rPr>
              <w:t>cargo_codigo / cargo_nombre</w:t>
            </w:r>
          </w:p>
        </w:tc>
        <w:tc>
          <w:tcPr>
            <w:tcW w:type="dxa" w:w="4968"/>
          </w:tcPr>
          <w:p>
            <w:pPr>
              <w:spacing w:after="80"/>
            </w:pPr>
            <w:r>
              <w:rPr>
                <w:rFonts w:ascii="Calibri" w:hAnsi="Calibri"/>
                <w:sz w:val="20"/>
              </w:rPr>
              <w:t>Código de cargo de cuatro dígitos y denominación real. Si el cargo existe en destino, usar sus datos exactos.</w:t>
            </w:r>
          </w:p>
        </w:tc>
      </w:tr>
      <w:tr>
        <w:tc>
          <w:tcPr>
            <w:tcW w:type="dxa" w:w="4968"/>
          </w:tcPr>
          <w:p>
            <w:pPr>
              <w:spacing w:after="80"/>
            </w:pPr>
            <w:r>
              <w:rPr>
                <w:rFonts w:ascii="Calibri" w:hAnsi="Calibri"/>
                <w:sz w:val="20"/>
              </w:rPr>
              <w:t>perfil</w:t>
            </w:r>
          </w:p>
        </w:tc>
        <w:tc>
          <w:tcPr>
            <w:tcW w:type="dxa" w:w="4968"/>
          </w:tcPr>
          <w:p>
            <w:pPr>
              <w:spacing w:after="80"/>
            </w:pPr>
            <w:r>
              <w:rPr>
                <w:rFonts w:ascii="Calibri" w:hAnsi="Calibri"/>
                <w:sz w:val="20"/>
              </w:rPr>
              <w:t>USUARIO_AREA para permisos básicos de la propuesta; SOPORTE_UTI sólo para soporte autorizado, pues concede administrador. Revisar las opciones en area.json.</w:t>
            </w:r>
          </w:p>
        </w:tc>
      </w:tr>
      <w:tr>
        <w:tc>
          <w:tcPr>
            <w:tcW w:type="dxa" w:w="4968"/>
          </w:tcPr>
          <w:p>
            <w:pPr>
              <w:spacing w:after="80"/>
            </w:pPr>
            <w:r>
              <w:rPr>
                <w:rFonts w:ascii="Calibri" w:hAnsi="Calibri"/>
                <w:sz w:val="20"/>
              </w:rPr>
              <w:t>verificado</w:t>
            </w:r>
          </w:p>
        </w:tc>
        <w:tc>
          <w:tcPr>
            <w:tcW w:type="dxa" w:w="4968"/>
          </w:tcPr>
          <w:p>
            <w:pPr>
              <w:spacing w:after="80"/>
            </w:pPr>
            <w:r>
              <w:rPr>
                <w:rFonts w:ascii="Calibri" w:hAnsi="Calibri"/>
                <w:sz w:val="20"/>
              </w:rPr>
              <w:t>SI después de revisar esa persona; mantener 0 en incluir_sgd si no debe ingresar.</w:t>
            </w:r>
          </w:p>
        </w:tc>
      </w:tr>
    </w:tbl>
    <w:p>
      <w:pPr>
        <w:spacing w:after="140"/>
      </w:pPr>
      <w:r>
        <w:rPr>
          <w:rFonts w:ascii="Calibri" w:hAnsi="Calibri"/>
          <w:sz w:val="21"/>
        </w:rPr>
        <w:t>Guardar ambos archivos. Validar sin cargar ni consultar bases:</w:t>
      </w:r>
    </w:p>
    <w:p>
      <w:pPr>
        <w:spacing w:after="140"/>
      </w:pPr>
      <w:r>
        <w:rPr>
          <w:rFonts w:ascii="Consolas" w:hAnsi="Consolas"/>
          <w:sz w:val="18"/>
        </w:rPr>
        <w:t>.\Cargar-Area.bat --carpeta datos\carga-uti-preparada</w:t>
        <w:br/>
        <w:t>bash Cargar-Area.sh --carpeta datos/carga-uti-preparada</w:t>
      </w:r>
    </w:p>
    <w:p>
      <w:pPr>
        <w:spacing w:after="140"/>
      </w:pPr>
      <w:r>
        <w:rPr>
          <w:rFonts w:ascii="Calibri" w:hAnsi="Calibri"/>
          <w:sz w:val="21"/>
        </w:rPr>
        <w:t>Si aparece ERROR, corregir el campo señalado y repetir la validación. Si genera el plan correctamente, revisar revision.json y seguir la página siguiente para aplicar personalmente. No ejecutar plan.sql manualmente.</w:t>
      </w:r>
    </w:p>
    <w:p>
      <w:pPr>
        <w:pStyle w:val="Heading1"/>
        <w:pageBreakBefore/>
      </w:pPr>
      <w:r>
        <w:t>13 Aplicar y retirar un área del piloto</w:t>
      </w:r>
    </w:p>
    <w:p>
      <w:pPr>
        <w:spacing w:after="140"/>
      </w:pPr>
      <w:r>
        <w:t>Primero revisar los archivos y el plan. Aplicar en mantenimiento, con PostgreSQL iniciado y usuarios fuera de la aplicación. Para una instalación completa en un mismo equipo, detener el SGD y arrancar sólo su base:</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t>Carga aprobada en Windows o Linux. Sustituir 51001 por el código de tu área:</w:t>
      </w:r>
    </w:p>
    <w:p>
      <w:pPr>
        <w:keepLines/>
        <w:spacing w:after="140"/>
      </w:pPr>
      <w:r>
        <w:rPr>
          <w:rFonts w:ascii="Consolas" w:hAnsi="Consolas"/>
          <w:sz w:val="18"/>
        </w:rPr>
        <w:t>.\Cargar-Area.bat --carpeta datos\carga-uti-preparada --aplicar --confirmar CARGAR:51001</w:t>
        <w:br/>
        <w:t>bash Cargar-Area.sh --carpeta datos/carga-uti-preparada --aplicar --confirmar CARGAR:51001</w:t>
      </w:r>
    </w:p>
    <w:p>
      <w:pPr>
        <w:spacing w:after="140"/>
      </w:pPr>
      <w:r>
        <w:t>Antes del cambio se crea un respaldo completo y su SHA-256. La carga se aplica en una transacción y registra procedencia. Si falta la librería de cifrado, compilar primero con SGD.bat compilar o bash SGD.sh compilar. Revisar resultado.json y CLAVES-GENERADAS-PRIVADAS.json en la carpeta privada indicada; sólo las cuentas nuevas reciben esas claves. Las existentes conservan su contraseña. No distribuir claves de una ejecución fallida.</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Limpiar-BD sólo retira el área seleccionada cargada con este utilitario. Primero preparar su plan sin consultar la base:</w:t>
      </w:r>
    </w:p>
    <w:p>
      <w:pPr>
        <w:keepLines/>
        <w:spacing w:after="140"/>
      </w:pPr>
      <w:r>
        <w:rPr>
          <w:rFonts w:ascii="Consolas" w:hAnsi="Consolas"/>
          <w:sz w:val="20"/>
        </w:rPr>
        <w:t>.\Limpiar-BD.bat --area 51001</w:t>
      </w:r>
      <w:r>
        <w:br/>
      </w:r>
      <w:r>
        <w:rPr>
          <w:rFonts w:ascii="Consolas" w:hAnsi="Consolas"/>
          <w:sz w:val="20"/>
        </w:rPr>
        <w:t>bash Limpiar-BD.sh --area 51001</w:t>
      </w:r>
    </w:p>
    <w:p>
      <w:pPr>
        <w:spacing w:after="140"/>
      </w:pPr>
      <w:r>
        <w:t>Después de tu revisión, aplicar el retiro en mantenimiento:</w:t>
      </w:r>
    </w:p>
    <w:p>
      <w:pPr>
        <w:keepLines/>
        <w:spacing w:after="140"/>
      </w:pPr>
      <w:r>
        <w:rPr>
          <w:rFonts w:ascii="Consolas" w:hAnsi="Consolas"/>
          <w:sz w:val="20"/>
        </w:rPr>
        <w:t>.\Limpiar-BD.bat --area 51001 --aplicar --confirmar RETIRAR:51001</w:t>
      </w:r>
      <w:r>
        <w:br/>
      </w:r>
      <w:r>
        <w:rPr>
          <w:rFonts w:ascii="Consolas" w:hAnsi="Consolas"/>
          <w:sz w:val="20"/>
        </w:rPr>
        <w:t>bash Limpiar-BD.sh --area 51001 --aplicar --confirmar RETIRAR:51001</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p>
    <w:p>
      <w:pPr>
        <w:spacing w:after="140"/>
      </w:pPr>
      <w:r>
        <w:rPr>
          <w:rFonts w:ascii="Calibri" w:hAnsi="Calibri"/>
          <w:sz w:val="21"/>
        </w:rPr>
        <w:t>Al terminar arrancar la aplicación con SGD.bat iniciar o bash SGD.sh iniciar y probar personalmente accesos, permisos y el recorrido del documento. No repetir los SQL de instalación inicial. Pasan 25 pruebas offline y 7 pruebas en PostgreSQL 17.11 temporal con datos ficticios: instalación, carga, actualización de sede, repetición, reversión y retiro protegido. Tus CSV aún no se han cargado. Esta primera etapa será sin firma obligatoria: conservar firma=false en los perfiles. La configuración actual permite emitir sin firma digital; no activa ni prueba certificados.</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08/10/2026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