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drawing>
          <wp:inline distT="0" distB="0" distL="0" distR="0">
            <wp:extent cx="2857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20"/>
        <w:jc w:val="center"/>
      </w:pPr>
      <w:r>
        <w:rPr>
          <w:b/>
          <w:bCs/>
          <w:color w:val="1B3A5B"/>
          <w:sz w:val="72"/>
          <w:szCs w:val="72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⚠️ </w:t>
      </w:r>
      <w:r>
        <w:rPr>
          <w:b/>
          <w:bCs/>
          <w:i/>
          <w:iCs/>
          <w:color w:val="333333"/>
        </w:rPr>
        <w:t xml:space="preserve">Superseded.</w:t>
      </w:r>
      <w:r>
        <w:rPr>
          <w:i/>
          <w:iCs/>
          <w:color w:val="333333"/>
        </w:rPr>
        <w:t xml:space="preserve"> This is v1.0 (23 July 2026). The current document is </w:t>
      </w:r>
      <w:r>
        <w:rPr>
          <w:b/>
          <w:bCs/>
          <w:i/>
          <w:iCs/>
          <w:color w:val="333333"/>
        </w:rPr>
        <w:t xml:space="preserve">`Medra_PRD_v2.0.md`</w:t>
      </w:r>
      <w:r>
        <w:rPr>
          <w:i/>
          <w:iCs/>
          <w:color w:val="333333"/>
        </w:rPr>
        <w:t xml:space="preserve">, which adds the clinical chain (nurse, laboratory, pharmacy), the organisation module, verification state on health data, the scoped external-access link, and the widened identity model. Kept for history.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 v1.0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July 2026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(call transcript, 10 Jul 2026)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three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patient-facing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doctors, hold patient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patient owns a continuous, structured record (diagnoses, prescriptions, results, recommendations) that any authorised doctor can read to make safer decisions.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Nomenclature:</w:t>
      </w:r>
      <w:r>
        <w:rPr>
          <w:i/>
          <w:iCs/>
          <w:color w:val="333333"/>
        </w:rPr>
        <w:t xml:space="preserve"> people who use Medra for their own care are </w:t>
      </w:r>
      <w:r>
        <w:rPr>
          <w:b/>
          <w:bCs/>
          <w:i/>
          <w:iCs/>
          <w:color w:val="333333"/>
        </w:rPr>
        <w:t xml:space="preserve">members</w:t>
      </w:r>
      <w:r>
        <w:rPr>
          <w:i/>
          <w:iCs/>
          <w:color w:val="333333"/>
        </w:rPr>
        <w:t xml:space="preserve">, not "patients". "Patient" is reserved for the </w:t>
      </w:r>
      <w:r>
        <w:rPr>
          <w:i/>
          <w:iCs/>
          <w:color w:val="333333"/>
        </w:rPr>
        <w:t xml:space="preserve">clinical</w:t>
      </w:r>
      <w:r>
        <w:rPr>
          <w:i/>
          <w:iCs/>
          <w:color w:val="333333"/>
        </w:rPr>
        <w:t xml:space="preserve"> context — a doctor's patient list, a consultation note. This keeps the product respectful of people who are simply managing their health, not sick.</w:t>
      </w:r>
    </w:p>
    <w:p>
      <w:pPr>
        <w:spacing w:after="100"/>
      </w:pPr>
      <w:r>
        <w:rPr>
          <w:b/>
          <w:bCs/>
        </w:rPr>
        <w:t xml:space="preserve">Member ("patient" only in clinical context)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t xml:space="preserve">Five roles. 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Patient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 / Staff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Institution Admin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Private Practitioner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institutions/practitioners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 / cancel own appointment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medical history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assigned patient</w:t>
            </w:r>
            <w:r>
              <w:t xml:space="preserve"> history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(manage)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 / prescription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Set availability / calendar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(for staff)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Confirm/decline/complete/no-show booking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booking to a doctor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staff (roles &amp; permissions)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subscription/billing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Internal staff messaging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Approve institutions / verify MDCN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Configure subscription plans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Open item:</w:t>
      </w:r>
      <w:r>
        <w:rPr>
          <w:i/>
          <w:iCs/>
          <w:color w:val="333333"/>
        </w:rPr>
        <w:t xml:space="preserve"> institution staff roles beyond "doctor" — nurses, receptionists, lab techs — may need distinct permission sets. Confirm before finalising the RBAC matrix (see §17).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Minimum (login, allocate, staff basics)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staff mgmt, multi-branch,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nine modules (source: Medra MVP Feature Set).</w:t>
      </w:r>
    </w:p>
    <w:p>
      <w:pPr>
        <w:pStyle w:val="Heading3"/>
        <w:spacing w:after="60" w:before="180"/>
      </w:pPr>
      <w:r>
        <w:t xml:space="preserve">Module 1 — Authentication </w:t>
      </w:r>
      <w:r>
        <w:rPr>
          <w:i/>
          <w:iCs/>
        </w:rPr>
        <w:t xml:space="preserve">(foundation)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registration (phone number + OTP).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registration (with document verification — practice licences).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Facility admin login.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 (patient → home, doctor → dashboard, admin → portal).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Patient</w:t>
      </w:r>
      <w:r>
        <w:t xml:space="preserve">, </w:t>
      </w:r>
      <w:r>
        <w:rPr>
          <w:b/>
          <w:bCs/>
        </w:rPr>
        <w:t xml:space="preserve">Doctor/Staff</w:t>
      </w:r>
      <w:r>
        <w:t xml:space="preserve">, </w:t>
      </w:r>
      <w:r>
        <w:rPr>
          <w:b/>
          <w:bCs/>
        </w:rPr>
        <w:t xml:space="preserve">InstitutionAdmin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Staff (Doctor/Admin)</w:t>
      </w:r>
      <w:r>
        <w:t xml:space="preserve">; ── has one ──&gt; </w:t>
      </w:r>
      <w:r>
        <w:rPr>
          <w:b/>
          <w:bCs/>
        </w:rPr>
        <w:t xml:space="preserve">Subscription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app:</w:t>
      </w:r>
      <w:r>
        <w:t xml:space="preserve"> Onboarding/Auth · Home/Search · Filters · Provider Profile · Booking Flow (slot → type → confirm) · Dashboard (upcoming/past) · Medical History (timeline → detail) · Profile/Settings/Notifications.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Doctor/Practitioner view:</w:t>
      </w:r>
      <w:r>
        <w:t xml:space="preserve"> Auth/Enrolment · Daily Dashboard/Queue · Patient Record (read + write) · Availability/Calendar · Profile/Settings.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Admin portal:</w:t>
      </w:r>
      <w:r>
        <w:t xml:space="preserve"> Registration/Plan selection · Admin Dashboard · Booking Management/Allocation · Staff Management · Patient Records · Internal Messaging · Multi-branch view · Subscription/Billing.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Institution Approval/Onboarding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Style w:val="Heading3"/>
        <w:spacing w:after="60" w:before="180"/>
      </w:pPr>
      <w:r>
        <w:t xml:space="preserve">15.1 Design progress (as built in Figma)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Screens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Frames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Figma pages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user journeys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27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Authentication (all four roles)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35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70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1 — Find &amp; Book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2 — Visits · Records · Medicines · Profile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108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app — full module (rebuilt)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239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8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Every screen is drawn at </w:t>
      </w:r>
      <w:r>
        <w:rPr>
          <w:b/>
          <w:bCs/>
        </w:rPr>
        <w:t xml:space="preserve">1440 desktop and 390 mobile</w:t>
      </w:r>
      <w:r>
        <w:t xml:space="preserve">, wired into a clickable prototype with a</w:t>
      </w:r>
    </w:p>
    <w:p>
      <w:pPr>
        <w:spacing w:after="100"/>
      </w:pPr>
      <w:r>
        <w:t xml:space="preserve">motion spec, and validated offline (tokens, icons, images, DSL rules) before rendering.</w:t>
      </w:r>
    </w:p>
    <w:p>
      <w:pPr>
        <w:pStyle w:val="Heading3"/>
        <w:spacing w:after="60" w:before="180"/>
      </w:pPr>
      <w:r>
        <w:t xml:space="preserve">15.2 Product decisions settled by the Member batch-2 designs</w:t>
      </w:r>
    </w:p>
    <w:p>
      <w:pPr>
        <w:spacing w:after="100"/>
      </w:pPr>
      <w:r>
        <w:t xml:space="preserve">These were open questions before the screens existed. They are now decided </w:t>
      </w:r>
      <w:r>
        <w:rPr>
          <w:b/>
          <w:bCs/>
        </w:rPr>
        <w:t xml:space="preserve">on the screen</w:t>
      </w:r>
      <w:r>
        <w:t xml:space="preserve">, and</w:t>
      </w:r>
    </w:p>
    <w:p>
      <w:pPr>
        <w:spacing w:after="100"/>
      </w:pPr>
      <w:r>
        <w:t xml:space="preserve">they need a build and a legal sign-off, not just a design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Nothing is shared by default.</w:t>
      </w:r>
      <w:r>
        <w:t xml:space="preserve"> A doctor sees a member's history only through an explicit,</w:t>
      </w:r>
    </w:p>
    <w:p>
      <w:pPr>
        <w:spacing w:after="100"/>
      </w:pPr>
      <w:r>
        <w:t xml:space="preserve">scoped, time-boxed grant: who · what (six categories) · how long (this visit / 24 h / 7 d /</w:t>
      </w:r>
    </w:p>
    <w:p>
      <w:pPr>
        <w:spacing w:after="100"/>
      </w:pPr>
      <w:r>
        <w:t xml:space="preserve">30 d). Revocation is immediate. Consent is recorded with a timestamp under </w:t>
      </w:r>
      <w:r>
        <w:rPr>
          <w:b/>
          <w:bCs/>
        </w:rPr>
        <w:t xml:space="preserve">NDPA 2023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Allergies and current medicines are the one exception</w:t>
      </w:r>
      <w:r>
        <w:t xml:space="preserve"> — always visible to any doctor</w:t>
      </w:r>
    </w:p>
    <w:p>
      <w:pPr>
        <w:spacing w:after="100"/>
      </w:pPr>
      <w:r>
        <w:t xml:space="preserve">treating the member, because the alternative is unsafe prescribing. The consent control for</w:t>
      </w:r>
    </w:p>
    <w:p>
      <w:pPr>
        <w:spacing w:after="100"/>
      </w:pPr>
      <w:r>
        <w:t xml:space="preserve">them reads as locked rather than pretending to be optional.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record-access log is append-only.</w:t>
      </w:r>
      <w:r>
        <w:t xml:space="preserve"> Every open is logged with who and when, and neither</w:t>
      </w:r>
    </w:p>
    <w:p>
      <w:pPr>
        <w:spacing w:after="100"/>
      </w:pPr>
      <w:r>
        <w:t xml:space="preserve">the member, the clinic, nor Medra can edit or delete it. It is the member's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Provenance is on every clinical record.</w:t>
      </w:r>
      <w:r>
        <w:t xml:space="preserve"> A consultation note carries the doctor's name,</w:t>
      </w:r>
    </w:p>
    <w:p>
      <w:pPr>
        <w:spacing w:after="100"/>
      </w:pPr>
      <w:r>
        <w:rPr>
          <w:b/>
          <w:bCs/>
        </w:rPr>
        <w:t xml:space="preserve">MDCN number</w:t>
      </w:r>
      <w:r>
        <w:t xml:space="preserve">, timestamp and "cannot be edited". Member-uploaded records are labelled</w:t>
      </w:r>
    </w:p>
    <w:p>
      <w:pPr>
        <w:spacing w:after="100"/>
      </w:pPr>
      <w:r>
        <w:t xml:space="preserve">"added by you", and member-taken vitals are labelled "self-measured", so a clinician can always</w:t>
      </w:r>
    </w:p>
    <w:p>
      <w:pPr>
        <w:spacing w:after="100"/>
      </w:pPr>
      <w:r>
        <w:t xml:space="preserve">tell what the record is worth.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Account deletion cannot delete clinic-held notes.</w:t>
      </w:r>
      <w:r>
        <w:t xml:space="preserve"> Nigerian medical-records retention binds</w:t>
      </w:r>
    </w:p>
    <w:p>
      <w:pPr>
        <w:spacing w:after="100"/>
      </w:pPr>
      <w:r>
        <w:t xml:space="preserve">the clinic, not Medra. The delete screen states plainly what disappears (profile, uploads,</w:t>
      </w:r>
    </w:p>
    <w:p>
      <w:pPr>
        <w:spacing w:after="100"/>
      </w:pPr>
      <w:r>
        <w:t xml:space="preserve">preferences, shares) and what is kept (clinic copies, payment records, the anonymised access</w:t>
      </w:r>
    </w:p>
    <w:p>
      <w:pPr>
        <w:spacing w:after="100"/>
      </w:pPr>
      <w:r>
        <w:t xml:space="preserve">log), with a 30-day grace period and a "pause instead" alternative.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SMS is the floor, not a fallback.</w:t>
      </w:r>
      <w:r>
        <w:t xml:space="preserve"> Visit confirmations always go out by SMS even with every</w:t>
      </w:r>
    </w:p>
    <w:p>
      <w:pPr>
        <w:spacing w:after="100"/>
      </w:pPr>
      <w:r>
        <w:t xml:space="preserve">other channel disabled, and </w:t>
      </w:r>
      <w:r>
        <w:rPr>
          <w:b/>
          <w:bCs/>
        </w:rPr>
        <w:t xml:space="preserve">Medra pays for the messages</w:t>
      </w:r>
      <w:r>
        <w:t xml:space="preserve">. Medicine reminders offer SMS for</w:t>
      </w:r>
    </w:p>
    <w:p>
      <w:pPr>
        <w:spacing w:after="100"/>
      </w:pPr>
      <w:r>
        <w:t xml:space="preserve">days with no data. This has a real unit cost — model it per active member per month.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video visit has a no-data escape hatch.</w:t>
      </w:r>
      <w:r>
        <w:t xml:space="preserve"> Pre-call and connection-lost both offer</w:t>
      </w:r>
    </w:p>
    <w:p>
      <w:pPr>
        <w:spacing w:after="100"/>
      </w:pPr>
      <w:r>
        <w:t xml:space="preserve">"ask the clinic to call my phone", plus a low-data mode (~12 MB per 20 minutes) and</w:t>
      </w:r>
    </w:p>
    <w:p>
      <w:pPr>
        <w:spacing w:after="100"/>
      </w:pPr>
      <w:r>
        <w:t xml:space="preserve">audio-only. A dropped call never loses the appointment.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Refills need a human.</w:t>
      </w:r>
      <w:r>
        <w:t xml:space="preserve"> A doctor approves or declines a refill request and may require a</w:t>
      </w:r>
    </w:p>
    <w:p>
      <w:pPr>
        <w:spacing w:after="100"/>
      </w:pPr>
      <w:r>
        <w:t xml:space="preserve">visit first. Requests carry a supply length, a collection choice (clinic pharmacy, nearby</w:t>
      </w:r>
    </w:p>
    <w:p>
      <w:pPr>
        <w:spacing w:after="100"/>
      </w:pPr>
      <w:r>
        <w:t xml:space="preserve">pharmacy, delivery) and an estimated cost.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 are first-class.</w:t>
      </w:r>
      <w:r>
        <w:t xml:space="preserve"> One member can hold records and bookings for a child or an</w:t>
      </w:r>
    </w:p>
    <w:p>
      <w:pPr>
        <w:spacing w:after="100"/>
      </w:pPr>
      <w:r>
        <w:t xml:space="preserve">older relative. A child's account </w:t>
      </w:r>
      <w:r>
        <w:rPr>
          <w:b/>
          <w:bCs/>
        </w:rPr>
        <w:t xml:space="preserve">transfers to them at 18</w:t>
      </w:r>
      <w:r>
        <w:t xml:space="preserve">; an adult must confirm by SMS</w:t>
      </w:r>
    </w:p>
    <w:p>
      <w:pPr>
        <w:spacing w:after="100"/>
      </w:pPr>
      <w:r>
        <w:t xml:space="preserve">before someone else can manage theirs.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Offline is a designed state, not an error.</w:t>
      </w:r>
      <w:r>
        <w:t xml:space="preserve"> Records, reminders and the Medra ID keep</w:t>
      </w:r>
    </w:p>
    <w:p>
      <w:pPr>
        <w:spacing w:after="100"/>
      </w:pPr>
      <w:r>
        <w:t xml:space="preserve">working from local storage; booking and video explicitly do not, because a stale slot is worse</w:t>
      </w:r>
    </w:p>
    <w:p>
      <w:pPr>
        <w:spacing w:after="100"/>
      </w:pPr>
      <w:r>
        <w:t xml:space="preserve">than no slot. Queued actions sync on reconnect.</w:t>
      </w:r>
    </w:p>
    <w:p>
      <w:pPr>
        <w:spacing w:after="100"/>
      </w:pPr>
      <w:r>
        <w:t xml:space="preserve">Open items for the pilot clinics: the ₦2,000 late-change fee on reschedules, refill turnaround</w:t>
      </w:r>
    </w:p>
    <w:p>
      <w:pPr>
        <w:spacing w:after="100"/>
      </w:pPr>
      <w:r>
        <w:t xml:space="preserve">(designed as "within a day"), the ₦1,500 delivery fee, and whether plain-language result</w:t>
      </w:r>
    </w:p>
    <w:p>
      <w:pPr>
        <w:spacing w:after="100"/>
      </w:pPr>
      <w:r>
        <w:t xml:space="preserve">explainers are acceptable to the clinical partners as written.</w:t>
      </w:r>
    </w:p>
    <w:p>
      <w:pPr>
        <w:pStyle w:val="Heading3"/>
        <w:spacing w:after="60" w:before="180"/>
      </w:pPr>
      <w:r>
        <w:t xml:space="preserve">15.3 Product review — 1 August 2026 (Godwin Okwor, Abraham Peter, Israel Oni)</w:t>
      </w:r>
    </w:p>
    <w:p>
      <w:pPr>
        <w:spacing w:after="100"/>
      </w:pPr>
      <w:r>
        <w:t xml:space="preserve">Two sessions: a 69-minute walkthrough of the design system, authentication and the member app,</w:t>
      </w:r>
    </w:p>
    <w:p>
      <w:pPr>
        <w:spacing w:after="100"/>
      </w:pPr>
      <w:r>
        <w:t xml:space="preserve">and a 9-minute review of the member profile. Everything raised is now in the designs.</w:t>
      </w:r>
    </w:p>
    <w:p>
      <w:pPr>
        <w:spacing w:after="100"/>
      </w:pPr>
      <w:r>
        <w:rPr>
          <w:b/>
          <w:bCs/>
        </w:rPr>
        <w:t xml:space="preserve">Authentication and onboarding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WhatsApp is a verification channel</w:t>
      </w:r>
      <w:r>
        <w:t xml:space="preserve">, offered before SMS — "not a lot of people are using</w:t>
      </w:r>
    </w:p>
    <w:p>
      <w:pPr>
        <w:spacing w:after="100"/>
      </w:pPr>
      <w:r>
        <w:t xml:space="preserve">SMS ... WhatsApp is faster actually". Member, doctor and institution OTP screens all lead with</w:t>
      </w:r>
    </w:p>
    <w:p>
      <w:pPr>
        <w:spacing w:after="100"/>
      </w:pPr>
      <w:r>
        <w:t xml:space="preserve">it, and "send it on WhatsApp" is an option on the can't-get-a-code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Name is mandatory</w:t>
      </w:r>
      <w:r>
        <w:t xml:space="preserve">, not skippable — "you don't want to say dear +234 801...".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 can replace a date of birth.</w:t>
      </w:r>
      <w:r>
        <w:t xml:space="preserve"> People often do not know the exact date; the system works</w:t>
      </w:r>
    </w:p>
    <w:p>
      <w:pPr>
        <w:spacing w:after="100"/>
      </w:pPr>
      <w:r>
        <w:t xml:space="preserve">the year back from an 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member gets a Medra ID</w:t>
      </w:r>
      <w:r>
        <w:t xml:space="preserve"> (</w:t>
      </w:r>
      <w:r>
        <w:rPr>
          <w:rFonts w:ascii="Consolas" w:cs="Consolas" w:eastAsia="Consolas" w:hAnsi="Consolas"/>
        </w:rPr>
        <w:t xml:space="preserve">MDR-8842-19</w:t>
      </w:r>
      <w:r>
        <w:t xml:space="preserve">). Shown at the end of onboarding with copy and</w:t>
      </w:r>
    </w:p>
    <w:p>
      <w:pPr>
        <w:spacing w:after="100"/>
      </w:pPr>
      <w:r>
        <w:t xml:space="preserve">QR actions, printed under their name on their profile, on the one-page summary, and accepted as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log-in method</w:t>
      </w:r>
      <w:r>
        <w:t xml:space="preserve">. A doctor can search a card by it when the patient remembers nothing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Onboarding captures genotype, height and weight</w:t>
      </w:r>
      <w:r>
        <w:t xml:space="preserve"> alongside blood group, allergies and</w:t>
      </w:r>
    </w:p>
    <w:p>
      <w:pPr>
        <w:spacing w:after="100"/>
      </w:pPr>
      <w:r>
        <w:t xml:space="preserve">long-term conditions — relevant in Nigeria and cheap to ask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 specialisation is a platform-managed list</w:t>
      </w:r>
      <w:r>
        <w:t xml:space="preserve"> with an "add another" for second</w:t>
      </w:r>
    </w:p>
    <w:p>
      <w:pPr>
        <w:spacing w:after="100"/>
      </w:pPr>
      <w:r>
        <w:t xml:space="preserve">specialities, wired so the platform admin can extend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Doctors choose how patients reach them</w:t>
      </w:r>
      <w:r>
        <w:t xml:space="preserve"> — WhatsApp, work email, phone — set during profile</w:t>
      </w:r>
    </w:p>
    <w:p>
      <w:pPr>
        <w:spacing w:after="100"/>
      </w:pPr>
      <w:r>
        <w:t xml:space="preserve">setup and changeable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Institutions</w:t>
      </w:r>
      <w:r>
        <w:t xml:space="preserve">: contact person grouped as its own block (name, role, email, phone), the</w:t>
      </w:r>
    </w:p>
    <w:p>
      <w:pPr>
        <w:spacing w:after="100"/>
      </w:pPr>
      <w:r>
        <w:t xml:space="preserve">institution type expanded to a managed list, RC number captured for the CAC check, and setup</w:t>
      </w:r>
    </w:p>
    <w:p>
      <w:pPr>
        <w:spacing w:after="100"/>
      </w:pPr>
      <w:r>
        <w:t xml:space="preserve">can continue while verification is pending.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institution flow leads with a free month</w:t>
      </w:r>
      <w:r>
        <w:t xml:space="preserve">, everything unlocked, and shows the plan that</w:t>
      </w:r>
    </w:p>
    <w:p>
      <w:pPr>
        <w:spacing w:after="100"/>
      </w:pPr>
      <w:r>
        <w:t xml:space="preserve">would apply afterwards — with an option to skip the trial and pay now.</w:t>
      </w:r>
    </w:p>
    <w:p>
      <w:pPr>
        <w:spacing w:after="100"/>
      </w:pPr>
      <w:r>
        <w:rPr>
          <w:b/>
          <w:bCs/>
        </w:rPr>
        <w:t xml:space="preserve">Member 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Payment happens before the booking is confirmed.</w:t>
      </w:r>
      <w:r>
        <w:t xml:space="preserve"> New screen B4: card, transfer, USSD or</w:t>
      </w:r>
    </w:p>
    <w:p>
      <w:pPr>
        <w:spacing w:after="100"/>
      </w:pPr>
      <w:r>
        <w:t xml:space="preserve">wallet, held by Paystack, refunded in full if the doctor cancels or does not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Search around an address you type</w:t>
      </w:r>
      <w:r>
        <w:t xml:space="preserve">, not only your live location — "some people would not</w:t>
      </w:r>
    </w:p>
    <w:p>
      <w:pPr>
        <w:spacing w:after="100"/>
      </w:pPr>
      <w:r>
        <w:t xml:space="preserve">want to use their live address ... to look for care around their house while at work".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undisclosed-history question is asked at booking</w:t>
      </w:r>
      <w:r>
        <w:t xml:space="preserve"> and again by the doctor in the</w:t>
      </w:r>
    </w:p>
    <w:p>
      <w:pPr>
        <w:spacing w:after="100"/>
      </w:pPr>
      <w:r>
        <w:t xml:space="preserve">consultation. What was asked and what was answered is stored with the visit, so it is never</w:t>
      </w:r>
    </w:p>
    <w:p>
      <w:pPr>
        <w:spacing w:after="100"/>
      </w:pPr>
      <w:r>
        <w:t xml:space="preserve">later unclear what the doctor did and did not know.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Reminder channels are in-app, WhatsApp, SMS and email</w:t>
      </w:r>
      <w:r>
        <w:t xml:space="preserve">, chosen per event.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Virtual visits use the doctor's own meeting link for the MVP</w:t>
      </w:r>
      <w:r>
        <w:t xml:space="preserve"> — Google Meet or Zoom,</w:t>
      </w:r>
    </w:p>
    <w:p>
      <w:pPr>
        <w:spacing w:after="100"/>
      </w:pPr>
      <w:r>
        <w:t xml:space="preserve">embedded in the Join button. The in-app video screens stay in the file, marked </w:t>
      </w:r>
      <w:r>
        <w:rPr>
          <w:b/>
          <w:bCs/>
        </w:rPr>
        <w:t xml:space="preserve">PHASE 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Who-has-access is a selectable list</w:t>
      </w:r>
      <w:r>
        <w:t xml:space="preserve"> — revoke one, revoke selected, or revoke everything.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one-page summary is a printable log the member composes</w:t>
      </w:r>
      <w:r>
        <w:t xml:space="preserve">: blood group and allergies</w:t>
      </w:r>
    </w:p>
    <w:p>
      <w:pPr>
        <w:spacing w:after="100"/>
      </w:pPr>
      <w:r>
        <w:t xml:space="preserve">always on, everything else opt-in, with a QR code back to the full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Deleting an account takes four steps</w:t>
      </w:r>
      <w:r>
        <w:t xml:space="preserve"> — a reason, typing DELETE, a code to your phone, and</w:t>
      </w:r>
    </w:p>
    <w:p>
      <w:pPr>
        <w:spacing w:after="100"/>
      </w:pPr>
      <w:r>
        <w:t xml:space="preserve">an explicit acknowledgement — because "people prefer to just leave their account" and the</w:t>
      </w:r>
    </w:p>
    <w:p>
      <w:pPr>
        <w:spacing w:after="100"/>
      </w:pPr>
      <w:r>
        <w:t xml:space="preserve">ones who do delete should mean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notification bell opens a panel</w:t>
      </w:r>
      <w:r>
        <w:t xml:space="preserve"> with the five most recent, and a "View all" into the</w:t>
      </w:r>
    </w:p>
    <w:p>
      <w:pPr>
        <w:spacing w:after="100"/>
      </w:pPr>
      <w:r>
        <w:t xml:space="preserve">full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Dependants: two free, then a family plan.</w:t>
      </w:r>
      <w:r>
        <w:t xml:space="preserve"> ₦3,000/month for up to six people, or ₦1,500 per</w:t>
      </w:r>
    </w:p>
    <w:p>
      <w:pPr>
        <w:spacing w:after="100"/>
      </w:pPr>
      <w:r>
        <w:t xml:space="preserve">extra person — "they can book for two people first for free, then from the third they pay",</w:t>
      </w:r>
    </w:p>
    <w:p>
      <w:pPr>
        <w:spacing w:after="100"/>
      </w:pPr>
      <w:r>
        <w:t xml:space="preserve">so the value is felt before it is charged. Figures are indicative.</w:t>
      </w:r>
    </w:p>
    <w:p>
      <w:pPr>
        <w:spacing w:after="100"/>
      </w:pPr>
      <w:r>
        <w:rPr>
          <w:b/>
          <w:bCs/>
        </w:rPr>
        <w:t xml:space="preserve">Also fixed in this round, found while measuring rather than in the review:</w:t>
      </w:r>
      <w:r>
        <w:t xml:space="preserve"> every one of the</w:t>
      </w:r>
    </w:p>
    <w:p>
      <w:pPr>
        <w:spacing w:after="100"/>
      </w:pPr>
      <w:r>
        <w:t xml:space="preserve">70 authentication frames and 5 design-system frames still used </w:t>
      </w:r>
      <w:r>
        <w:rPr>
          <w:rFonts w:ascii="Consolas" w:cs="Consolas" w:eastAsia="Consolas" w:hAnsi="Consolas"/>
        </w:rPr>
        <w:t xml:space="preserve">wrap="wrap"</w:t>
      </w:r>
      <w:r>
        <w:t xml:space="preserve">, which figma-ds-cli</w:t>
      </w:r>
    </w:p>
    <w:p>
      <w:pPr>
        <w:spacing w:after="100"/>
      </w:pPr>
      <w:r>
        <w:t xml:space="preserve">ignores — the same defect that made the member module render badly in Figma. All 297 frames across</w:t>
      </w:r>
    </w:p>
    <w:p>
      <w:pPr>
        <w:spacing w:after="100"/>
      </w:pPr>
      <w:r>
        <w:t xml:space="preserve">the five bundles are now clean, and the validator rejects it permanently.</w:t>
      </w:r>
    </w:p>
    <w:p>
      <w:pPr>
        <w:spacing w:after="100"/>
      </w:pPr>
      <w:r>
        <w:rPr>
          <w:b/>
          <w:bCs/>
        </w:rPr>
        <w:t xml:space="preserve">Still open, by agreement:</w:t>
      </w:r>
      <w:r>
        <w:t xml:space="preserve"> a medical doctor reviews the clinical screens before build; legal</w:t>
      </w:r>
    </w:p>
    <w:p>
      <w:pPr>
        <w:spacing w:after="100"/>
      </w:pPr>
      <w:r>
        <w:t xml:space="preserve">opinion on what an institution must supply at verification; a drug-reference API for prescribing;</w:t>
      </w:r>
    </w:p>
    <w:p>
      <w:pPr>
        <w:spacing w:after="100"/>
      </w:pPr>
      <w:r>
        <w:t xml:space="preserve">and confirmation of the commission and family-plan prices with the pilot clinics.</w:t>
      </w:r>
    </w:p>
    <w:p>
      <w:pPr>
        <w:pStyle w:val="Heading3"/>
        <w:spacing w:after="60" w:before="180"/>
      </w:pPr>
      <w:r>
        <w:t xml:space="preserve">15.4 Doctor module — second pass</w:t>
      </w:r>
    </w:p>
    <w:p>
      <w:pPr>
        <w:spacing w:after="100"/>
      </w:pPr>
      <w:r>
        <w:t xml:space="preserve">The first doctor build was judged too basic, with mobile screens carrying less than desktop and</w:t>
      </w:r>
    </w:p>
    <w:p>
      <w:pPr>
        <w:spacing w:after="100"/>
      </w:pPr>
      <w:r>
        <w:t xml:space="preserve">a look too close to the member app. It was rebuilt rather than patched.</w:t>
      </w:r>
    </w:p>
    <w:p>
      <w:pPr>
        <w:spacing w:after="100"/>
      </w:pPr>
      <w:r>
        <w:rPr>
          <w:b/>
          <w:bCs/>
        </w:rPr>
        <w:t xml:space="preserve">A separate visual system.</w:t>
      </w:r>
      <w:r>
        <w:t xml:space="preserve"> The doctor app is structurally a different product: the whole app</w:t>
      </w:r>
    </w:p>
    <w:p>
      <w:pPr>
        <w:spacing w:after="100"/>
      </w:pPr>
      <w:r>
        <w:t xml:space="preserve">is a </w:t>
      </w:r>
      <w:r>
        <w:rPr>
          <w:b/>
          <w:bCs/>
        </w:rPr>
        <w:t xml:space="preserve">white card floating on a soft blue canvas</w:t>
      </w:r>
      <w:r>
        <w:t xml:space="preserve"> with </w:t>
      </w:r>
      <w:r>
        <w:rPr>
          <w:b/>
          <w:bCs/>
        </w:rPr>
        <w:t xml:space="preserve">three columns</w:t>
      </w:r>
      <w:r>
        <w:t xml:space="preserve"> — a 206px labelled navy</w:t>
      </w:r>
    </w:p>
    <w:p>
      <w:pPr>
        <w:spacing w:after="100"/>
      </w:pPr>
      <w:r>
        <w:t xml:space="preserve">sidebar, the main column, and a </w:t>
      </w:r>
      <w:r>
        <w:rPr>
          <w:b/>
          <w:bCs/>
        </w:rPr>
        <w:t xml:space="preserve">292px light right rail</w:t>
      </w:r>
      <w:r>
        <w:t xml:space="preserve"> holding a month calendar, what is next</w:t>
      </w:r>
    </w:p>
    <w:p>
      <w:pPr>
        <w:spacing w:after="100"/>
      </w:pPr>
      <w:r>
        <w:t xml:space="preserve">and what is already done — against the member app's full-bleed two columns. Corners are 14–18px</w:t>
      </w:r>
    </w:p>
    <w:p>
      <w:pPr>
        <w:spacing w:after="100"/>
      </w:pPr>
      <w:r>
        <w:t xml:space="preserve">inside a 28px card, the palette adds a </w:t>
      </w:r>
      <w:r>
        <w:rPr>
          <w:b/>
          <w:bCs/>
        </w:rPr>
        <w:t xml:space="preserve">warm coral/amber</w:t>
      </w:r>
      <w:r>
        <w:t xml:space="preserve"> alongside the brand teal for counts</w:t>
      </w:r>
    </w:p>
    <w:p>
      <w:pPr>
        <w:spacing w:after="100"/>
      </w:pPr>
      <w:r>
        <w:t xml:space="preserve">and attention, and on mobile the chrome is a </w:t>
      </w:r>
      <w:r>
        <w:rPr>
          <w:b/>
          <w:bCs/>
        </w:rPr>
        <w:t xml:space="preserve">floating brand-gradient header card</w:t>
      </w:r>
      <w:r>
        <w:t xml:space="preserve"> with a</w:t>
      </w:r>
    </w:p>
    <w:p>
      <w:pPr>
        <w:spacing w:after="100"/>
      </w:pPr>
      <w:r>
        <w:t xml:space="preserve">raised centre action in the tab bar. It is recognisable as a different product at a glance, on</w:t>
      </w:r>
    </w:p>
    <w:p>
      <w:pPr>
        <w:spacing w:after="100"/>
      </w:pPr>
      <w:r>
        <w:t xml:space="preserve">the same brand.</w:t>
      </w:r>
    </w:p>
    <w:p>
      <w:pPr>
        <w:spacing w:after="100"/>
      </w:pPr>
      <w:r>
        <w:rPr>
          <w:b/>
          <w:bCs/>
        </w:rPr>
        <w:t xml:space="preserve">Mobile parity.</w:t>
      </w:r>
      <w:r>
        <w:t xml:space="preserve"> Every mobile screen now carries the same cards as its desktop twin, with the</w:t>
      </w:r>
    </w:p>
    <w:p>
      <w:pPr>
        <w:spacing w:after="100"/>
      </w:pPr>
      <w:r>
        <w:t xml:space="preserve">desktop side-rail folded in underneath and the panel's key numbers absorbed into the header.</w:t>
      </w:r>
    </w:p>
    <w:p>
      <w:pPr>
        <w:spacing w:after="100"/>
      </w:pPr>
      <w:r>
        <w:t xml:space="preserve">They are scrolling frames; what is guaranteed is no horizontal overflow at 390 and the primary</w:t>
      </w:r>
    </w:p>
    <w:p>
      <w:pPr>
        <w:spacing w:after="100"/>
      </w:pPr>
      <w:r>
        <w:t xml:space="preserve">action inside the first viewport.</w:t>
      </w:r>
    </w:p>
    <w:p>
      <w:pPr>
        <w:spacing w:after="100"/>
      </w:pPr>
      <w:r>
        <w:rPr>
          <w:b/>
          <w:bCs/>
        </w:rPr>
        <w:t xml:space="preserve">Requirements this pass closed that the first build had missed: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Confirm or decline a booking request</w:t>
      </w:r>
      <w:r>
        <w:t xml:space="preserve"> (§7 Module 4, §10.2 D3) — screen K2.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Mark complete or no-show</w:t>
      </w:r>
      <w:r>
        <w:t xml:space="preserve"> (§7 Module 4) — screen K5, with the fee, slot and record</w:t>
      </w:r>
    </w:p>
    <w:p>
      <w:pPr>
        <w:spacing w:after="100"/>
      </w:pPr>
      <w:r>
        <w:t xml:space="preserve">consequences stated.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PRD's exact note fields</w:t>
      </w:r>
      <w:r>
        <w:t xml:space="preserve"> (§7 Module 6): presenting complaint, examination, diagnosis,</w:t>
      </w:r>
    </w:p>
    <w:p>
      <w:pPr>
        <w:spacing w:after="100"/>
      </w:pPr>
      <w:r>
        <w:t xml:space="preserve">treatment plan, doctor's comment and </w:t>
      </w:r>
      <w:r>
        <w:rPr>
          <w:b/>
          <w:bCs/>
        </w:rPr>
        <w:t xml:space="preserve">private notes</w:t>
      </w:r>
      <w:r>
        <w:t xml:space="preserve"> — screen C1, with per-field share</w:t>
      </w:r>
    </w:p>
    <w:p>
      <w:pPr>
        <w:spacing w:after="100"/>
      </w:pPr>
      <w:r>
        <w:t xml:space="preserve">switches on C7.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Send the room link for a virtual booking</w:t>
      </w:r>
      <w:r>
        <w:t xml:space="preserve"> (§7 Module 7, D5) — screen C10, with proof of</w:t>
      </w:r>
    </w:p>
    <w:p>
      <w:pPr>
        <w:spacing w:after="100"/>
      </w:pPr>
      <w:r>
        <w:t xml:space="preserve">delivery on three channels and four fallbacks.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Subscription, 30-day trial countdown, Paystack, and the expired-locked state</w:t>
      </w:r>
    </w:p>
    <w:p>
      <w:pPr>
        <w:spacing w:after="100"/>
      </w:pPr>
      <w:r>
        <w:t xml:space="preserve">(§7 Module 8) — screens S6 and X1.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independent practitioner who has no institution</w:t>
      </w:r>
      <w:r>
        <w:t xml:space="preserve"> (§11.4) — screen S7.</w:t>
      </w:r>
    </w:p>
    <w:p>
      <w:pPr>
        <w:spacing w:after="100"/>
      </w:pPr>
      <w:r>
        <w:rPr>
          <w:b/>
          <w:bCs/>
        </w:rPr>
        <w:t xml:space="preserve">AARRR on the supply side</w:t>
      </w:r>
      <w:r>
        <w:t xml:space="preserve">, which had no representation at all before: acquisition (booking</w:t>
      </w:r>
    </w:p>
    <w:p>
      <w:pPr>
        <w:spacing w:after="100"/>
      </w:pPr>
      <w:r>
        <w:t xml:space="preserve">link, waiting-room QR poster, patient import, colleague invitations), activation (a setup</w:t>
      </w:r>
    </w:p>
    <w:p>
      <w:pPr>
        <w:spacing w:after="100"/>
      </w:pPr>
      <w:r>
        <w:t xml:space="preserve">checklist with a real "you are not bookable yet" gate), retention (recall and follow-up lists,</w:t>
      </w:r>
    </w:p>
    <w:p>
      <w:pPr>
        <w:spacing w:after="100"/>
      </w:pPr>
      <w:r>
        <w:t xml:space="preserve">messages, insights, reviews), referral (invite a colleague, refer a patient onward), and revenue</w:t>
      </w:r>
    </w:p>
    <w:p>
      <w:pPr>
        <w:spacing w:after="100"/>
      </w:pPr>
      <w:r>
        <w:t xml:space="preserve">(fees, payouts, subscription).</w:t>
      </w:r>
    </w:p>
    <w:p>
      <w:pPr>
        <w:spacing w:after="100"/>
      </w:pPr>
      <w:r>
        <w:rPr>
          <w:b/>
          <w:bCs/>
        </w:rPr>
        <w:t xml:space="preserve">Edge cases now designed:</w:t>
      </w:r>
      <w:r>
        <w:t xml:space="preserve"> running late · no-show with a fee split · doctor cancels · video</w:t>
      </w:r>
    </w:p>
    <w:p>
      <w:pPr>
        <w:spacing w:after="100"/>
      </w:pPr>
      <w:r>
        <w:t xml:space="preserve">fails · unpaid slot released · booking declined with a refund · time off with patients already</w:t>
      </w:r>
    </w:p>
    <w:p>
      <w:pPr>
        <w:spacing w:after="100"/>
      </w:pPr>
      <w:r>
        <w:t xml:space="preserve">booked · handing patients to a colleague · an allergy blocking a prescription · an out-of-range</w:t>
      </w:r>
    </w:p>
    <w:p>
      <w:pPr>
        <w:spacing w:after="100"/>
      </w:pPr>
      <w:r>
        <w:t xml:space="preserve">result held back · a refill that should be a visit · an unsigned note · a note recovered after a</w:t>
      </w:r>
    </w:p>
    <w:p>
      <w:pPr>
        <w:spacing w:after="100"/>
      </w:pPr>
      <w:r>
        <w:t xml:space="preserve">crash · offline with queued writes · a service error mid-consultation · trial expiry and lock ·</w:t>
      </w:r>
    </w:p>
    <w:p>
      <w:pPr>
        <w:spacing w:after="100"/>
      </w:pPr>
      <w:r>
        <w:t xml:space="preserve">a shared clinic machine left signed in · a patient declining an access request.</w:t>
      </w:r>
    </w:p>
    <w:p>
      <w:pPr>
        <w:spacing w:after="100"/>
      </w:pPr>
      <w:r>
        <w:rPr>
          <w:b/>
          <w:bCs/>
        </w:rPr>
        <w:t xml:space="preserve">One contradiction this surfaced, needing a decision before build.</w:t>
      </w:r>
      <w:r>
        <w:t xml:space="preserve"> §4 of this document says</w:t>
      </w:r>
    </w:p>
    <w:p>
      <w:pPr>
        <w:spacing w:after="100"/>
      </w:pPr>
      <w:r>
        <w:t xml:space="preserve">practitioners pay a </w:t>
      </w:r>
      <w:r>
        <w:rPr>
          <w:b/>
          <w:bCs/>
        </w:rPr>
        <w:t xml:space="preserve">subscription</w:t>
      </w:r>
      <w:r>
        <w:t xml:space="preserve"> and patients pay providers </w:t>
      </w:r>
      <w:r>
        <w:rPr>
          <w:b/>
          <w:bCs/>
        </w:rPr>
        <w:t xml:space="preserve">directly</w:t>
      </w:r>
      <w:r>
        <w:t xml:space="preserve">. The 1 August review</w:t>
      </w:r>
    </w:p>
    <w:p>
      <w:pPr>
        <w:spacing w:after="100"/>
      </w:pPr>
      <w:r>
        <w:t xml:space="preserve">added </w:t>
      </w:r>
      <w:r>
        <w:rPr>
          <w:b/>
          <w:bCs/>
        </w:rPr>
        <w:t xml:space="preserve">payment before booking</w:t>
      </w:r>
      <w:r>
        <w:t xml:space="preserve">, which means Medra collects the fee and pays the doctor out.</w:t>
      </w:r>
    </w:p>
    <w:p>
      <w:pPr>
        <w:spacing w:after="100"/>
      </w:pPr>
      <w:r>
        <w:t xml:space="preserve">Both are now designed — S6 for the subscription and trial, S5 for payouts — and S2 states that</w:t>
      </w:r>
    </w:p>
    <w:p>
      <w:pPr>
        <w:spacing w:after="100"/>
      </w:pPr>
      <w:r>
        <w:t xml:space="preserve">Medra earns from the subscription rather than a commission. If the answer is "both", that needs</w:t>
      </w:r>
    </w:p>
    <w:p>
      <w:pPr>
        <w:spacing w:after="100"/>
      </w:pPr>
      <w:r>
        <w:t xml:space="preserve">justifying to doctors, because it is two charges on the same transaction.</w:t>
      </w:r>
    </w:p>
    <w:p>
      <w:pPr>
        <w:spacing w:after="100"/>
      </w:pPr>
      <w:r>
        <w:t xml:space="preserve">Still open by agreement: a medical doctor reviews every clinical string before build; the 50%</w:t>
      </w:r>
    </w:p>
    <w:p>
      <w:pPr>
        <w:spacing w:after="100"/>
      </w:pPr>
      <w:r>
        <w:t xml:space="preserve">no-show split is a pilot policy; referral rewards are indicative; the institution admin portal</w:t>
      </w:r>
    </w:p>
    <w:p>
      <w:pPr>
        <w:spacing w:after="100"/>
      </w:pPr>
      <w:r>
        <w:t xml:space="preserve">and a lab technician's own screen are separate modules.</w:t>
      </w:r>
    </w:p>
    <w:p>
      <w:pPr>
        <w:pStyle w:val="Heading3"/>
        <w:spacing w:after="60" w:before="180"/>
      </w:pPr>
      <w:r>
        <w:t xml:space="preserve">15.5 Doctor module — third pass: the reference direction, and a prototype that holds</w:t>
      </w:r>
    </w:p>
    <w:p>
      <w:pPr>
        <w:spacing w:after="100"/>
      </w:pPr>
      <w:r>
        <w:t xml:space="preserve">The product owner approved the second pass's structure and asked for the warmth of a reference</w:t>
      </w:r>
    </w:p>
    <w:p>
      <w:pPr>
        <w:spacing w:after="100"/>
      </w:pPr>
      <w:r>
        <w:t xml:space="preserve">dashboard, and for the screens to be prototyped rather than merely drawn.</w:t>
      </w:r>
    </w:p>
    <w:p>
      <w:pPr>
        <w:spacing w:after="100"/>
      </w:pPr>
      <w:r>
        <w:rPr>
          <w:b/>
          <w:bCs/>
        </w:rPr>
        <w:t xml:space="preserve">The reference direction.</w:t>
      </w:r>
      <w:r>
        <w:t xml:space="preserve"> The floating card, the pastel two-letter code chips (</w:t>
      </w:r>
      <w:r>
        <w:rPr>
          <w:rFonts w:ascii="Consolas" w:cs="Consolas" w:eastAsia="Consolas" w:hAnsi="Consolas"/>
        </w:rPr>
        <w:t xml:space="preserve">Rx</w:t>
      </w:r>
      <w:r>
        <w:t xml:space="preserve"> </w:t>
      </w:r>
      <w:r>
        <w:rPr>
          <w:rFonts w:ascii="Consolas" w:cs="Consolas" w:eastAsia="Consolas" w:hAnsi="Consolas"/>
        </w:rPr>
        <w:t xml:space="preserve">Lab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Ref</w:t>
      </w:r>
      <w:r>
        <w:t xml:space="preserve"> </w:t>
      </w:r>
      <w:r>
        <w:rPr>
          <w:rFonts w:ascii="Consolas" w:cs="Consolas" w:eastAsia="Consolas" w:hAnsi="Consolas"/>
        </w:rPr>
        <w:t xml:space="preserve">Note</w:t>
      </w:r>
      <w:r>
        <w:t xml:space="preserve">), the donut, the per-patient progress bars, the media table and the month calendar</w:t>
      </w:r>
    </w:p>
    <w:p>
      <w:pPr>
        <w:spacing w:after="100"/>
      </w:pPr>
      <w:r>
        <w:t xml:space="preserve">in the right rail all come from it. The structure — three columns, a floating card — is what</w:t>
      </w:r>
    </w:p>
    <w:p>
      <w:pPr>
        <w:spacing w:after="100"/>
      </w:pPr>
      <w:r>
        <w:t xml:space="preserve">keeps the doctor app distinct from the member app; the reference supplied the warmth, not the</w:t>
      </w:r>
    </w:p>
    <w:p>
      <w:pPr>
        <w:spacing w:after="100"/>
      </w:pPr>
      <w:r>
        <w:t xml:space="preserve">information architecture.</w:t>
      </w:r>
    </w:p>
    <w:p>
      <w:pPr>
        <w:spacing w:after="100"/>
      </w:pPr>
      <w:r>
        <w:rPr>
          <w:b/>
          <w:bCs/>
        </w:rPr>
        <w:t xml:space="preserve">The prototype is now audited, not assumed.</w:t>
      </w:r>
      <w:r>
        <w:t xml:space="preserve"> A new offline check (</w:t>
      </w:r>
      <w:r>
        <w:rPr>
          <w:rFonts w:ascii="Consolas" w:cs="Consolas" w:eastAsia="Consolas" w:hAnsi="Consolas"/>
        </w:rPr>
        <w:t xml:space="preserve">tools/figma/proto_check.py</w:t>
      </w:r>
      <w:r>
        <w:t xml:space="preserve">)</w:t>
      </w:r>
    </w:p>
    <w:p>
      <w:pPr>
        <w:spacing w:after="100"/>
      </w:pPr>
      <w:r>
        <w:t xml:space="preserve">reads the frames off disk, walks the transition table and reports unreachable screens, broken</w:t>
      </w:r>
    </w:p>
    <w:p>
      <w:pPr>
        <w:spacing w:after="100"/>
      </w:pPr>
      <w:r>
        <w:t xml:space="preserve">hotspots and unwired controls. Its first run found real defects, all now fixed: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45 transitions pointed at hotspots that did not exist</w:t>
      </w:r>
      <w:r>
        <w:t xml:space="preserve"> — mostly on mobile, where the</w:t>
      </w:r>
    </w:p>
    <w:p>
      <w:pPr>
        <w:spacing w:after="100"/>
      </w:pPr>
      <w:r>
        <w:t xml:space="preserve">affordance had simply not been drawn. That is the same "mobile carries less than desktop"</w:t>
      </w:r>
    </w:p>
    <w:p>
      <w:pPr>
        <w:spacing w:after="100"/>
      </w:pPr>
      <w:r>
        <w:t xml:space="preserve">complaint, showing up as broken links rather than as missing content.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Four of the eight sidebar destinations had no mobile route at all.</w:t>
      </w:r>
      <w:r>
        <w:t xml:space="preserve"> A phone tab bar carries</w:t>
      </w:r>
    </w:p>
    <w:p>
      <w:pPr>
        <w:spacing w:after="100"/>
      </w:pPr>
      <w:r>
        <w:t xml:space="preserve">five; Schedule, Consults, Money and Growth had none. A new screen, </w:t>
      </w:r>
      <w:r>
        <w:rPr>
          <w:b/>
          <w:bCs/>
        </w:rPr>
        <w:t xml:space="preserve">K9 "Everything"</w:t>
      </w:r>
      <w:r>
        <w:t xml:space="preserve">, is the</w:t>
      </w:r>
    </w:p>
    <w:p>
      <w:pPr>
        <w:spacing w:after="100"/>
      </w:pPr>
      <w:r>
        <w:t xml:space="preserve">fifth tab and now the only mobile route to them; on desktop the same directory is what the</w:t>
      </w:r>
    </w:p>
    <w:p>
      <w:pPr>
        <w:spacing w:after="100"/>
      </w:pPr>
      <w:r>
        <w:t xml:space="preserve">app-grid button in the top bar opens.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S8 Account &amp; Security was unreachable</w:t>
      </w:r>
      <w:r>
        <w:t xml:space="preserve"> — nothing linked to it. So were four of the six</w:t>
      </w:r>
    </w:p>
    <w:p>
      <w:pPr>
        <w:spacing w:after="100"/>
      </w:pPr>
      <w:r>
        <w:t xml:space="preserve">States screens, which happen because of a condition rather than a tap; each now carries a</w:t>
      </w:r>
    </w:p>
    <w:p>
      <w:pPr>
        <w:spacing w:after="100"/>
      </w:pPr>
      <w:r>
        <w:t xml:space="preserve">small state switcher, explicitly labelled as a review control rather than product.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Every page had one flow starting point, on desktop only</w:t>
      </w:r>
      <w:r>
        <w:t xml:space="preserve">, so the mobile row was not a</w:t>
      </w:r>
    </w:p>
    <w:p>
      <w:pPr>
        <w:spacing w:after="100"/>
      </w:pPr>
      <w:r>
        <w:t xml:space="preserve">prototype at all. Each page now declares two.</w:t>
      </w:r>
    </w:p>
    <w:p>
      <w:pPr>
        <w:spacing w:after="100"/>
      </w:pPr>
      <w:r>
        <w:t xml:space="preserve">Current state: **116 frames, 46 screens at both breakpoints, 92 of 92 reachable, 626 explicit</w:t>
      </w:r>
    </w:p>
    <w:p>
      <w:pPr>
        <w:spacing w:after="100"/>
      </w:pPr>
      <w:r>
        <w:t xml:space="preserve">transitions and 1,196 navigation links, no broken hotspots, no horizontal overflow at 390 or</w:t>
      </w:r>
    </w:p>
    <w:p>
      <w:pPr>
        <w:spacing w:after="100"/>
      </w:pPr>
      <w:r>
        <w:t xml:space="preserve">1440.** The flows are documented in </w:t>
      </w:r>
      <w:r>
        <w:rPr>
          <w:rFonts w:ascii="Consolas" w:cs="Consolas" w:eastAsia="Consolas" w:hAnsi="Consolas"/>
        </w:rPr>
        <w:t xml:space="preserve">figma/medra-doctor/PROTOTYPE.md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One judgement made in the process.</w:t>
      </w:r>
      <w:r>
        <w:t xml:space="preserve"> Where a desktop right-rail section would only repeat what</w:t>
      </w:r>
    </w:p>
    <w:p>
      <w:pPr>
        <w:spacing w:after="100"/>
      </w:pPr>
      <w:r>
        <w:t xml:space="preserve">the mobile main column already said — "Next up" on a screen that already lists the queue — it is</w:t>
      </w:r>
    </w:p>
    <w:p>
      <w:pPr>
        <w:spacing w:after="100"/>
      </w:pPr>
      <w:r>
        <w:t xml:space="preserve">left out rather than folded in. Parity means the same information is reachable, not that every</w:t>
      </w:r>
    </w:p>
    <w:p>
      <w:pPr>
        <w:spacing w:after="100"/>
      </w:pPr>
      <w:r>
        <w:t xml:space="preserve">desktop container is duplicated; the difference is roughly 900px of scroll on the busiest screen.</w:t>
      </w:r>
    </w:p>
    <w:p>
      <w:pPr>
        <w:spacing w:after="100"/>
      </w:pPr>
      <w:r>
        <w:t xml:space="preserve">Nothing outside the doctor module was created, edited or re-rendered; the design-system,</w:t>
      </w:r>
    </w:p>
    <w:p>
      <w:pPr>
        <w:spacing w:after="100"/>
      </w:pPr>
      <w:r>
        <w:t xml:space="preserve">authentication and member pages are untouched, and </w:t>
      </w:r>
      <w:r>
        <w:rPr>
          <w:rFonts w:ascii="Consolas" w:cs="Consolas" w:eastAsia="Consolas" w:hAnsi="Consolas"/>
        </w:rPr>
        <w:t xml:space="preserve">CLI-PROMPT.md</w:t>
      </w:r>
      <w:r>
        <w:t xml:space="preserve"> states that constraint to the</w:t>
      </w:r>
    </w:p>
    <w:p>
      <w:pPr>
        <w:spacing w:after="100"/>
      </w:pPr>
      <w:r>
        <w:t xml:space="preserve">terminal that renders into Figma.</w:t>
      </w:r>
    </w:p>
    <w:p>
      <w:pPr>
        <w:pStyle w:val="Heading3"/>
        <w:spacing w:after="60" w:before="180"/>
      </w:pPr>
      <w:r>
        <w:t xml:space="preserve">15.6 Doctor module — fourth pass: density</w:t>
      </w:r>
    </w:p>
    <w:p>
      <w:pPr>
        <w:spacing w:after="100"/>
      </w:pPr>
      <w:r>
        <w:t xml:space="preserve">The product owner accepted the coverage and the direction, and raised the remaining problem:</w:t>
      </w:r>
    </w:p>
    <w:p>
      <w:pPr>
        <w:spacing w:after="100"/>
      </w:pPr>
      <w:r>
        <w:t xml:space="preserve">the screens were overloaded, mobile especially. That was true and measurable — the average</w:t>
      </w:r>
    </w:p>
    <w:p>
      <w:pPr>
        <w:spacing w:after="100"/>
      </w:pPr>
      <w:r>
        <w:t xml:space="preserve">mobile screen was two full viewports of stacked cards and the busiest was five, because every</w:t>
      </w:r>
    </w:p>
    <w:p>
      <w:pPr>
        <w:spacing w:after="100"/>
      </w:pPr>
      <w:r>
        <w:t xml:space="preserve">desktop card had been folded into one column. Completeness is not legibility.</w:t>
      </w:r>
    </w:p>
    <w:p>
      <w:pPr>
        <w:spacing w:after="100"/>
      </w:pPr>
      <w:r>
        <w:rPr>
          <w:b/>
          <w:bCs/>
        </w:rPr>
        <w:t xml:space="preserve">Mobile is now hub → section → sheet.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Hub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The header numbers, the one thing you act on now, and a short list of ways in. Nothing else.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One subject, one screen, opened by tapping a row on the hub. Back always returns to the hub.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Sheet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One decision, over a dimmed hub — quick actions, </w:t>
            </w:r>
            <w:r>
              <w:rPr>
                <w:i/>
                <w:iCs/>
              </w:rPr>
              <w:t xml:space="preserve">Add to this visit</w:t>
            </w:r>
            <w:r>
              <w:t xml:space="preserve">, </w:t>
            </w:r>
            <w:r>
              <w:rPr>
                <w:i/>
                <w:iCs/>
              </w:rPr>
              <w:t xml:space="preserve">Change this week</w:t>
            </w:r>
            <w:r>
              <w:t xml:space="preserve">. Anything with its own scroll is a section, not a sheet.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Nothing was removed. Every card is still in the bundle, one tap away, with a count on the hub row</w:t>
      </w:r>
    </w:p>
    <w:p>
      <w:pPr>
        <w:spacing w:after="100"/>
      </w:pPr>
      <w:r>
        <w:t xml:space="preserve">so the hub still tells you the shape of the day without unrolling it. The pattern is generated</w:t>
      </w:r>
    </w:p>
    <w:p>
      <w:pPr>
        <w:spacing w:after="100"/>
      </w:pPr>
      <w:r>
        <w:t xml:space="preserve">rather than hand-assembled: a screen declares its sections and sheets and the builder emits the</w:t>
      </w:r>
    </w:p>
    <w:p>
      <w:pPr>
        <w:spacing w:after="100"/>
      </w:pPr>
      <w:r>
        <w:t xml:space="preserve">frames, the rows that open them, the way back and the motion class — which is why 169 mobile</w:t>
      </w:r>
    </w:p>
    <w:p>
      <w:pPr>
        <w:spacing w:after="100"/>
      </w:pPr>
      <w:r>
        <w:t xml:space="preserve">frames carry no hand-written wiring.</w:t>
      </w:r>
    </w:p>
    <w:p>
      <w:pPr>
        <w:spacing w:after="100"/>
      </w:pPr>
      <w:r>
        <w:rPr>
          <w:b/>
          <w:bCs/>
        </w:rPr>
        <w:t xml:space="preserve">Desktop got a budget, not a rewrite:</w:t>
      </w:r>
      <w:r>
        <w:t xml:space="preserve"> at most two groups per column, lists capped at four rows</w:t>
      </w:r>
    </w:p>
    <w:p>
      <w:pPr>
        <w:spacing w:after="100"/>
      </w:pPr>
      <w:r>
        <w:t xml:space="preserve">with a </w:t>
      </w:r>
      <w:r>
        <w:rPr>
          <w:i/>
          <w:iCs/>
        </w:rPr>
        <w:t xml:space="preserve">See all N</w:t>
      </w:r>
      <w:r>
        <w:t xml:space="preserve"> row pointing at the screen that owns the full list, and anything beyond that</w:t>
      </w:r>
    </w:p>
    <w:p>
      <w:pPr>
        <w:spacing w:after="100"/>
      </w:pPr>
      <w:r>
        <w:t xml:space="preserve">moved to the right rail or to where it belongs.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Third pass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Fourth pass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Tallest mobile screen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4,096px (≈5 viewports)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1,467px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Median mobile screen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~1,750px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844px — one viewport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Tallest desktop screen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1,691px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1,365px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Frames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116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239</w:t>
            </w:r>
            <w:r>
              <w:t xml:space="preserve"> (46 desktop screens, 169 mobile frames, 24 component states)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92/92 reachable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215/215 reachable</w:t>
            </w:r>
            <w:r>
              <w:t xml:space="preserve">, 906 explicit links, 0 broken hotspots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The prototype audit was extended with it: the transition table now describes a </w:t>
      </w:r>
      <w:r>
        <w:rPr>
          <w:i/>
          <w:iCs/>
        </w:rPr>
        <w:t xml:space="preserve">screen</w:t>
      </w:r>
      <w:r>
        <w:t xml:space="preserve"> rather</w:t>
      </w:r>
    </w:p>
    <w:p>
      <w:pPr>
        <w:spacing w:after="100"/>
      </w:pPr>
      <w:r>
        <w:t xml:space="preserve">than a frame, and each entry is attached to whichever frame of a mobile family actually carries</w:t>
      </w:r>
    </w:p>
    <w:p>
      <w:pPr>
        <w:spacing w:after="100"/>
      </w:pPr>
      <w:r>
        <w:t xml:space="preserve">the control, found by scanning the generated frames at build time. A hotspot that exists nowhere</w:t>
      </w:r>
    </w:p>
    <w:p>
      <w:pPr>
        <w:spacing w:after="100"/>
      </w:pPr>
      <w:r>
        <w:t xml:space="preserve">in the family fails the build.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Members</w:t>
      </w:r>
      <w:r>
        <w:t xml:space="preserve"> (people</w:t>
      </w:r>
    </w:p>
    <w:p>
      <w:pPr>
        <w:spacing w:after="100"/>
      </w:pPr>
      <w:r>
        <w:t xml:space="preserve">using Medra for their own care) use the platform </w:t>
      </w:r>
      <w:r>
        <w:rPr>
          <w:b/>
          <w:bCs/>
        </w:rPr>
        <w:t xml:space="preserve">free</w:t>
      </w:r>
      <w:r>
        <w:t xml:space="preserve">; they pay institutions directly for</w:t>
      </w:r>
    </w:p>
    <w:p>
      <w:pPr>
        <w:spacing w:after="100"/>
      </w:pPr>
      <w:r>
        <w:t xml:space="preserve">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Sizing before pricing:</w:t>
      </w:r>
      <w:r>
        <w:t xml:space="preserve"> onboarding asks for **practitioners, branches, admin seats and</w:t>
      </w:r>
    </w:p>
    <w:p>
      <w:pPr>
        <w:spacing w:after="100"/>
      </w:pPr>
      <w:r>
        <w:t xml:space="preserve">monthly patient volume**, then recommends a plan. Every input stays editable on the pricing</w:t>
      </w:r>
    </w:p>
    <w:p>
      <w:pPr>
        <w:spacing w:after="100"/>
      </w:pPr>
      <w:r>
        <w:t xml:space="preserve">screen, and the price recalculates live.</w:t>
      </w:r>
    </w:p>
    <w:p>
      <w:pPr>
        <w:pStyle w:val="Heading3"/>
        <w:spacing w:after="60" w:before="180"/>
      </w:pPr>
      <w:r>
        <w:t xml:space="preserve">18.1 Plans (indicative — validate with pilot clinics)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Price / month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Includes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Starter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₦45,000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 practitioner · 1 branch · core booking &amp; records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Practice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₦120,000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10 practitioners · 1 branch · staff roles &amp; allocation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₦280,000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30 practitioners · up to 3 branches · analytics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Custom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Unlimited practitioners &amp; branches · SSO · dedicated support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Add-ons:</w:t>
      </w:r>
      <w:r>
        <w:t xml:space="preserve"> +₦8,000 per extra practitioner/month · +₦25,000 per extra branch/month.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Annual billing:</w:t>
      </w:r>
      <w:r>
        <w:t xml:space="preserve"> pay for 10 months, get 12 (</w:t>
      </w:r>
      <w:r>
        <w:rPr>
          <w:b/>
          <w:bCs/>
        </w:rPr>
        <w:t xml:space="preserve">2 months free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 on every plan, </w:t>
      </w:r>
      <w:r>
        <w:rPr>
          <w:b/>
          <w:bCs/>
        </w:rPr>
        <w:t xml:space="preserve">no card required</w:t>
      </w:r>
      <w:r>
        <w:t xml:space="preserve">; countdown visible in the portal.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Worked example:</w:t>
      </w:r>
      <w:r>
        <w:t xml:space="preserve"> 8 practitioners across 2 branches → Practice (₦120,000) + 1 extra branch</w:t>
      </w:r>
    </w:p>
    <w:p>
      <w:pPr>
        <w:spacing w:after="100"/>
      </w:pPr>
      <w:r>
        <w:t xml:space="preserve">(₦25,000) = </w:t>
      </w:r>
      <w:r>
        <w:rPr>
          <w:b/>
          <w:bCs/>
        </w:rPr>
        <w:t xml:space="preserve">₦145,000/month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the member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Multi-branch</w:t>
      </w:r>
      <w:r>
        <w:t xml:space="preserve"> is billed as </w:t>
      </w:r>
      <w:r>
        <w:rPr>
          <w:b/>
          <w:bCs/>
        </w:rPr>
        <w:t xml:space="preserve">one institution</w:t>
      </w:r>
      <w:r>
        <w:t xml:space="preserve">, never per branch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add-ons, employer-sponsored plans, automated telemedicine.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Prices are a starting point for the Abuja pilot and should be tested against willingness-to-pay before launch; the plan </w:t>
      </w:r>
      <w:r>
        <w:rPr>
          <w:b/>
          <w:bCs/>
          <w:i/>
          <w:iCs/>
          <w:color w:val="333333"/>
        </w:rPr>
        <w:t xml:space="preserve">structure</w:t>
      </w:r>
      <w:r>
        <w:rPr>
          <w:i/>
          <w:iCs/>
          <w:color w:val="333333"/>
        </w:rPr>
        <w:t xml:space="preserve"> (size-based tiers + per-practitioner/branch add-ons) is the durable decision.</w:t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1–9; manual telemedicine link; Paystack trial→paid; basic records;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rescheduling/waitlists; fuller admin portal (staff mgmt, multi-branch, internal messaging); doctor analytics; assisted drug-interaction flags; tiered/enterprise plans.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patient-to-institution payments; record attachments/lab results/ICD codes; ratings/reviews; multi-language; offline; interoperability/exports.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5795df5a842014e3437ef956755d792ededb9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2026-08-10T08:17:07.614Z</dcterms:created>
  <dcterms:modified xsi:type="dcterms:W3CDTF">2026-08-10T08:17:07.614Z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