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 — full module (rebuilt)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45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114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Style w:val="Heading3"/>
        <w:spacing w:after="60" w:before="180"/>
      </w:pPr>
      <w:r>
        <w:t xml:space="preserve">15.4 Doctor module — second pass</w:t>
      </w:r>
    </w:p>
    <w:p>
      <w:pPr>
        <w:spacing w:after="100"/>
      </w:pPr>
      <w:r>
        <w:t xml:space="preserve">The first doctor build was judged too basic, with mobile screens carrying less than desktop and</w:t>
      </w:r>
    </w:p>
    <w:p>
      <w:pPr>
        <w:spacing w:after="100"/>
      </w:pPr>
      <w:r>
        <w:t xml:space="preserve">a look too close to the member app. It was rebuilt rather than patched.</w:t>
      </w:r>
    </w:p>
    <w:p>
      <w:pPr>
        <w:spacing w:after="100"/>
      </w:pPr>
      <w:r>
        <w:rPr>
          <w:b/>
          <w:bCs/>
        </w:rPr>
        <w:t xml:space="preserve">A separate visual system.</w:t>
      </w:r>
      <w:r>
        <w:t xml:space="preserve"> The doctor app now uses an **88px icon rail plus a 236px</w:t>
      </w:r>
    </w:p>
    <w:p>
      <w:pPr>
        <w:spacing w:after="100"/>
      </w:pPr>
      <w:r>
        <w:t xml:space="preserve">contextual panel</w:t>
      </w:r>
      <w:r>
        <w:rPr>
          <w:b/>
          <w:bCs/>
        </w:rPr>
        <w:t xml:space="preserve"> instead of the member's single sidebar, a </w:t>
      </w:r>
      <w:r>
        <w:t xml:space="preserve">graph-paper ground** instead of</w:t>
      </w:r>
    </w:p>
    <w:p>
      <w:pPr>
        <w:spacing w:after="100"/>
      </w:pPr>
      <w:r>
        <w:t xml:space="preserve">the soft mesh, 14–18px corners instead of 24–28px, a </w:t>
      </w:r>
      <w:r>
        <w:rPr>
          <w:b/>
          <w:bCs/>
        </w:rPr>
        <w:t xml:space="preserve">dark command strip</w:t>
      </w:r>
      <w:r>
        <w:t xml:space="preserve"> carrying the day's</w:t>
      </w:r>
    </w:p>
    <w:p>
      <w:pPr>
        <w:spacing w:after="100"/>
      </w:pPr>
      <w:r>
        <w:t xml:space="preserve">progress and the urgent count, and on mobile a </w:t>
      </w:r>
      <w:r>
        <w:rPr>
          <w:b/>
          <w:bCs/>
        </w:rPr>
        <w:t xml:space="preserve">navy header block</w:t>
      </w:r>
      <w:r>
        <w:t xml:space="preserve"> with a raised centre</w:t>
      </w:r>
    </w:p>
    <w:p>
      <w:pPr>
        <w:spacing w:after="100"/>
      </w:pPr>
      <w:r>
        <w:t xml:space="preserve">action in the tab bar. It is recognisable as a different product at a glance, on the same brand.</w:t>
      </w:r>
    </w:p>
    <w:p>
      <w:pPr>
        <w:spacing w:after="100"/>
      </w:pPr>
      <w:r>
        <w:rPr>
          <w:b/>
          <w:bCs/>
        </w:rPr>
        <w:t xml:space="preserve">Mobile parity.</w:t>
      </w:r>
      <w:r>
        <w:t xml:space="preserve"> Every mobile screen now carries the same cards as its desktop twin, with the</w:t>
      </w:r>
    </w:p>
    <w:p>
      <w:pPr>
        <w:spacing w:after="100"/>
      </w:pPr>
      <w:r>
        <w:t xml:space="preserve">desktop side-rail folded in underneath and the panel's key numbers absorbed into the header.</w:t>
      </w:r>
    </w:p>
    <w:p>
      <w:pPr>
        <w:spacing w:after="100"/>
      </w:pPr>
      <w:r>
        <w:t xml:space="preserve">They are scrolling frames; what is guaranteed is no horizontal overflow at 390 and the primary</w:t>
      </w:r>
    </w:p>
    <w:p>
      <w:pPr>
        <w:spacing w:after="100"/>
      </w:pPr>
      <w:r>
        <w:t xml:space="preserve">action inside the first viewport.</w:t>
      </w:r>
    </w:p>
    <w:p>
      <w:pPr>
        <w:spacing w:after="100"/>
      </w:pPr>
      <w:r>
        <w:rPr>
          <w:b/>
          <w:bCs/>
        </w:rPr>
        <w:t xml:space="preserve">Requirements this pass closed that the first build had missed: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Confirm or decline a booking request</w:t>
      </w:r>
      <w:r>
        <w:t xml:space="preserve"> (§7 Module 4, §10.2 D3) — screen K2.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 complete or no-show</w:t>
      </w:r>
      <w:r>
        <w:t xml:space="preserve"> (§7 Module 4) — screen K5, with the fee, slot and record</w:t>
      </w:r>
    </w:p>
    <w:p>
      <w:pPr>
        <w:spacing w:after="100"/>
      </w:pPr>
      <w:r>
        <w:t xml:space="preserve">consequences stated.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PRD's exact note fields</w:t>
      </w:r>
      <w:r>
        <w:t xml:space="preserve"> (§7 Module 6): presenting complaint, examination, diagnosis,</w:t>
      </w:r>
    </w:p>
    <w:p>
      <w:pPr>
        <w:spacing w:after="100"/>
      </w:pPr>
      <w:r>
        <w:t xml:space="preserve">treatment plan, doctor's comment and </w:t>
      </w:r>
      <w:r>
        <w:rPr>
          <w:b/>
          <w:bCs/>
        </w:rPr>
        <w:t xml:space="preserve">private notes</w:t>
      </w:r>
      <w:r>
        <w:t xml:space="preserve"> — screen C1, with per-field share</w:t>
      </w:r>
    </w:p>
    <w:p>
      <w:pPr>
        <w:spacing w:after="100"/>
      </w:pPr>
      <w:r>
        <w:t xml:space="preserve">switches on C7.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Send the room link for a virtual booking</w:t>
      </w:r>
      <w:r>
        <w:t xml:space="preserve"> (§7 Module 7, D5) — screen C10, with proof of</w:t>
      </w:r>
    </w:p>
    <w:p>
      <w:pPr>
        <w:spacing w:after="100"/>
      </w:pPr>
      <w:r>
        <w:t xml:space="preserve">delivery on three channels and four fallbacks.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Subscription, 30-day trial countdown, Paystack, and the expired-locked state</w:t>
      </w:r>
    </w:p>
    <w:p>
      <w:pPr>
        <w:spacing w:after="100"/>
      </w:pPr>
      <w:r>
        <w:t xml:space="preserve">(§7 Module 8) — screens S6 and X1.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The independent practitioner who has no institution</w:t>
      </w:r>
      <w:r>
        <w:t xml:space="preserve"> (§11.4) — screen S7.</w:t>
      </w:r>
    </w:p>
    <w:p>
      <w:pPr>
        <w:spacing w:after="100"/>
      </w:pPr>
      <w:r>
        <w:rPr>
          <w:b/>
          <w:bCs/>
        </w:rPr>
        <w:t xml:space="preserve">AARRR on the supply side</w:t>
      </w:r>
      <w:r>
        <w:t xml:space="preserve">, which had no representation at all before: acquisition (booking</w:t>
      </w:r>
    </w:p>
    <w:p>
      <w:pPr>
        <w:spacing w:after="100"/>
      </w:pPr>
      <w:r>
        <w:t xml:space="preserve">link, waiting-room QR poster, patient import, colleague invitations), activation (a setup</w:t>
      </w:r>
    </w:p>
    <w:p>
      <w:pPr>
        <w:spacing w:after="100"/>
      </w:pPr>
      <w:r>
        <w:t xml:space="preserve">checklist with a real "you are not bookable yet" gate), retention (recall and follow-up lists,</w:t>
      </w:r>
    </w:p>
    <w:p>
      <w:pPr>
        <w:spacing w:after="100"/>
      </w:pPr>
      <w:r>
        <w:t xml:space="preserve">messages, insights, reviews), referral (invite a colleague, refer a patient onward), and revenue</w:t>
      </w:r>
    </w:p>
    <w:p>
      <w:pPr>
        <w:spacing w:after="100"/>
      </w:pPr>
      <w:r>
        <w:t xml:space="preserve">(fees, payouts, subscription).</w:t>
      </w:r>
    </w:p>
    <w:p>
      <w:pPr>
        <w:spacing w:after="100"/>
      </w:pPr>
      <w:r>
        <w:rPr>
          <w:b/>
          <w:bCs/>
        </w:rPr>
        <w:t xml:space="preserve">Edge cases now designed:</w:t>
      </w:r>
      <w:r>
        <w:t xml:space="preserve"> running late · no-show with a fee split · doctor cancels · video</w:t>
      </w:r>
    </w:p>
    <w:p>
      <w:pPr>
        <w:spacing w:after="100"/>
      </w:pPr>
      <w:r>
        <w:t xml:space="preserve">fails · unpaid slot released · booking declined with a refund · time off with patients already</w:t>
      </w:r>
    </w:p>
    <w:p>
      <w:pPr>
        <w:spacing w:after="100"/>
      </w:pPr>
      <w:r>
        <w:t xml:space="preserve">booked · handing patients to a colleague · an allergy blocking a prescription · an out-of-range</w:t>
      </w:r>
    </w:p>
    <w:p>
      <w:pPr>
        <w:spacing w:after="100"/>
      </w:pPr>
      <w:r>
        <w:t xml:space="preserve">result held back · a refill that should be a visit · an unsigned note · a note recovered after a</w:t>
      </w:r>
    </w:p>
    <w:p>
      <w:pPr>
        <w:spacing w:after="100"/>
      </w:pPr>
      <w:r>
        <w:t xml:space="preserve">crash · offline with queued writes · a service error mid-consultation · trial expiry and lock ·</w:t>
      </w:r>
    </w:p>
    <w:p>
      <w:pPr>
        <w:spacing w:after="100"/>
      </w:pPr>
      <w:r>
        <w:t xml:space="preserve">a shared clinic machine left signed in · a patient declining an access request.</w:t>
      </w:r>
    </w:p>
    <w:p>
      <w:pPr>
        <w:spacing w:after="100"/>
      </w:pPr>
      <w:r>
        <w:rPr>
          <w:b/>
          <w:bCs/>
        </w:rPr>
        <w:t xml:space="preserve">One contradiction this surfaced, needing a decision before build.</w:t>
      </w:r>
      <w:r>
        <w:t xml:space="preserve"> §4 of this document says</w:t>
      </w:r>
    </w:p>
    <w:p>
      <w:pPr>
        <w:spacing w:after="100"/>
      </w:pPr>
      <w:r>
        <w:t xml:space="preserve">practitioners pay a </w:t>
      </w:r>
      <w:r>
        <w:rPr>
          <w:b/>
          <w:bCs/>
        </w:rPr>
        <w:t xml:space="preserve">subscription</w:t>
      </w:r>
      <w:r>
        <w:t xml:space="preserve"> and patients pay providers </w:t>
      </w:r>
      <w:r>
        <w:rPr>
          <w:b/>
          <w:bCs/>
        </w:rPr>
        <w:t xml:space="preserve">directly</w:t>
      </w:r>
      <w:r>
        <w:t xml:space="preserve">. The 1 August review</w:t>
      </w:r>
    </w:p>
    <w:p>
      <w:pPr>
        <w:spacing w:after="100"/>
      </w:pPr>
      <w:r>
        <w:t xml:space="preserve">added </w:t>
      </w:r>
      <w:r>
        <w:rPr>
          <w:b/>
          <w:bCs/>
        </w:rPr>
        <w:t xml:space="preserve">payment before booking</w:t>
      </w:r>
      <w:r>
        <w:t xml:space="preserve">, which means Medra collects the fee and pays the doctor out.</w:t>
      </w:r>
    </w:p>
    <w:p>
      <w:pPr>
        <w:spacing w:after="100"/>
      </w:pPr>
      <w:r>
        <w:t xml:space="preserve">Both are now designed — S6 for the subscription and trial, S5 for payouts — and S2 states that</w:t>
      </w:r>
    </w:p>
    <w:p>
      <w:pPr>
        <w:spacing w:after="100"/>
      </w:pPr>
      <w:r>
        <w:t xml:space="preserve">Medra earns from the subscription rather than a commission. If the answer is "both", that needs</w:t>
      </w:r>
    </w:p>
    <w:p>
      <w:pPr>
        <w:spacing w:after="100"/>
      </w:pPr>
      <w:r>
        <w:t xml:space="preserve">justifying to doctors, because it is two charges on the same transaction.</w:t>
      </w:r>
    </w:p>
    <w:p>
      <w:pPr>
        <w:spacing w:after="100"/>
      </w:pPr>
      <w:r>
        <w:t xml:space="preserve">Still open by agreement: a medical doctor reviews every clinical string before build; the 50%</w:t>
      </w:r>
    </w:p>
    <w:p>
      <w:pPr>
        <w:spacing w:after="100"/>
      </w:pPr>
      <w:r>
        <w:t xml:space="preserve">no-show split is a pilot policy; referral rewards are indicative; the institution admin portal</w:t>
      </w:r>
    </w:p>
    <w:p>
      <w:pPr>
        <w:spacing w:after="100"/>
      </w:pPr>
      <w:r>
        <w:t xml:space="preserve">and a lab technician's own screen are separate modules.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2026-08-06T19:49:43.172Z</dcterms:created>
  <dcterms:modified xsi:type="dcterms:W3CDTF">2026-08-06T19:49:43.172Z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