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do usuário — Acervo</w:t>
      </w:r>
    </w:p>
    <w:p>
      <w:pPr>
        <w:pStyle w:val="Heading2"/>
      </w:pPr>
      <w:r>
        <w:t>1. Instalar e iniciar</w:t>
      </w:r>
    </w:p>
    <w:p>
      <w:r>
        <w:t xml:space="preserve">Instale o JDK 17 ou superior. Confirme em um terminal com </w:t>
      </w:r>
      <w:r>
        <w:rPr>
          <w:rFonts w:ascii="Consolas" w:hAnsi="Consolas"/>
          <w:sz w:val="18"/>
        </w:rPr>
        <w:t>java -version</w:t>
      </w:r>
      <w:r>
        <w:t xml:space="preserve"> e </w:t>
      </w:r>
      <w:r>
        <w:rPr>
          <w:rFonts w:ascii="Consolas" w:hAnsi="Consolas"/>
          <w:sz w:val="18"/>
        </w:rPr>
        <w:t>javac -version</w:t>
      </w:r>
      <w:r>
        <w:t>. Extraia o pacote completo em uma pasta com permissão de escrita. Abra o PowerShell nessa pasta e execute:</w:t>
      </w:r>
    </w:p>
    <w:p>
      <w:pPr>
        <w:spacing w:after="200"/>
      </w:pPr>
      <w:r>
        <w:rPr>
          <w:rFonts w:ascii="Consolas" w:hAnsi="Consolas"/>
          <w:sz w:val="16"/>
        </w:rPr>
        <w:t>powershell -NoProfile -ExecutionPolicy Bypass -File .\iniciar.ps1</w:t>
      </w:r>
    </w:p>
    <w:p>
      <w:r>
        <w:t xml:space="preserve">Na primeira execução, aguarde os downloads e a compilação. Quando aparecer a mensagem de disponibilidade, abra </w:t>
      </w:r>
      <w:r>
        <w:rPr>
          <w:rFonts w:ascii="Consolas" w:hAnsi="Consolas"/>
          <w:sz w:val="18"/>
        </w:rPr>
        <w:t>http://localhost:8080/itens</w:t>
      </w:r>
      <w:r>
        <w:t xml:space="preserve">. Mantenha o terminal em execução. Para encerrar, pressione </w:t>
      </w:r>
      <w:r>
        <w:rPr>
          <w:rFonts w:ascii="Consolas" w:hAnsi="Consolas"/>
          <w:sz w:val="18"/>
        </w:rPr>
        <w:t>Ctrl+C</w:t>
      </w:r>
      <w:r>
        <w:t xml:space="preserve">. Para abrir novamente sem recompilar, utilize </w:t>
      </w:r>
      <w:r>
        <w:rPr>
          <w:rFonts w:ascii="Consolas" w:hAnsi="Consolas"/>
          <w:sz w:val="18"/>
        </w:rPr>
        <w:t>iniciar.ps1 -SemCompilar</w:t>
      </w:r>
      <w:r>
        <w:t xml:space="preserve"> depois de uma compilação bem-sucedida.</w:t>
      </w:r>
    </w:p>
    <w:p>
      <w:r>
        <w:t xml:space="preserve">O catálogo começa vazio. Os dados ficam em </w:t>
      </w:r>
      <w:r>
        <w:rPr>
          <w:rFonts w:ascii="Consolas" w:hAnsi="Consolas"/>
          <w:sz w:val="18"/>
        </w:rPr>
        <w:t>data/catalogo.mv.db</w:t>
      </w:r>
      <w:r>
        <w:t>. Não é necessário instalar um servidor de banco separado. Python não é necessário para utilizar a aplicação.</w:t>
      </w:r>
    </w:p>
    <w:p>
      <w:pPr>
        <w:pStyle w:val="Heading2"/>
      </w:pPr>
      <w:r>
        <w:t>2. Cadastrar e consultar</w:t>
      </w:r>
    </w:p>
    <w:p>
      <w:r>
        <w:t xml:space="preserve">Clique em </w:t>
      </w:r>
      <w:r>
        <w:rPr>
          <w:b/>
        </w:rPr>
        <w:t>Adicionar item</w:t>
      </w:r>
      <w:r>
        <w:t>. Escolha Livro, Filme ou Série e preencha título, autor/diretor, ano, gênero e sinopse. Todos os campos são obrigatórios. O ano deve ser inteiro, de 1 até o próximo ano do calendário. Os limites são: título e autor/diretor, 255 caracteres; gênero, 100; sinopse, 2.000.</w:t>
      </w:r>
    </w:p>
    <w:p>
      <w:r>
        <w:t xml:space="preserve">Clique em </w:t>
      </w:r>
      <w:r>
        <w:rPr>
          <w:b/>
        </w:rPr>
        <w:t>Adicionar ao acervo</w:t>
      </w:r>
      <w:r>
        <w:t>. A página de detalhes confirma o cadastro. Caso haja um erro de preenchimento, os dados permanecem no formulário e a mensagem indica o que corrigir.</w:t>
      </w:r>
    </w:p>
    <w:p>
      <w:r>
        <w:t xml:space="preserve">No catálogo, clique em </w:t>
      </w:r>
      <w:r>
        <w:rPr>
          <w:b/>
        </w:rPr>
        <w:t>Ver detalhes</w:t>
      </w:r>
      <w:r>
        <w:t xml:space="preserve"> ou no título. A página apresenta os dados completos da obra. As cores e letras das capas são ilustrações tipográficas, não imagens oficiais das obras.</w:t>
      </w:r>
    </w:p>
    <w:p>
      <w:pPr>
        <w:pStyle w:val="Heading2"/>
      </w:pPr>
      <w:r>
        <w:t>3. Buscar, editar e excluir</w:t>
      </w:r>
    </w:p>
    <w:p>
      <w:r>
        <w:t xml:space="preserve">Digite parte do título ou do autor/diretor na caixa de busca e clique em </w:t>
      </w:r>
      <w:r>
        <w:rPr>
          <w:b/>
        </w:rPr>
        <w:t>Buscar</w:t>
      </w:r>
      <w:r>
        <w:t xml:space="preserve">. A pesquisa não diferencia maiúsculas de minúsculas. Acentos são significativos. Os símbolos </w:t>
      </w:r>
      <w:r>
        <w:rPr>
          <w:rFonts w:ascii="Consolas" w:hAnsi="Consolas"/>
          <w:sz w:val="18"/>
        </w:rPr>
        <w:t>%</w:t>
      </w:r>
      <w:r>
        <w:t xml:space="preserve"> e </w:t>
      </w:r>
      <w:r>
        <w:rPr>
          <w:rFonts w:ascii="Consolas" w:hAnsi="Consolas"/>
          <w:sz w:val="18"/>
        </w:rPr>
        <w:t>_</w:t>
      </w:r>
      <w:r>
        <w:t xml:space="preserve"> são pesquisados literalmente. Clique em </w:t>
      </w:r>
      <w:r>
        <w:rPr>
          <w:b/>
        </w:rPr>
        <w:t>Limpar busca</w:t>
      </w:r>
      <w:r>
        <w:t xml:space="preserve"> para voltar à coleção completa.</w:t>
      </w:r>
    </w:p>
    <w:p>
      <w:r>
        <w:t xml:space="preserve">Nos detalhes de uma obra, selecione </w:t>
      </w:r>
      <w:r>
        <w:rPr>
          <w:b/>
        </w:rPr>
        <w:t>Editar informações</w:t>
      </w:r>
      <w:r>
        <w:t xml:space="preserve">, ajuste os campos e clique em </w:t>
      </w:r>
      <w:r>
        <w:rPr>
          <w:b/>
        </w:rPr>
        <w:t>Salvar alterações</w:t>
      </w:r>
      <w:r>
        <w:t xml:space="preserve">. </w:t>
      </w:r>
      <w:r>
        <w:rPr>
          <w:b/>
        </w:rPr>
        <w:t>Cancelar</w:t>
      </w:r>
      <w:r>
        <w:t xml:space="preserve"> retorna ao catálogo sem salvar as mudanças do formulário.</w:t>
      </w:r>
    </w:p>
    <w:p>
      <w:r>
        <w:t xml:space="preserve">Para excluir, clique em </w:t>
      </w:r>
      <w:r>
        <w:rPr>
          <w:b/>
        </w:rPr>
        <w:t>Excluir item</w:t>
      </w:r>
      <w:r>
        <w:t xml:space="preserve"> e confirme em </w:t>
      </w:r>
      <w:r>
        <w:rPr>
          <w:b/>
        </w:rPr>
        <w:t>Sim, excluir este item</w:t>
      </w:r>
      <w:r>
        <w:t xml:space="preserve">. A exclusão é permanente. Sem JavaScript, abra </w:t>
      </w:r>
      <w:r>
        <w:rPr>
          <w:b/>
        </w:rPr>
        <w:t>Confirmar exclusão</w:t>
      </w:r>
      <w:r>
        <w:t xml:space="preserve"> diretamente; o formulário continua funcionando.</w:t>
      </w:r>
    </w:p>
    <w:p>
      <w:pPr>
        <w:pStyle w:val="Heading2"/>
      </w:pPr>
      <w:r>
        <w:t>4. Dificuldades e conservação dos dados</w:t>
      </w:r>
    </w:p>
    <w:p>
      <w:r>
        <w:t xml:space="preserve">Se a porta estiver ocupada, encerre o servidor, execute </w:t>
      </w:r>
      <w:r>
        <w:rPr>
          <w:rFonts w:ascii="Consolas" w:hAnsi="Consolas"/>
          <w:sz w:val="18"/>
        </w:rPr>
        <w:t>$env:CATALOGO_PORT = '8081'</w:t>
      </w:r>
      <w:r>
        <w:t xml:space="preserve">, reinicie e abra </w:t>
      </w:r>
      <w:r>
        <w:rPr>
          <w:rFonts w:ascii="Consolas" w:hAnsi="Consolas"/>
          <w:sz w:val="18"/>
        </w:rPr>
        <w:t>http://localhost:8081/itens</w:t>
      </w:r>
      <w:r>
        <w:t>.</w:t>
      </w:r>
    </w:p>
    <w:p>
      <w:r>
        <w:t>Se o formulário expirar, reabra a tela e envie novamente. Se o banco ficar indisponível, confira o terminal e as permissões da pasta. Evite abrir duas instâncias com o mesmo arquivo H2.</w:t>
      </w:r>
    </w:p>
    <w:p>
      <w:r>
        <w:t xml:space="preserve">Para backup, encerre o servidor e copie a pasta </w:t>
      </w:r>
      <w:r>
        <w:rPr>
          <w:rFonts w:ascii="Consolas" w:hAnsi="Consolas"/>
          <w:sz w:val="18"/>
        </w:rPr>
        <w:t>data</w:t>
      </w:r>
      <w:r>
        <w:t xml:space="preserve"> para um local de sua escolha. Para restaurar, mantenha o servidor encerrado e substitua essa pasta por seu backup. Não copie o arquivo enquanto a aplicação estiver gravando.</w:t>
      </w:r>
    </w:p>
    <w:p>
      <w:r>
        <w:t>O servidor de demonstração atende somente no computador local. A aplicação não possui contas de usuário. Nome e RGM são preenchidos no documento acadêmico, não dentro do catálogo.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ACERVO  |  Situação-Problema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C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C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3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3C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Manual_Usuario</dc:title>
  <dc:subject>Refatoração e Orientação a Objetos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