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Roteiro de apresentação — aproximadamente 7 minutos</w:t>
      </w:r>
    </w:p>
    <w:p>
      <w:pPr>
        <w:pStyle w:val="Heading2"/>
      </w:pPr>
      <w:r>
        <w:t>1. Problema e objetivo — 1 minuto</w:t>
      </w:r>
    </w:p>
    <w:p>
      <w:r>
        <w:t>Apresente a Situação-Problema 3, páginas 39–40: a Servlet acumula CRUD, busca, regras e SQL. Explique as consequências: alteração difícil, duplicação e testes dependentes do ambiente inteiro. Mostre o objetivo de preservar o catálogo e separar responsabilidades.</w:t>
      </w:r>
    </w:p>
    <w:p>
      <w:pPr>
        <w:pStyle w:val="Heading2"/>
      </w:pPr>
      <w:r>
        <w:t>2. Arquitetura e POO — 1 minuto</w:t>
      </w:r>
    </w:p>
    <w:p>
      <w:r>
        <w:t>Mostre o diagrama de classes. Siga a cadeia JSP → Servlet → serviço → interface DAO → JDBC → H2. Aponte os atributos privados de ItemMidia e o contrato ItemMidiaDao. Explique que a implementação em memória existe apenas nos testes. Não é necessário inventar subclasses de livro e filme quando o comportamento é igual.</w:t>
      </w:r>
    </w:p>
    <w:p>
      <w:pPr>
        <w:pStyle w:val="Heading2"/>
      </w:pPr>
      <w:r>
        <w:t>3. Demonstração funcional — 2 minutos</w:t>
      </w:r>
    </w:p>
    <w:p>
      <w:r>
        <w:t>Inicie a aplicação, cadastre uma obra, observe a confirmação e busque pelo título ou autor. Abra os detalhes, edite o gênero e confira a alteração. Exclua o item demonstrativo mediante confirmação. Use um item novo para não apagar dados relevantes.</w:t>
      </w:r>
    </w:p>
    <w:p>
      <w:pPr>
        <w:pStyle w:val="Heading2"/>
      </w:pPr>
      <w:r>
        <w:t>4. Código e testes — 2 minutos</w:t>
      </w:r>
    </w:p>
    <w:p>
      <w:r>
        <w:t xml:space="preserve">Abra ItemMidiaServlet e mostre a chamada </w:t>
      </w:r>
      <w:r>
        <w:rPr>
          <w:rFonts w:ascii="Consolas" w:hAnsi="Consolas"/>
          <w:sz w:val="18"/>
        </w:rPr>
        <w:t>servico.salvar(...)</w:t>
      </w:r>
      <w:r>
        <w:t xml:space="preserve">, sem SQL. No serviço, mostre a validação antes da escrita. No DAO, mostre </w:t>
      </w:r>
      <w:r>
        <w:rPr>
          <w:rFonts w:ascii="Consolas" w:hAnsi="Consolas"/>
          <w:sz w:val="18"/>
        </w:rPr>
        <w:t>PreparedStatement</w:t>
      </w:r>
      <w:r>
        <w:t xml:space="preserve"> e </w:t>
      </w:r>
      <w:r>
        <w:rPr>
          <w:rFonts w:ascii="Consolas" w:hAnsi="Consolas"/>
          <w:sz w:val="18"/>
        </w:rPr>
        <w:t>try-with-resources</w:t>
      </w:r>
      <w:r>
        <w:t xml:space="preserve">. Execute </w:t>
      </w:r>
      <w:r>
        <w:rPr>
          <w:rFonts w:ascii="Consolas" w:hAnsi="Consolas"/>
          <w:sz w:val="18"/>
        </w:rPr>
        <w:t>maven.ps1 verify</w:t>
      </w:r>
      <w:r>
        <w:t xml:space="preserve"> ou apresente o relatório de verificação já gerado. Explique um teste de serviço sem banco e um teste HTTP com Tomcat real.</w:t>
      </w:r>
    </w:p>
    <w:p>
      <w:pPr>
        <w:pStyle w:val="Heading2"/>
      </w:pPr>
      <w:r>
        <w:t>5. Resultado, limites e continuidade — 1 minuto</w:t>
      </w:r>
    </w:p>
    <w:p>
      <w:r>
        <w:t>Relacione o resultado com as três perguntas da situação-problema: organização pela POO, redução de repetição pelo DAO e testabilidade pela camada de serviço. Mencione autenticação, paginação e controle de edição simultânea como evoluções. Esclareça que o cronograma de 24 horas é estimado e deve ser substituído pelo tempo pessoal real.</w:t>
      </w:r>
    </w:p>
    <w:p>
      <w:pPr>
        <w:pStyle w:val="Heading2"/>
      </w:pPr>
      <w:r>
        <w:t>Perguntas para revisão</w:t>
      </w:r>
    </w:p>
    <w:p>
      <w:pPr>
        <w:pStyle w:val="ListBullet"/>
      </w:pPr>
      <w:r>
        <w:t>Por que SQL no serviço repetiria o problema? Porque misturaria regras e detalhes do armazenamento.</w:t>
      </w:r>
    </w:p>
    <w:p>
      <w:pPr>
        <w:pStyle w:val="ListBullet"/>
      </w:pPr>
      <w:r>
        <w:t>O DAO valida o ano do próximo calendário? Não; essa regra está no serviço. O banco mantém restrições estruturais básicas.</w:t>
      </w:r>
    </w:p>
    <w:p>
      <w:pPr>
        <w:pStyle w:val="ListBullet"/>
      </w:pPr>
      <w:r>
        <w:t>H2 é um banco de verdade? Sim, é relacional; a execução normal grava em arquivo e os testes usam bancos isolados.</w:t>
      </w:r>
    </w:p>
    <w:p>
      <w:pPr>
        <w:pStyle w:val="ListBullet"/>
      </w:pPr>
      <w:r>
        <w:t>Trocar a implementação DAO exige mudar o serviço? O contrato permanece, mas o novo DAO, o esquema e a configuração precisam ser implementados e testados.</w:t>
      </w:r>
    </w:p>
    <w:p>
      <w:pPr>
        <w:pStyle w:val="ListBullet"/>
      </w:pPr>
      <w:r>
        <w:t>Como foi medido o ganho de manutenção? Não houve medição quantitativa; foram demonstradas separação de responsabilidades e substituição de dependência nos testes.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ACERVO  |  Situação-Problema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C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03C3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03C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203C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Roteiro_Apresentacao</dc:title>
  <dc:subject>Refatoração e Orientação a Objetos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