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4"/>
          <w:szCs w:val="34"/>
        </w:rPr>
        <w:t xml:space="preserve">EpiGrade: An Open, Reproducible Benchmark for DNA Methylation Episignature Classifiers</w:t>
      </w:r>
    </w:p>
    <w:p>
      <w:pPr>
        <w:spacing w:after="140" w:line="300"/>
        <w:jc w:val="center"/>
      </w:pPr>
      <w:r>
        <w:rPr>
          <w:rFonts w:ascii="Times New Roman" w:cs="Times New Roman" w:eastAsia="Times New Roman" w:hAnsi="Times New Roman"/>
          <w:b/>
          <w:bCs/>
          <w:sz w:val="22"/>
          <w:szCs w:val="22"/>
        </w:rPr>
        <w:t xml:space="preserve">Upasana Bhaumik (23BCB0074), Samhitaa Saravanakumar (23BCB0125), Divyanjali Tyagi (23BCB0123)</w:t>
      </w:r>
    </w:p>
    <w:p>
      <w:pPr>
        <w:spacing w:after="140" w:line="300"/>
        <w:jc w:val="center"/>
      </w:pPr>
      <w:r>
        <w:rPr>
          <w:rFonts w:ascii="Times New Roman" w:cs="Times New Roman" w:eastAsia="Times New Roman" w:hAnsi="Times New Roman"/>
          <w:sz w:val="22"/>
          <w:szCs w:val="22"/>
        </w:rPr>
        <w:t xml:space="preserve">Vellore Institute of Technology (VIT), Vellore, India</w:t>
      </w:r>
    </w:p>
    <w:p>
      <w:pPr>
        <w:pStyle w:val="Heading1"/>
        <w:keepNext/>
        <w:spacing w:after="120" w:before="320"/>
      </w:pPr>
      <w:r>
        <w:rPr>
          <w:rFonts w:ascii="Times New Roman" w:cs="Times New Roman" w:eastAsia="Times New Roman" w:hAnsi="Times New Roman"/>
          <w:b/>
          <w:bCs/>
          <w:color w:val="000000"/>
          <w:sz w:val="28"/>
          <w:szCs w:val="28"/>
        </w:rPr>
        <w:t xml:space="preserve">Abstract</w:t>
      </w:r>
    </w:p>
    <w:p>
      <w:pPr>
        <w:spacing w:after="140" w:line="300"/>
        <w:jc w:val="both"/>
      </w:pPr>
      <w:r>
        <w:rPr>
          <w:rFonts w:ascii="Times New Roman" w:cs="Times New Roman" w:eastAsia="Times New Roman" w:hAnsi="Times New Roman"/>
          <w:sz w:val="22"/>
          <w:szCs w:val="22"/>
        </w:rPr>
        <w:t xml:space="preserve">DNA methylation episignatures are used in clinical laboratories to interpret genetic variants of uncertain significance, yet the evidence that they work rests largely on one private reference database that outside laboratories cannot inspect. We built EpiGrade, a benchmark that rebuilds what can be rebuilt from public data alone. From 18 Gene Expression Omnibus accessions we harvested 3,732 samples, retained 1,622, and recorded a reason for each of the 2,110 excluded. The corpus covers 12 disorders; 10 have enough cases for a signature. The published Sotos syndrome classifier was reproduced exactly on all four checks. For the other nine disorders we re-derived signatures under one fixed threshold and audited them. Three findings follow. First, only three disorders have cases in two independent studies, and a signature could be transferred across studies in just 1 of 6 directions, where it detected 5 of 18 held-out cases. Second, classifiers trained against controls from another series score other disorders' cases positive 68.1% of the time, against 11.9% for classifiers with in-series controls: they detect the series, not the disease. Third, 500 random probes separate Sotos cases from controls at an area under the curve of 1.00, so within-study separation cannot by itself identify a signature. We therefore built an identification engine that accepts a user's probe list, searches all 12 cohorts, and calls a match only when the probes outperform random probe sets of equal size. The calibration method is not new; the contribution is that one command regenerates every number from public accessions.</w:t>
      </w:r>
    </w:p>
    <w:p>
      <w:pPr>
        <w:spacing w:after="140" w:line="300"/>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episignature, DNA methylation, reproducibility, calibration, variant of uncertain significance, batch confounding</w:t>
      </w:r>
    </w:p>
    <w:p>
      <w:pPr>
        <w:pStyle w:val="Heading1"/>
        <w:keepNext/>
        <w:spacing w:after="120" w:before="320"/>
      </w:pPr>
      <w:r>
        <w:rPr>
          <w:rFonts w:ascii="Times New Roman" w:cs="Times New Roman" w:eastAsia="Times New Roman" w:hAnsi="Times New Roman"/>
          <w:b/>
          <w:bCs/>
          <w:color w:val="000000"/>
          <w:sz w:val="28"/>
          <w:szCs w:val="28"/>
        </w:rPr>
        <w:t xml:space="preserve">1. Introduction</w:t>
      </w:r>
    </w:p>
    <w:p>
      <w:pPr>
        <w:pStyle w:val="Heading2"/>
        <w:keepNext/>
        <w:spacing w:after="120" w:before="220"/>
      </w:pPr>
      <w:r>
        <w:rPr>
          <w:rFonts w:ascii="Times New Roman" w:cs="Times New Roman" w:eastAsia="Times New Roman" w:hAnsi="Times New Roman"/>
          <w:b/>
          <w:bCs/>
          <w:color w:val="000000"/>
          <w:sz w:val="24"/>
          <w:szCs w:val="24"/>
        </w:rPr>
        <w:t xml:space="preserve">1.1 What an episignature is and why it matters</w:t>
      </w:r>
    </w:p>
    <w:p>
      <w:pPr>
        <w:spacing w:after="140" w:line="300"/>
        <w:jc w:val="both"/>
      </w:pPr>
      <w:r>
        <w:rPr>
          <w:rFonts w:ascii="Times New Roman" w:cs="Times New Roman" w:eastAsia="Times New Roman" w:hAnsi="Times New Roman"/>
          <w:sz w:val="22"/>
          <w:szCs w:val="22"/>
        </w:rPr>
        <w:t xml:space="preserve">Sequencing a child with a suspected genetic disorder often returns a variant that nobody can interpret. The gene is plausible, the variant is rare, but there is not enough evidence to call it disease-causing or harmless. Under the standards of the American College of Medical Genetics and Genomics and the Association for Molecular Pathology (ACMG/AMP), such a result is a variant of uncertain significance [1]. It cannot be used to confirm a diagnosis, guide treatment, or test relatives.</w:t>
      </w:r>
    </w:p>
    <w:p>
      <w:pPr>
        <w:spacing w:after="140" w:line="300"/>
        <w:jc w:val="both"/>
      </w:pPr>
      <w:r>
        <w:rPr>
          <w:rFonts w:ascii="Times New Roman" w:cs="Times New Roman" w:eastAsia="Times New Roman" w:hAnsi="Times New Roman"/>
          <w:sz w:val="22"/>
          <w:szCs w:val="22"/>
        </w:rPr>
        <w:t xml:space="preserve">Many of the genes involved in neurodevelopmental disorders encode proteins that write, read, or erase chemical marks on DNA and its packaging. When one of these genes is disrupted, the pattern of DNA methylation in blood changes in a characteristic way at hundreds or thousands of positions (CpG sites). That characteristic pattern is called an episignature [2]. It offers a second, independent test. If a patient with an uninterpretable variant in the gene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shows the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methylation pattern, the variant is probably pathogenic. If the pattern is absent, the variant is probably benign.</w:t>
      </w:r>
    </w:p>
    <w:p>
      <w:pPr>
        <w:spacing w:after="140" w:line="300"/>
        <w:jc w:val="both"/>
      </w:pPr>
      <w:r>
        <w:rPr>
          <w:rFonts w:ascii="Times New Roman" w:cs="Times New Roman" w:eastAsia="Times New Roman" w:hAnsi="Times New Roman"/>
          <w:sz w:val="22"/>
          <w:szCs w:val="22"/>
        </w:rPr>
        <w:t xml:space="preserve">The approach has scaled quickly. Aref-Eshghi and colleagues mapped episignatures in 42 genetic syndromes and identified 34 robust disease-specific ones [3]. A clinical testing network reported 2,399 cases, with positive findings in 18.7% of comprehensive screens and 32.4% of targeted analyses [4].</w:t>
      </w:r>
    </w:p>
    <w:p>
      <w:pPr>
        <w:pStyle w:val="Heading2"/>
        <w:keepNext/>
        <w:spacing w:after="120" w:before="220"/>
      </w:pPr>
      <w:r>
        <w:rPr>
          <w:rFonts w:ascii="Times New Roman" w:cs="Times New Roman" w:eastAsia="Times New Roman" w:hAnsi="Times New Roman"/>
          <w:b/>
          <w:bCs/>
          <w:color w:val="000000"/>
          <w:sz w:val="24"/>
          <w:szCs w:val="24"/>
        </w:rPr>
        <w:t xml:space="preserve">1.2 How results are currently reported</w:t>
      </w:r>
    </w:p>
    <w:p>
      <w:pPr>
        <w:spacing w:after="140" w:line="300"/>
        <w:jc w:val="both"/>
      </w:pPr>
      <w:r>
        <w:rPr>
          <w:rFonts w:ascii="Times New Roman" w:cs="Times New Roman" w:eastAsia="Times New Roman" w:hAnsi="Times New Roman"/>
          <w:sz w:val="22"/>
          <w:szCs w:val="22"/>
        </w:rPr>
        <w:t xml:space="preserve">A clinical episignature report does not state how many times more likely the observed pattern is under one hypothesis than the other. The dominant commercial assay compares each patient's profile with a proprietary reference, the EpiSign Knowledge Database, using clustering and a support vector machine, and reports the result according to recommendations agreed by an expert working group [4]. Those categories are qualitative. They are not a calibrated measure of evidence strength.</w:t>
      </w:r>
    </w:p>
    <w:p>
      <w:pPr>
        <w:spacing w:after="140" w:line="300"/>
        <w:jc w:val="both"/>
      </w:pPr>
      <w:r>
        <w:rPr>
          <w:rFonts w:ascii="Times New Roman" w:cs="Times New Roman" w:eastAsia="Times New Roman" w:hAnsi="Times New Roman"/>
          <w:sz w:val="22"/>
          <w:szCs w:val="22"/>
        </w:rPr>
        <w:t xml:space="preserve">This matters because the ACMG/AMP framework is quantitative underneath. Tavtigian and colleagues showed that its evidence levels (supporting, moderate, strong, very strong) correspond to specific odds of pathogenicity [10]. Brnich and colleagues set out how a functional assay should be validated against known pathogenic and benign controls before it is assigned a strength [9]. Pejaver and colleagues then calibrated computational predictors by estimating, at each score, how strongly that score supports pathogenicity [8]. Episignature scores have not been put through the same process in public.</w:t>
      </w:r>
    </w:p>
    <w:p>
      <w:pPr>
        <w:pStyle w:val="Heading2"/>
        <w:keepNext/>
        <w:spacing w:after="120" w:before="220"/>
      </w:pPr>
      <w:r>
        <w:rPr>
          <w:rFonts w:ascii="Times New Roman" w:cs="Times New Roman" w:eastAsia="Times New Roman" w:hAnsi="Times New Roman"/>
          <w:b/>
          <w:bCs/>
          <w:color w:val="000000"/>
          <w:sz w:val="24"/>
          <w:szCs w:val="24"/>
        </w:rPr>
        <w:t xml:space="preserve">1.3 The reproducibility problem</w:t>
      </w:r>
    </w:p>
    <w:p>
      <w:pPr>
        <w:spacing w:after="140" w:line="300"/>
        <w:jc w:val="both"/>
      </w:pPr>
      <w:r>
        <w:rPr>
          <w:rFonts w:ascii="Times New Roman" w:cs="Times New Roman" w:eastAsia="Times New Roman" w:hAnsi="Times New Roman"/>
          <w:sz w:val="22"/>
          <w:szCs w:val="22"/>
        </w:rPr>
        <w:t xml:space="preserve">The validation of most clinical episignatures cannot be checked from outside. The reference database is private. Published signatures are often reported as lists of CpG sites without the trained classifier or the full training cohort. The public data that do exist are scattered across the Gene Expression Omnibus (GEO), each deposit labelled in its own vocabulary.</w:t>
      </w:r>
    </w:p>
    <w:p>
      <w:pPr>
        <w:spacing w:after="140" w:line="300"/>
        <w:jc w:val="both"/>
      </w:pPr>
      <w:r>
        <w:rPr>
          <w:rFonts w:ascii="Times New Roman" w:cs="Times New Roman" w:eastAsia="Times New Roman" w:hAnsi="Times New Roman"/>
          <w:sz w:val="22"/>
          <w:szCs w:val="22"/>
        </w:rPr>
        <w:t xml:space="preserve">Independent checks are rare and sobering. Husson and colleagues generated new data for ten published signatures and found that sensitivities "unexpectedly spanned a very large spectrum": four reached 100%, while two fell below 40% [7]. That study is the closest prior work to ours, and it required new laboratory data from a hospital network. We ask a narrower question: how much can be established from what is already public?</w:t>
      </w:r>
    </w:p>
    <w:p>
      <w:pPr>
        <w:pStyle w:val="Heading2"/>
        <w:keepNext/>
        <w:spacing w:after="120" w:before="220"/>
      </w:pPr>
      <w:r>
        <w:rPr>
          <w:rFonts w:ascii="Times New Roman" w:cs="Times New Roman" w:eastAsia="Times New Roman" w:hAnsi="Times New Roman"/>
          <w:b/>
          <w:bCs/>
          <w:color w:val="000000"/>
          <w:sz w:val="24"/>
          <w:szCs w:val="24"/>
        </w:rPr>
        <w:t xml:space="preserve">1.4 Contributions</w:t>
      </w:r>
    </w:p>
    <w:p>
      <w:pPr>
        <w:pStyle w:val="ListParagraph"/>
        <w:numPr>
          <w:ilvl w:val="0"/>
          <w:numId w:val="2"/>
        </w:numPr>
        <w:spacing w:after="80" w:line="290"/>
      </w:pPr>
      <w:r>
        <w:rPr>
          <w:rFonts w:ascii="Times New Roman" w:cs="Times New Roman" w:eastAsia="Times New Roman" w:hAnsi="Times New Roman"/>
          <w:b/>
          <w:bCs/>
          <w:sz w:val="22"/>
          <w:szCs w:val="22"/>
        </w:rPr>
        <w:t xml:space="preserve">A public corpus with a recorded reason for every exclusion.</w:t>
      </w:r>
      <w:r>
        <w:rPr>
          <w:rFonts w:ascii="Times New Roman" w:cs="Times New Roman" w:eastAsia="Times New Roman" w:hAnsi="Times New Roman"/>
          <w:sz w:val="22"/>
          <w:szCs w:val="22"/>
        </w:rPr>
        <w:t xml:space="preserve"> 18 accessions, 3,732 samples, 12 disorders, with each sample assigned a role by explicit rules.</w:t>
      </w:r>
    </w:p>
    <w:p>
      <w:pPr>
        <w:pStyle w:val="ListParagraph"/>
        <w:numPr>
          <w:ilvl w:val="0"/>
          <w:numId w:val="2"/>
        </w:numPr>
        <w:spacing w:after="80" w:line="290"/>
      </w:pPr>
      <w:r>
        <w:rPr>
          <w:rFonts w:ascii="Times New Roman" w:cs="Times New Roman" w:eastAsia="Times New Roman" w:hAnsi="Times New Roman"/>
          <w:b/>
          <w:bCs/>
          <w:sz w:val="22"/>
          <w:szCs w:val="22"/>
        </w:rPr>
        <w:t xml:space="preserve">An exact reproduction of a published classifier.</w:t>
      </w:r>
      <w:r>
        <w:rPr>
          <w:rFonts w:ascii="Times New Roman" w:cs="Times New Roman" w:eastAsia="Times New Roman" w:hAnsi="Times New Roman"/>
          <w:sz w:val="22"/>
          <w:szCs w:val="22"/>
        </w:rPr>
        <w:t xml:space="preserve"> The Sotos syndrome signature of Choufani and colleagues [5], reproduced on four checks.</w:t>
      </w:r>
    </w:p>
    <w:p>
      <w:pPr>
        <w:pStyle w:val="ListParagraph"/>
        <w:numPr>
          <w:ilvl w:val="0"/>
          <w:numId w:val="2"/>
        </w:numPr>
        <w:spacing w:after="80" w:line="290"/>
      </w:pPr>
      <w:r>
        <w:rPr>
          <w:rFonts w:ascii="Times New Roman" w:cs="Times New Roman" w:eastAsia="Times New Roman" w:hAnsi="Times New Roman"/>
          <w:b/>
          <w:bCs/>
          <w:sz w:val="22"/>
          <w:szCs w:val="22"/>
        </w:rPr>
        <w:t xml:space="preserve">Nine re-derived signatures under one fixed threshold</w:t>
      </w:r>
      <w:r>
        <w:rPr>
          <w:rFonts w:ascii="Times New Roman" w:cs="Times New Roman" w:eastAsia="Times New Roman" w:hAnsi="Times New Roman"/>
          <w:sz w:val="22"/>
          <w:szCs w:val="22"/>
        </w:rPr>
        <w:t xml:space="preserve">, each labelled as re-derived and never presented as a reproduction of a published signature.</w:t>
      </w:r>
    </w:p>
    <w:p>
      <w:pPr>
        <w:pStyle w:val="ListParagraph"/>
        <w:numPr>
          <w:ilvl w:val="0"/>
          <w:numId w:val="2"/>
        </w:numPr>
        <w:spacing w:after="80" w:line="290"/>
      </w:pPr>
      <w:r>
        <w:rPr>
          <w:rFonts w:ascii="Times New Roman" w:cs="Times New Roman" w:eastAsia="Times New Roman" w:hAnsi="Times New Roman"/>
          <w:b/>
          <w:bCs/>
          <w:sz w:val="22"/>
          <w:szCs w:val="22"/>
        </w:rPr>
        <w:t xml:space="preserve">A structural audit</w:t>
      </w:r>
      <w:r>
        <w:rPr>
          <w:rFonts w:ascii="Times New Roman" w:cs="Times New Roman" w:eastAsia="Times New Roman" w:hAnsi="Times New Roman"/>
          <w:sz w:val="22"/>
          <w:szCs w:val="22"/>
        </w:rPr>
        <w:t xml:space="preserve">: a confounding gate, leave-one-study-out in both directions for every disorder with two studies, and a complete cross-disorder matrix.</w:t>
      </w:r>
    </w:p>
    <w:p>
      <w:pPr>
        <w:pStyle w:val="ListParagraph"/>
        <w:numPr>
          <w:ilvl w:val="0"/>
          <w:numId w:val="2"/>
        </w:numPr>
        <w:spacing w:after="80" w:line="290"/>
      </w:pPr>
      <w:r>
        <w:rPr>
          <w:rFonts w:ascii="Times New Roman" w:cs="Times New Roman" w:eastAsia="Times New Roman" w:hAnsi="Times New Roman"/>
          <w:b/>
          <w:bCs/>
          <w:sz w:val="22"/>
          <w:szCs w:val="22"/>
        </w:rPr>
        <w:t xml:space="preserve">Calibrated evidence bands with an attainable ceiling</w:t>
      </w:r>
      <w:r>
        <w:rPr>
          <w:rFonts w:ascii="Times New Roman" w:cs="Times New Roman" w:eastAsia="Times New Roman" w:hAnsi="Times New Roman"/>
          <w:sz w:val="22"/>
          <w:szCs w:val="22"/>
        </w:rPr>
        <w:t xml:space="preserve">, separating between-study bounds from within-study ones.</w:t>
      </w:r>
    </w:p>
    <w:p>
      <w:pPr>
        <w:pStyle w:val="ListParagraph"/>
        <w:numPr>
          <w:ilvl w:val="0"/>
          <w:numId w:val="2"/>
        </w:numPr>
        <w:spacing w:after="80" w:line="290"/>
      </w:pPr>
      <w:r>
        <w:rPr>
          <w:rFonts w:ascii="Times New Roman" w:cs="Times New Roman" w:eastAsia="Times New Roman" w:hAnsi="Times New Roman"/>
          <w:b/>
          <w:bCs/>
          <w:sz w:val="22"/>
          <w:szCs w:val="22"/>
        </w:rPr>
        <w:t xml:space="preserve">An identification engine</w:t>
      </w:r>
      <w:r>
        <w:rPr>
          <w:rFonts w:ascii="Times New Roman" w:cs="Times New Roman" w:eastAsia="Times New Roman" w:hAnsi="Times New Roman"/>
          <w:sz w:val="22"/>
          <w:szCs w:val="22"/>
        </w:rPr>
        <w:t xml:space="preserve"> that evaluates a user-supplied signature against all 12 cohorts, with a match rule that we changed after the originally specified rule failed on real data, and an optional plain-language summary whose every output is checked against the computed facts.</w:t>
      </w:r>
    </w:p>
    <w:p>
      <w:pPr>
        <w:pStyle w:val="ListParagraph"/>
        <w:numPr>
          <w:ilvl w:val="0"/>
          <w:numId w:val="2"/>
        </w:numPr>
        <w:spacing w:after="80" w:line="290"/>
      </w:pPr>
      <w:r>
        <w:rPr>
          <w:rFonts w:ascii="Times New Roman" w:cs="Times New Roman" w:eastAsia="Times New Roman" w:hAnsi="Times New Roman"/>
          <w:b/>
          <w:bCs/>
          <w:sz w:val="22"/>
          <w:szCs w:val="22"/>
        </w:rPr>
        <w:t xml:space="preserve">One-command reproduction</w:t>
      </w:r>
      <w:r>
        <w:rPr>
          <w:rFonts w:ascii="Times New Roman" w:cs="Times New Roman" w:eastAsia="Times New Roman" w:hAnsi="Times New Roman"/>
          <w:sz w:val="22"/>
          <w:szCs w:val="22"/>
        </w:rPr>
        <w:t xml:space="preserve"> of every table and figure.</w:t>
      </w:r>
    </w:p>
    <w:p>
      <w:pPr>
        <w:spacing w:after="140" w:line="300"/>
        <w:jc w:val="both"/>
      </w:pPr>
      <w:r>
        <w:rPr>
          <w:rFonts w:ascii="Times New Roman" w:cs="Times New Roman" w:eastAsia="Times New Roman" w:hAnsi="Times New Roman"/>
          <w:sz w:val="22"/>
          <w:szCs w:val="22"/>
        </w:rPr>
        <w:t xml:space="preserve">We do not claim the calibration method is new. It is Pejaver-style calibration [8] applied to a data type that had not been calibrated in public, and a general implementation is available on CRAN [11]. We do not claim cross-disorder specificity testing is new; it is routine inside the private database [3]. The claim is that this version can be checked.</w:t>
      </w:r>
    </w:p>
    <w:p>
      <w:pPr>
        <w:pStyle w:val="Heading1"/>
        <w:keepNext/>
        <w:spacing w:after="120" w:before="320"/>
      </w:pPr>
      <w:r>
        <w:rPr>
          <w:rFonts w:ascii="Times New Roman" w:cs="Times New Roman" w:eastAsia="Times New Roman" w:hAnsi="Times New Roman"/>
          <w:b/>
          <w:bCs/>
          <w:color w:val="000000"/>
          <w:sz w:val="28"/>
          <w:szCs w:val="28"/>
        </w:rPr>
        <w:t xml:space="preserve">2. Literature Review</w:t>
      </w:r>
    </w:p>
    <w:p>
      <w:pPr>
        <w:pStyle w:val="Heading2"/>
        <w:keepNext/>
        <w:spacing w:after="120" w:before="220"/>
      </w:pPr>
      <w:r>
        <w:rPr>
          <w:rFonts w:ascii="Times New Roman" w:cs="Times New Roman" w:eastAsia="Times New Roman" w:hAnsi="Times New Roman"/>
          <w:b/>
          <w:bCs/>
          <w:color w:val="000000"/>
          <w:sz w:val="24"/>
          <w:szCs w:val="24"/>
        </w:rPr>
        <w:t xml:space="preserve">2.1 Founding signatures</w:t>
      </w:r>
    </w:p>
    <w:p>
      <w:pPr>
        <w:spacing w:after="140" w:line="300"/>
        <w:jc w:val="both"/>
      </w:pPr>
      <w:r>
        <w:rPr>
          <w:rFonts w:ascii="Times New Roman" w:cs="Times New Roman" w:eastAsia="Times New Roman" w:hAnsi="Times New Roman"/>
          <w:b/>
          <w:bCs/>
          <w:sz w:val="22"/>
          <w:szCs w:val="22"/>
        </w:rPr>
        <w:t xml:space="preserve">Choufani et al. (2015)</w:t>
      </w:r>
      <w:r>
        <w:rPr>
          <w:rFonts w:ascii="Times New Roman" w:cs="Times New Roman" w:eastAsia="Times New Roman" w:hAnsi="Times New Roman"/>
          <w:sz w:val="22"/>
          <w:szCs w:val="22"/>
        </w:rPr>
        <w:t xml:space="preserve"> described a genome-wide methylation signature for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loss of function, the cause of Sotos syndrome [5]. They published the list of 7,085 signature CpG sites, the scoring rule, and the data (GEO accession GSE74432). The scoring rule is simple: correlate a sample with the median profile of cases, correlate it with the median profile of controls, and take the difference. The paper also reported that samples with Weaver syndrome, a clinically similar overgrowth disorder caused by a different gene, did not carry the signature, and that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missense variants of uncertain significance split into signature-positive and signature-negative groups. Because list, rule and data are all public, this is our reproduction target.</w:t>
      </w:r>
    </w:p>
    <w:p>
      <w:pPr>
        <w:spacing w:after="140" w:line="300"/>
        <w:jc w:val="both"/>
      </w:pPr>
      <w:r>
        <w:rPr>
          <w:rFonts w:ascii="Times New Roman" w:cs="Times New Roman" w:eastAsia="Times New Roman" w:hAnsi="Times New Roman"/>
          <w:b/>
          <w:bCs/>
          <w:sz w:val="22"/>
          <w:szCs w:val="22"/>
        </w:rPr>
        <w:t xml:space="preserve">Butcher et al. (2017)</w:t>
      </w:r>
      <w:r>
        <w:rPr>
          <w:rFonts w:ascii="Times New Roman" w:cs="Times New Roman" w:eastAsia="Times New Roman" w:hAnsi="Times New Roman"/>
          <w:sz w:val="22"/>
          <w:szCs w:val="22"/>
        </w:rPr>
        <w:t xml:space="preserve"> derived signatures for CHARGE syndrome (</w:t>
      </w:r>
      <w:r>
        <w:rPr>
          <w:rFonts w:ascii="Times New Roman" w:cs="Times New Roman" w:eastAsia="Times New Roman" w:hAnsi="Times New Roman"/>
          <w:i/>
          <w:iCs/>
          <w:sz w:val="22"/>
          <w:szCs w:val="22"/>
        </w:rPr>
        <w:t xml:space="preserve">CHD7</w:t>
      </w:r>
      <w:r>
        <w:rPr>
          <w:rFonts w:ascii="Times New Roman" w:cs="Times New Roman" w:eastAsia="Times New Roman" w:hAnsi="Times New Roman"/>
          <w:sz w:val="22"/>
          <w:szCs w:val="22"/>
        </w:rPr>
        <w:t xml:space="preserve">) and Kabuki syndrome (</w:t>
      </w:r>
      <w:r>
        <w:rPr>
          <w:rFonts w:ascii="Times New Roman" w:cs="Times New Roman" w:eastAsia="Times New Roman" w:hAnsi="Times New Roman"/>
          <w:i/>
          <w:iCs/>
          <w:sz w:val="22"/>
          <w:szCs w:val="22"/>
        </w:rPr>
        <w:t xml:space="preserve">KMT2D</w:t>
      </w:r>
      <w:r>
        <w:rPr>
          <w:rFonts w:ascii="Times New Roman" w:cs="Times New Roman" w:eastAsia="Times New Roman" w:hAnsi="Times New Roman"/>
          <w:sz w:val="22"/>
          <w:szCs w:val="22"/>
        </w:rPr>
        <w:t xml:space="preserve">), two conditions with overlapping clinical features [6]. Their data (GSE97362) include separate discovery and validation cohorts and variants of uncertain significance, which makes cohort assignment a real task: counting validation samples as confirmed cases would inflate the cohort.</w:t>
      </w:r>
    </w:p>
    <w:p>
      <w:pPr>
        <w:pStyle w:val="Heading2"/>
        <w:keepNext/>
        <w:spacing w:after="120" w:before="220"/>
      </w:pPr>
      <w:r>
        <w:rPr>
          <w:rFonts w:ascii="Times New Roman" w:cs="Times New Roman" w:eastAsia="Times New Roman" w:hAnsi="Times New Roman"/>
          <w:b/>
          <w:bCs/>
          <w:color w:val="000000"/>
          <w:sz w:val="24"/>
          <w:szCs w:val="24"/>
        </w:rPr>
        <w:t xml:space="preserve">2.2 Scaling up and clinical reporting</w:t>
      </w:r>
    </w:p>
    <w:p>
      <w:pPr>
        <w:spacing w:after="140" w:line="300"/>
        <w:jc w:val="both"/>
      </w:pPr>
      <w:r>
        <w:rPr>
          <w:rFonts w:ascii="Times New Roman" w:cs="Times New Roman" w:eastAsia="Times New Roman" w:hAnsi="Times New Roman"/>
          <w:b/>
          <w:bCs/>
          <w:sz w:val="22"/>
          <w:szCs w:val="22"/>
        </w:rPr>
        <w:t xml:space="preserve">Aref-Eshghi et al. (2020)</w:t>
      </w:r>
      <w:r>
        <w:rPr>
          <w:rFonts w:ascii="Times New Roman" w:cs="Times New Roman" w:eastAsia="Times New Roman" w:hAnsi="Times New Roman"/>
          <w:sz w:val="22"/>
          <w:szCs w:val="22"/>
        </w:rPr>
        <w:t xml:space="preserve"> extended the approach to 42 syndromes and 34 robust signatures and showed that classifying one signature at a time can misclassify closely related disorders, which is why they argued for multiclass models [3]. This is the specificity question our cross-disorder matrix asks, answered there inside a private reference.</w:t>
      </w:r>
    </w:p>
    <w:p>
      <w:pPr>
        <w:spacing w:after="140" w:line="300"/>
        <w:jc w:val="both"/>
      </w:pPr>
      <w:r>
        <w:rPr>
          <w:rFonts w:ascii="Times New Roman" w:cs="Times New Roman" w:eastAsia="Times New Roman" w:hAnsi="Times New Roman"/>
          <w:b/>
          <w:bCs/>
          <w:sz w:val="22"/>
          <w:szCs w:val="22"/>
        </w:rPr>
        <w:t xml:space="preserve">Kerkhof et al. (2024)</w:t>
      </w:r>
      <w:r>
        <w:rPr>
          <w:rFonts w:ascii="Times New Roman" w:cs="Times New Roman" w:eastAsia="Times New Roman" w:hAnsi="Times New Roman"/>
          <w:sz w:val="22"/>
          <w:szCs w:val="22"/>
        </w:rPr>
        <w:t xml:space="preserve"> reported the clinical experience of the EpiSign network and published reporting recommendations [4]. The assay compares each profile with the EpiSign Knowledge Database. The diagnostic yield is substantial. The reference set is not public.</w:t>
      </w:r>
    </w:p>
    <w:p>
      <w:pPr>
        <w:spacing w:after="140" w:line="300"/>
        <w:jc w:val="both"/>
      </w:pPr>
      <w:r>
        <w:rPr>
          <w:rFonts w:ascii="Times New Roman" w:cs="Times New Roman" w:eastAsia="Times New Roman" w:hAnsi="Times New Roman"/>
          <w:b/>
          <w:bCs/>
          <w:sz w:val="22"/>
          <w:szCs w:val="22"/>
        </w:rPr>
        <w:t xml:space="preserve">Aref-Eshghi et al. (2019)</w:t>
      </w:r>
      <w:r>
        <w:rPr>
          <w:rFonts w:ascii="Times New Roman" w:cs="Times New Roman" w:eastAsia="Times New Roman" w:hAnsi="Times New Roman"/>
          <w:sz w:val="22"/>
          <w:szCs w:val="22"/>
        </w:rPr>
        <w:t xml:space="preserve"> showed the diagnostic value of genome-wide methylation testing in genetically unsolved individuals [12], and </w:t>
      </w:r>
      <w:r>
        <w:rPr>
          <w:rFonts w:ascii="Times New Roman" w:cs="Times New Roman" w:eastAsia="Times New Roman" w:hAnsi="Times New Roman"/>
          <w:b/>
          <w:bCs/>
          <w:sz w:val="22"/>
          <w:szCs w:val="22"/>
        </w:rPr>
        <w:t xml:space="preserve">Sadikovic et al. (2020)</w:t>
      </w:r>
      <w:r>
        <w:rPr>
          <w:rFonts w:ascii="Times New Roman" w:cs="Times New Roman" w:eastAsia="Times New Roman" w:hAnsi="Times New Roman"/>
          <w:sz w:val="22"/>
          <w:szCs w:val="22"/>
        </w:rPr>
        <w:t xml:space="preserve"> reviewed episignatures as a tool for variant annotation [2].</w:t>
      </w:r>
    </w:p>
    <w:p>
      <w:pPr>
        <w:pStyle w:val="Heading2"/>
        <w:keepNext/>
        <w:spacing w:after="120" w:before="220"/>
      </w:pPr>
      <w:r>
        <w:rPr>
          <w:rFonts w:ascii="Times New Roman" w:cs="Times New Roman" w:eastAsia="Times New Roman" w:hAnsi="Times New Roman"/>
          <w:b/>
          <w:bCs/>
          <w:color w:val="000000"/>
          <w:sz w:val="24"/>
          <w:szCs w:val="24"/>
        </w:rPr>
        <w:t xml:space="preserve">2.3 Independent evaluation</w:t>
      </w:r>
    </w:p>
    <w:p>
      <w:pPr>
        <w:spacing w:after="140" w:line="300"/>
        <w:jc w:val="both"/>
      </w:pPr>
      <w:r>
        <w:rPr>
          <w:rFonts w:ascii="Times New Roman" w:cs="Times New Roman" w:eastAsia="Times New Roman" w:hAnsi="Times New Roman"/>
          <w:b/>
          <w:bCs/>
          <w:sz w:val="22"/>
          <w:szCs w:val="22"/>
        </w:rPr>
        <w:t xml:space="preserve">Husson et al. (2024)</w:t>
      </w:r>
      <w:r>
        <w:rPr>
          <w:rFonts w:ascii="Times New Roman" w:cs="Times New Roman" w:eastAsia="Times New Roman" w:hAnsi="Times New Roman"/>
          <w:sz w:val="22"/>
          <w:szCs w:val="22"/>
        </w:rPr>
        <w:t xml:space="preserve"> is the closest prior work [7]. They generated methylation data from 101 carriers of pathogenic or likely pathogenic variants in ten genes, 57 carriers of variants of uncertain significance and 25 controls, and tested ten published signatures with a nearest-neighbour classifier in a leave-one-out design. Specificity was 100%. Sensitivity ranged from 100% for </w:t>
      </w:r>
      <w:r>
        <w:rPr>
          <w:rFonts w:ascii="Times New Roman" w:cs="Times New Roman" w:eastAsia="Times New Roman" w:hAnsi="Times New Roman"/>
          <w:i/>
          <w:iCs/>
          <w:sz w:val="22"/>
          <w:szCs w:val="22"/>
        </w:rPr>
        <w:t xml:space="preserve">ATRX</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DNMT3A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KMT2D</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to below 40% for </w:t>
      </w:r>
      <w:r>
        <w:rPr>
          <w:rFonts w:ascii="Times New Roman" w:cs="Times New Roman" w:eastAsia="Times New Roman" w:hAnsi="Times New Roman"/>
          <w:i/>
          <w:iCs/>
          <w:sz w:val="22"/>
          <w:szCs w:val="22"/>
        </w:rPr>
        <w:t xml:space="preserve">CREBBP</w:t>
      </w:r>
      <w:r>
        <w:rPr>
          <w:rFonts w:ascii="Times New Roman" w:cs="Times New Roman" w:eastAsia="Times New Roman" w:hAnsi="Times New Roman"/>
          <w:sz w:val="22"/>
          <w:szCs w:val="22"/>
        </w:rPr>
        <w:t xml:space="preserve"> and one </w:t>
      </w:r>
      <w:r>
        <w:rPr>
          <w:rFonts w:ascii="Times New Roman" w:cs="Times New Roman" w:eastAsia="Times New Roman" w:hAnsi="Times New Roman"/>
          <w:i/>
          <w:iCs/>
          <w:sz w:val="22"/>
          <w:szCs w:val="22"/>
        </w:rPr>
        <w:t xml:space="preserve">CHD8</w:t>
      </w:r>
      <w:r>
        <w:rPr>
          <w:rFonts w:ascii="Times New Roman" w:cs="Times New Roman" w:eastAsia="Times New Roman" w:hAnsi="Times New Roman"/>
          <w:sz w:val="22"/>
          <w:szCs w:val="22"/>
        </w:rPr>
        <w:t xml:space="preserve"> signature. They concluded that "episignatures do not perform equally well" and called for larger validation sets. Our work differs in using only data that are already public, in asking about cross-study transfer rather than new-sample sensitivity, and in converting scores to calibrated evidence.</w:t>
      </w:r>
    </w:p>
    <w:p>
      <w:pPr>
        <w:pStyle w:val="Heading2"/>
        <w:keepNext/>
        <w:spacing w:after="120" w:before="220"/>
      </w:pPr>
      <w:r>
        <w:rPr>
          <w:rFonts w:ascii="Times New Roman" w:cs="Times New Roman" w:eastAsia="Times New Roman" w:hAnsi="Times New Roman"/>
          <w:b/>
          <w:bCs/>
          <w:color w:val="000000"/>
          <w:sz w:val="24"/>
          <w:szCs w:val="24"/>
        </w:rPr>
        <w:t xml:space="preserve">2.4 Calibration of evidence</w:t>
      </w:r>
    </w:p>
    <w:p>
      <w:pPr>
        <w:spacing w:after="140" w:line="300"/>
        <w:jc w:val="both"/>
      </w:pPr>
      <w:r>
        <w:rPr>
          <w:rFonts w:ascii="Times New Roman" w:cs="Times New Roman" w:eastAsia="Times New Roman" w:hAnsi="Times New Roman"/>
          <w:b/>
          <w:bCs/>
          <w:sz w:val="22"/>
          <w:szCs w:val="22"/>
        </w:rPr>
        <w:t xml:space="preserve">Tavtigian et al. (2018)</w:t>
      </w:r>
      <w:r>
        <w:rPr>
          <w:rFonts w:ascii="Times New Roman" w:cs="Times New Roman" w:eastAsia="Times New Roman" w:hAnsi="Times New Roman"/>
          <w:sz w:val="22"/>
          <w:szCs w:val="22"/>
        </w:rPr>
        <w:t xml:space="preserve"> recast the ACMG/AMP rules as a Bayesian framework in which each evidence level multiplies the odds of pathogenicity by a fixed factor [10]. We use their scaling, with an odds base of 2.08 per evidence point.</w:t>
      </w:r>
    </w:p>
    <w:p>
      <w:pPr>
        <w:spacing w:after="140" w:line="300"/>
        <w:jc w:val="both"/>
      </w:pPr>
      <w:r>
        <w:rPr>
          <w:rFonts w:ascii="Times New Roman" w:cs="Times New Roman" w:eastAsia="Times New Roman" w:hAnsi="Times New Roman"/>
          <w:b/>
          <w:bCs/>
          <w:sz w:val="22"/>
          <w:szCs w:val="22"/>
        </w:rPr>
        <w:t xml:space="preserve">Brnich et al. (2019)</w:t>
      </w:r>
      <w:r>
        <w:rPr>
          <w:rFonts w:ascii="Times New Roman" w:cs="Times New Roman" w:eastAsia="Times New Roman" w:hAnsi="Times New Roman"/>
          <w:sz w:val="22"/>
          <w:szCs w:val="22"/>
        </w:rPr>
        <w:t xml:space="preserve"> gave recommendations for applying the functional evidence criteria PS3 and BS3, including how the number of validation controls limits the strength a functional assay can claim [9]. That idea, that cohort size caps attainable evidence, is the basis of our ceiling analysis.</w:t>
      </w:r>
    </w:p>
    <w:p>
      <w:pPr>
        <w:spacing w:after="140" w:line="300"/>
        <w:jc w:val="both"/>
      </w:pPr>
      <w:r>
        <w:rPr>
          <w:rFonts w:ascii="Times New Roman" w:cs="Times New Roman" w:eastAsia="Times New Roman" w:hAnsi="Times New Roman"/>
          <w:b/>
          <w:bCs/>
          <w:sz w:val="22"/>
          <w:szCs w:val="22"/>
        </w:rPr>
        <w:t xml:space="preserve">Pejaver et al. (2022)</w:t>
      </w:r>
      <w:r>
        <w:rPr>
          <w:rFonts w:ascii="Times New Roman" w:cs="Times New Roman" w:eastAsia="Times New Roman" w:hAnsi="Times New Roman"/>
          <w:sz w:val="22"/>
          <w:szCs w:val="22"/>
        </w:rPr>
        <w:t xml:space="preserve"> calibrated thirteen computational predictors by estimating a local likelihood of pathogenicity at each score and reading off the score intervals that justify each evidence level [8]. This is the template we follow.</w:t>
      </w:r>
    </w:p>
    <w:p>
      <w:pPr>
        <w:spacing w:after="140" w:line="300"/>
        <w:jc w:val="both"/>
      </w:pPr>
      <w:r>
        <w:rPr>
          <w:rFonts w:ascii="Times New Roman" w:cs="Times New Roman" w:eastAsia="Times New Roman" w:hAnsi="Times New Roman"/>
          <w:b/>
          <w:bCs/>
          <w:sz w:val="22"/>
          <w:szCs w:val="22"/>
        </w:rPr>
        <w:t xml:space="preserve">Badonyi and Marsh (2025)</w:t>
      </w:r>
      <w:r>
        <w:rPr>
          <w:rFonts w:ascii="Times New Roman" w:cs="Times New Roman" w:eastAsia="Times New Roman" w:hAnsi="Times New Roman"/>
          <w:sz w:val="22"/>
          <w:szCs w:val="22"/>
        </w:rPr>
        <w:t xml:space="preserve"> released </w:t>
      </w:r>
      <w:r>
        <w:rPr>
          <w:rFonts w:ascii="Consolas" w:cs="Consolas" w:eastAsia="Consolas" w:hAnsi="Consolas"/>
          <w:sz w:val="20"/>
          <w:szCs w:val="20"/>
        </w:rPr>
        <w:t xml:space="preserve">acmgscaler</w:t>
      </w:r>
      <w:r>
        <w:rPr>
          <w:rFonts w:ascii="Times New Roman" w:cs="Times New Roman" w:eastAsia="Times New Roman" w:hAnsi="Times New Roman"/>
          <w:sz w:val="22"/>
          <w:szCs w:val="22"/>
        </w:rPr>
        <w:t xml:space="preserve">, an R package that converts functional or computational scores to ACMG/AMP evidence strengths with parameters set adaptively from the data [11]. A general tool therefore exists. Ours is an application to episignature scores with one addition specific to this setting: resampling at the level of the study.</w:t>
      </w:r>
    </w:p>
    <w:p>
      <w:pPr>
        <w:pStyle w:val="Heading2"/>
        <w:keepNext/>
        <w:spacing w:after="120" w:before="220"/>
      </w:pPr>
      <w:r>
        <w:rPr>
          <w:rFonts w:ascii="Times New Roman" w:cs="Times New Roman" w:eastAsia="Times New Roman" w:hAnsi="Times New Roman"/>
          <w:b/>
          <w:bCs/>
          <w:color w:val="000000"/>
          <w:sz w:val="24"/>
          <w:szCs w:val="24"/>
        </w:rPr>
        <w:t xml:space="preserve">2.5 Tools</w:t>
      </w:r>
    </w:p>
    <w:p>
      <w:pPr>
        <w:spacing w:after="140" w:line="300"/>
        <w:jc w:val="both"/>
      </w:pPr>
      <w:r>
        <w:rPr>
          <w:rFonts w:ascii="Times New Roman" w:cs="Times New Roman" w:eastAsia="Times New Roman" w:hAnsi="Times New Roman"/>
          <w:b/>
          <w:bCs/>
          <w:sz w:val="22"/>
          <w:szCs w:val="22"/>
        </w:rPr>
        <w:t xml:space="preserve">EpiSign</w:t>
      </w:r>
      <w:r>
        <w:rPr>
          <w:rFonts w:ascii="Times New Roman" w:cs="Times New Roman" w:eastAsia="Times New Roman" w:hAnsi="Times New Roman"/>
          <w:sz w:val="22"/>
          <w:szCs w:val="22"/>
        </w:rPr>
        <w:t xml:space="preserve"> is the clinical assay described above [4]. </w:t>
      </w:r>
      <w:r>
        <w:rPr>
          <w:rFonts w:ascii="Times New Roman" w:cs="Times New Roman" w:eastAsia="Times New Roman" w:hAnsi="Times New Roman"/>
          <w:b/>
          <w:bCs/>
          <w:sz w:val="22"/>
          <w:szCs w:val="22"/>
        </w:rPr>
        <w:t xml:space="preserve">EpigenCentral</w:t>
      </w:r>
      <w:r>
        <w:rPr>
          <w:rFonts w:ascii="Times New Roman" w:cs="Times New Roman" w:eastAsia="Times New Roman" w:hAnsi="Times New Roman"/>
          <w:sz w:val="22"/>
          <w:szCs w:val="22"/>
        </w:rPr>
        <w:t xml:space="preserve"> is a web portal for methylation data analysis and classification in rare diseases [13]. </w:t>
      </w:r>
      <w:r>
        <w:rPr>
          <w:rFonts w:ascii="Times New Roman" w:cs="Times New Roman" w:eastAsia="Times New Roman" w:hAnsi="Times New Roman"/>
          <w:b/>
          <w:bCs/>
          <w:sz w:val="22"/>
          <w:szCs w:val="22"/>
        </w:rPr>
        <w:t xml:space="preserve">NSBEpi</w:t>
      </w:r>
      <w:r>
        <w:rPr>
          <w:rFonts w:ascii="Times New Roman" w:cs="Times New Roman" w:eastAsia="Times New Roman" w:hAnsi="Times New Roman"/>
          <w:sz w:val="22"/>
          <w:szCs w:val="22"/>
        </w:rPr>
        <w:t xml:space="preserve"> detects episignatures from nanopore sequencing with support vector machines [14]. </w:t>
      </w:r>
      <w:r>
        <w:rPr>
          <w:rFonts w:ascii="Times New Roman" w:cs="Times New Roman" w:eastAsia="Times New Roman" w:hAnsi="Times New Roman"/>
          <w:b/>
          <w:bCs/>
          <w:sz w:val="22"/>
          <w:szCs w:val="22"/>
        </w:rPr>
        <w:t xml:space="preserve">MethaDory</w:t>
      </w:r>
      <w:r>
        <w:rPr>
          <w:rFonts w:ascii="Times New Roman" w:cs="Times New Roman" w:eastAsia="Times New Roman" w:hAnsi="Times New Roman"/>
          <w:sz w:val="22"/>
          <w:szCs w:val="22"/>
        </w:rPr>
        <w:t xml:space="preserve"> offers openly available classifiers trained on synthetic cases, distributed as a local application (preprint) [15]. None of these reports calibrated likelihood ratios with a between-study confidence bound, and none lets a user test an arbitrary signature against a reference corpus with a random-probe control.</w:t>
      </w:r>
    </w:p>
    <w:p>
      <w:pPr>
        <w:pStyle w:val="Heading2"/>
        <w:keepNext/>
        <w:spacing w:after="120" w:before="220"/>
      </w:pPr>
      <w:r>
        <w:rPr>
          <w:rFonts w:ascii="Times New Roman" w:cs="Times New Roman" w:eastAsia="Times New Roman" w:hAnsi="Times New Roman"/>
          <w:b/>
          <w:bCs/>
          <w:color w:val="000000"/>
          <w:sz w:val="24"/>
          <w:szCs w:val="24"/>
        </w:rPr>
        <w:t xml:space="preserve">2.6 Language models for metadata curation</w:t>
      </w:r>
    </w:p>
    <w:p>
      <w:pPr>
        <w:spacing w:after="140" w:line="300"/>
        <w:jc w:val="both"/>
      </w:pPr>
      <w:r>
        <w:rPr>
          <w:rFonts w:ascii="Times New Roman" w:cs="Times New Roman" w:eastAsia="Times New Roman" w:hAnsi="Times New Roman"/>
          <w:sz w:val="22"/>
          <w:szCs w:val="22"/>
        </w:rPr>
        <w:t xml:space="preserve">Assigning roles to GEO samples requires reading free-text metadata. Rogic and colleagues evaluated large language models on this task and found that GPT-4o correctly annotated 77% of mouse-strain and 59% of cell-line experiments [16]. Our use of a language model to resolve ambiguous labels is an application of this line of work, not a contribution to it.</w:t>
      </w:r>
    </w:p>
    <w:p>
      <w:pPr>
        <w:pStyle w:val="Heading1"/>
        <w:keepNext/>
        <w:spacing w:after="120" w:before="320"/>
      </w:pPr>
      <w:r>
        <w:rPr>
          <w:rFonts w:ascii="Times New Roman" w:cs="Times New Roman" w:eastAsia="Times New Roman" w:hAnsi="Times New Roman"/>
          <w:b/>
          <w:bCs/>
          <w:color w:val="000000"/>
          <w:sz w:val="28"/>
          <w:szCs w:val="28"/>
        </w:rPr>
        <w:t xml:space="preserve">3. Methodology</w:t>
      </w:r>
    </w:p>
    <w:p>
      <w:pPr>
        <w:pStyle w:val="Heading2"/>
        <w:keepNext/>
        <w:spacing w:after="120" w:before="220"/>
      </w:pPr>
      <w:r>
        <w:rPr>
          <w:rFonts w:ascii="Times New Roman" w:cs="Times New Roman" w:eastAsia="Times New Roman" w:hAnsi="Times New Roman"/>
          <w:b/>
          <w:bCs/>
          <w:color w:val="000000"/>
          <w:sz w:val="24"/>
          <w:szCs w:val="24"/>
        </w:rPr>
        <w:t xml:space="preserve">3.1 Corpus assembly and triage</w:t>
      </w:r>
    </w:p>
    <w:p>
      <w:pPr>
        <w:spacing w:after="140" w:line="300"/>
        <w:jc w:val="both"/>
      </w:pPr>
      <w:r>
        <w:rPr>
          <w:rFonts w:ascii="Times New Roman" w:cs="Times New Roman" w:eastAsia="Times New Roman" w:hAnsi="Times New Roman"/>
          <w:sz w:val="22"/>
          <w:szCs w:val="22"/>
        </w:rPr>
        <w:t xml:space="preserve">We harvested sample metadata for 18 GEO accessions: 11 that contain cases of a named disorder, 6 population-control collections with no cases, and 1 collection whose public metadata carries no diagnosis. Only processed beta values were used. No raw array files were downloaded.</w:t>
      </w:r>
    </w:p>
    <w:p>
      <w:pPr>
        <w:spacing w:after="140" w:line="300"/>
        <w:jc w:val="both"/>
      </w:pPr>
      <w:r>
        <w:rPr>
          <w:rFonts w:ascii="Times New Roman" w:cs="Times New Roman" w:eastAsia="Times New Roman" w:hAnsi="Times New Roman"/>
          <w:sz w:val="22"/>
          <w:szCs w:val="22"/>
        </w:rPr>
        <w:t xml:space="preserve">Every sample was assigned one role: case, matched control, population control, unaffected relative, under test (a variant of uncertain significance or a validation sample), non-target disease control, wrong tissue, or unresolvable. Roles were assigned by rules over a controlled vocabulary. A sample was retained only as a confirmed case or a control. Everything else was excluded with the reason recorded.</w:t>
      </w:r>
    </w:p>
    <w:p>
      <w:pPr>
        <w:pStyle w:val="Heading2"/>
        <w:keepNext/>
        <w:spacing w:after="120" w:before="220"/>
      </w:pPr>
      <w:r>
        <w:rPr>
          <w:rFonts w:ascii="Times New Roman" w:cs="Times New Roman" w:eastAsia="Times New Roman" w:hAnsi="Times New Roman"/>
          <w:b/>
          <w:bCs/>
          <w:color w:val="000000"/>
          <w:sz w:val="24"/>
          <w:szCs w:val="24"/>
        </w:rPr>
        <w:t xml:space="preserve">3.2 Harmonisation with a confidence router</w:t>
      </w:r>
    </w:p>
    <w:p>
      <w:pPr>
        <w:spacing w:after="140" w:line="300"/>
        <w:jc w:val="both"/>
      </w:pPr>
      <w:r>
        <w:rPr>
          <w:rFonts w:ascii="Times New Roman" w:cs="Times New Roman" w:eastAsia="Times New Roman" w:hAnsi="Times New Roman"/>
          <w:sz w:val="22"/>
          <w:szCs w:val="22"/>
        </w:rPr>
        <w:t xml:space="preserve">Each rule produces a role and a confidence. High-confidence assignments are accepted. Low-confidence ones are escalated to a language model with the raw metadata and the vocabulary, and anything still ambiguous is left unresolved. We did not guess.</w:t>
      </w:r>
    </w:p>
    <w:p>
      <w:pPr>
        <w:spacing w:after="140" w:line="300"/>
        <w:jc w:val="both"/>
      </w:pPr>
      <w:r>
        <w:rPr>
          <w:rFonts w:ascii="Times New Roman" w:cs="Times New Roman" w:eastAsia="Times New Roman" w:hAnsi="Times New Roman"/>
          <w:sz w:val="22"/>
          <w:szCs w:val="22"/>
        </w:rPr>
        <w:t xml:space="preserve">To check the rule engine we wrote a second, independent implementation of the same judgment and compared the two on 100 samples. Both implementations were written with AI assistance. The comparison is therefore an AI-versus-AI consistency check, not human curation. A template for human curation was generated but had not been filled in when this paper was written.</w:t>
      </w:r>
    </w:p>
    <w:p>
      <w:pPr>
        <w:pStyle w:val="Heading2"/>
        <w:keepNext/>
        <w:spacing w:after="120" w:before="220"/>
      </w:pPr>
      <w:r>
        <w:rPr>
          <w:rFonts w:ascii="Times New Roman" w:cs="Times New Roman" w:eastAsia="Times New Roman" w:hAnsi="Times New Roman"/>
          <w:b/>
          <w:bCs/>
          <w:color w:val="000000"/>
          <w:sz w:val="24"/>
          <w:szCs w:val="24"/>
        </w:rPr>
        <w:t xml:space="preserve">3.3 Probe filtering</w:t>
      </w:r>
    </w:p>
    <w:p>
      <w:pPr>
        <w:spacing w:after="140" w:line="300"/>
        <w:jc w:val="both"/>
      </w:pPr>
      <w:r>
        <w:rPr>
          <w:rFonts w:ascii="Times New Roman" w:cs="Times New Roman" w:eastAsia="Times New Roman" w:hAnsi="Times New Roman"/>
          <w:sz w:val="22"/>
          <w:szCs w:val="22"/>
        </w:rPr>
        <w:t xml:space="preserve">Probes on the Chen et al. cross-reactive list were removed [17]. For the Sotos series the deposited matrix already contained exactly the 424,586 probes the original paper reports and none of the cross-reactive probes, so the filter changed nothing there. No sex-chromosome or polymorphism filter was applied to the re-derived signatures.</w:t>
      </w:r>
    </w:p>
    <w:p>
      <w:pPr>
        <w:pStyle w:val="Heading2"/>
        <w:keepNext/>
        <w:spacing w:after="120" w:before="220"/>
      </w:pPr>
      <w:r>
        <w:rPr>
          <w:rFonts w:ascii="Times New Roman" w:cs="Times New Roman" w:eastAsia="Times New Roman" w:hAnsi="Times New Roman"/>
          <w:b/>
          <w:bCs/>
          <w:color w:val="000000"/>
          <w:sz w:val="24"/>
          <w:szCs w:val="24"/>
        </w:rPr>
        <w:t xml:space="preserve">3.4 The Choufani rule, reproduced exactly</w:t>
      </w:r>
    </w:p>
    <w:p>
      <w:pPr>
        <w:spacing w:after="140" w:line="300"/>
        <w:jc w:val="both"/>
      </w:pPr>
      <w:r>
        <w:rPr>
          <w:rFonts w:ascii="Times New Roman" w:cs="Times New Roman" w:eastAsia="Times New Roman" w:hAnsi="Times New Roman"/>
          <w:sz w:val="22"/>
          <w:szCs w:val="22"/>
        </w:rPr>
        <w:t xml:space="preserve">For the published list of signature probes, let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sz w:val="22"/>
          <w:szCs w:val="22"/>
        </w:rPr>
        <w:t xml:space="preserve"> be the median beta value across discovery cases at each probe and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the median across discovery controls. The score of sample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is</w:t>
      </w:r>
    </w:p>
    <w:p>
      <w:pPr>
        <w:spacing w:after="160" w:before="100"/>
        <w:jc w:val="center"/>
      </w:pPr>
      <w:r>
        <w:rPr>
          <w:rFonts w:ascii="Times New Roman" w:cs="Times New Roman" w:eastAsia="Times New Roman" w:hAnsi="Times New Roman"/>
          <w:i/>
          <w:iCs/>
          <w:sz w:val="22"/>
          <w:szCs w:val="22"/>
        </w:rPr>
        <w:t xml:space="preserve">S(x) = r(x, m</w:t>
      </w:r>
      <w:r>
        <w:rPr>
          <w:rFonts w:ascii="Times New Roman" w:cs="Times New Roman" w:eastAsia="Times New Roman" w:hAnsi="Times New Roman"/>
          <w:i/>
          <w:iCs/>
          <w:sz w:val="22"/>
          <w:szCs w:val="22"/>
          <w:vertAlign w:val="subscript"/>
        </w:rPr>
        <w:t xml:space="preserve">c</w:t>
      </w:r>
      <w:r>
        <w:rPr>
          <w:rFonts w:ascii="Times New Roman" w:cs="Times New Roman" w:eastAsia="Times New Roman" w:hAnsi="Times New Roman"/>
          <w:i/>
          <w:iCs/>
          <w:sz w:val="22"/>
          <w:szCs w:val="22"/>
        </w:rPr>
        <w:t xml:space="preserve">) - r(x, m</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i/>
          <w:iCs/>
          <w:sz w:val="22"/>
          <w:szCs w:val="22"/>
        </w:rPr>
        <w:t xml:space="preserve">)</w:t>
      </w:r>
    </w:p>
    <w:p>
      <w:pPr>
        <w:spacing w:after="140" w:line="300"/>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is the Pearson correlation over the signature probes. A positive score classifies the sample as case-like.</w:t>
      </w:r>
    </w:p>
    <w:p>
      <w:pPr>
        <w:spacing w:after="140" w:line="300"/>
        <w:jc w:val="both"/>
      </w:pPr>
      <w:r>
        <w:rPr>
          <w:rFonts w:ascii="Times New Roman" w:cs="Times New Roman" w:eastAsia="Times New Roman" w:hAnsi="Times New Roman"/>
          <w:sz w:val="22"/>
          <w:szCs w:val="22"/>
        </w:rPr>
        <w:t xml:space="preserve">Median profiles were built from the discovery cohort only. Each discovery sample was scored against profiles rebuilt without it (leave-one-out). Replication cases, Weaver samples and missense variants were never used to build profiles.</w:t>
      </w:r>
    </w:p>
    <w:p>
      <w:pPr>
        <w:pStyle w:val="Heading2"/>
        <w:keepNext/>
        <w:spacing w:after="120" w:before="220"/>
      </w:pPr>
      <w:r>
        <w:rPr>
          <w:rFonts w:ascii="Times New Roman" w:cs="Times New Roman" w:eastAsia="Times New Roman" w:hAnsi="Times New Roman"/>
          <w:b/>
          <w:bCs/>
          <w:color w:val="000000"/>
          <w:sz w:val="24"/>
          <w:szCs w:val="24"/>
        </w:rPr>
        <w:t xml:space="preserve">3.5 Re-derivation (Path B) and its threshold</w:t>
      </w:r>
    </w:p>
    <w:p>
      <w:pPr>
        <w:spacing w:after="140" w:line="300"/>
        <w:jc w:val="both"/>
      </w:pPr>
      <w:r>
        <w:rPr>
          <w:rFonts w:ascii="Times New Roman" w:cs="Times New Roman" w:eastAsia="Times New Roman" w:hAnsi="Times New Roman"/>
          <w:sz w:val="22"/>
          <w:szCs w:val="22"/>
        </w:rPr>
        <w:t xml:space="preserve">No probe list is available to us for the other nine disorders. For each we tested every probe for a difference between cases and controls with a two-sided Mann-Whitney U test, corrected for multiple testing, and kept probes that were significant and whose mean beta difference exceeded an effect-size floor. The classifier is then the same correlation rule. Every such signature is labelled </w:t>
      </w:r>
      <w:r>
        <w:rPr>
          <w:rFonts w:ascii="Consolas" w:cs="Consolas" w:eastAsia="Consolas" w:hAnsi="Consolas"/>
          <w:sz w:val="20"/>
          <w:szCs w:val="20"/>
        </w:rPr>
        <w:t xml:space="preserve">rederived_not_published</w:t>
      </w:r>
      <w:r>
        <w:rPr>
          <w:rFonts w:ascii="Times New Roman" w:cs="Times New Roman" w:eastAsia="Times New Roman" w:hAnsi="Times New Roman"/>
          <w:sz w:val="22"/>
          <w:szCs w:val="22"/>
        </w:rPr>
        <w:t xml:space="preserve"> in every output row.</w:t>
      </w:r>
    </w:p>
    <w:p>
      <w:pPr>
        <w:spacing w:after="140" w:line="300"/>
        <w:jc w:val="both"/>
      </w:pPr>
      <w:r>
        <w:rPr>
          <w:rFonts w:ascii="Times New Roman" w:cs="Times New Roman" w:eastAsia="Times New Roman" w:hAnsi="Times New Roman"/>
          <w:b/>
          <w:bCs/>
          <w:sz w:val="22"/>
          <w:szCs w:val="22"/>
        </w:rPr>
        <w:t xml:space="preserve">The threshold was changed once.</w:t>
      </w:r>
      <w:r>
        <w:rPr>
          <w:rFonts w:ascii="Times New Roman" w:cs="Times New Roman" w:eastAsia="Times New Roman" w:hAnsi="Times New Roman"/>
          <w:sz w:val="22"/>
          <w:szCs w:val="22"/>
        </w:rPr>
        <w:t xml:space="preserve"> We first applied the original paper's thresholds to every disorder: Bonferroni correction at 0.05 with a 20% effect floor. They found nothing usable for Silver-Russell, Kabuki or CHARGE syndrome. Bonferroni correction across more than 400,000 correlated probes with a 20% floor is tuned to the unusually large Sotos effect. We replaced it with the Benjamini-Hochberg false discovery rate [18] at 0.05 and a 10% floor, a standard choice for genome-wide methylation testing. That default was set before any disorder was retried and has not been changed since. Sotos keeps the published list. A test in the repository fails if any re-derived row carries another threshold.</w:t>
      </w:r>
    </w:p>
    <w:p>
      <w:pPr>
        <w:spacing w:after="140" w:line="300"/>
        <w:jc w:val="both"/>
      </w:pPr>
      <w:r>
        <w:rPr>
          <w:rFonts w:ascii="Times New Roman" w:cs="Times New Roman" w:eastAsia="Times New Roman" w:hAnsi="Times New Roman"/>
          <w:sz w:val="22"/>
          <w:szCs w:val="22"/>
        </w:rPr>
        <w:t xml:space="preserve">A disorder needs at least 10 confirmed cases before a signature is attempted, and a signature needs at least 10 probes. Neither minimum was lowered at any point.</w:t>
      </w:r>
    </w:p>
    <w:p>
      <w:pPr>
        <w:spacing w:after="140" w:line="300"/>
        <w:jc w:val="both"/>
      </w:pPr>
      <w:r>
        <w:rPr>
          <w:rFonts w:ascii="Times New Roman" w:cs="Times New Roman" w:eastAsia="Times New Roman" w:hAnsi="Times New Roman"/>
          <w:b/>
          <w:bCs/>
          <w:sz w:val="22"/>
          <w:szCs w:val="22"/>
        </w:rPr>
        <w:t xml:space="preserve">Controls.</w:t>
      </w:r>
      <w:r>
        <w:rPr>
          <w:rFonts w:ascii="Times New Roman" w:cs="Times New Roman" w:eastAsia="Times New Roman" w:hAnsi="Times New Roman"/>
          <w:sz w:val="22"/>
          <w:szCs w:val="22"/>
        </w:rPr>
        <w:t xml:space="preserve"> Where a study includes matched controls, those are used. Two studies do not. GSE116992 (Coffin-Siris syndrome and half of the Nicolaides-Baraitser cases [20]) deposited no controls, so we used the 27 controls of GSE125367, which was deposited by a different laboratory. GSE52588 (Down syndrome [19]) has no unrelated controls, so the 29 unaffected siblings serve as the comparison group for that disorder only. Both choices are recorded on every affected row, and their consequences are reported in Section 5.</w:t>
      </w:r>
    </w:p>
    <w:p>
      <w:pPr>
        <w:spacing w:after="140" w:line="300"/>
        <w:jc w:val="both"/>
      </w:pPr>
      <w:r>
        <w:rPr>
          <w:rFonts w:ascii="Times New Roman" w:cs="Times New Roman" w:eastAsia="Times New Roman" w:hAnsi="Times New Roman"/>
          <w:b/>
          <w:bCs/>
          <w:sz w:val="22"/>
          <w:szCs w:val="22"/>
        </w:rPr>
        <w:t xml:space="preserve">Leakage.</w:t>
      </w:r>
      <w:r>
        <w:rPr>
          <w:rFonts w:ascii="Times New Roman" w:cs="Times New Roman" w:eastAsia="Times New Roman" w:hAnsi="Times New Roman"/>
          <w:sz w:val="22"/>
          <w:szCs w:val="22"/>
        </w:rPr>
        <w:t xml:space="preserve"> A training sample is scored against median profiles rebuilt without it. The choice of probes still used every training sample, so self-scores remain optimistic. A unit test disables the guard on purpose and confirms that apparent separation increases.</w:t>
      </w:r>
    </w:p>
    <w:p>
      <w:pPr>
        <w:pStyle w:val="Heading2"/>
        <w:keepNext/>
        <w:spacing w:after="120" w:before="220"/>
      </w:pPr>
      <w:r>
        <w:rPr>
          <w:rFonts w:ascii="Times New Roman" w:cs="Times New Roman" w:eastAsia="Times New Roman" w:hAnsi="Times New Roman"/>
          <w:b/>
          <w:bCs/>
          <w:color w:val="000000"/>
          <w:sz w:val="24"/>
          <w:szCs w:val="24"/>
        </w:rPr>
        <w:t xml:space="preserve">3.6 The confounding gate</w:t>
      </w:r>
    </w:p>
    <w:p>
      <w:pPr>
        <w:spacing w:after="140" w:line="300"/>
        <w:jc w:val="both"/>
      </w:pPr>
      <w:r>
        <w:rPr>
          <w:rFonts w:ascii="Times New Roman" w:cs="Times New Roman" w:eastAsia="Times New Roman" w:hAnsi="Times New Roman"/>
          <w:sz w:val="22"/>
          <w:szCs w:val="22"/>
        </w:rPr>
        <w:t xml:space="preserve">If every case of a disorder comes from one study, disease status and study of origin are perfectly confounded. Clean separation in that study cannot be told apart from a batch effect. The gate labels each disorder as failing (one study), structurally passing (two or more studies), or not testable (fewer than 10 cases).</w:t>
      </w:r>
    </w:p>
    <w:p>
      <w:pPr>
        <w:pStyle w:val="Heading2"/>
        <w:keepNext/>
        <w:spacing w:after="120" w:before="220"/>
      </w:pPr>
      <w:r>
        <w:rPr>
          <w:rFonts w:ascii="Times New Roman" w:cs="Times New Roman" w:eastAsia="Times New Roman" w:hAnsi="Times New Roman"/>
          <w:b/>
          <w:bCs/>
          <w:color w:val="000000"/>
          <w:sz w:val="24"/>
          <w:szCs w:val="24"/>
        </w:rPr>
        <w:t xml:space="preserve">3.7 Leave-one-study-out</w:t>
      </w:r>
    </w:p>
    <w:p>
      <w:pPr>
        <w:spacing w:after="140" w:line="300"/>
        <w:jc w:val="both"/>
      </w:pPr>
      <w:r>
        <w:rPr>
          <w:rFonts w:ascii="Times New Roman" w:cs="Times New Roman" w:eastAsia="Times New Roman" w:hAnsi="Times New Roman"/>
          <w:sz w:val="22"/>
          <w:szCs w:val="22"/>
        </w:rPr>
        <w:t xml:space="preserve">For each disorder with cases in two studies we derive a signature from one study and score the other, in both directions. Sensitivity is the fraction of held-out cases scoring positive. Specificity is the fraction of held-out controls scoring negative. A control used in training never counts toward specificity. A direction that cannot be built is recorded with its reason.</w:t>
      </w:r>
    </w:p>
    <w:p>
      <w:pPr>
        <w:pStyle w:val="Heading2"/>
        <w:keepNext/>
        <w:spacing w:after="120" w:before="220"/>
      </w:pPr>
      <w:r>
        <w:rPr>
          <w:rFonts w:ascii="Times New Roman" w:cs="Times New Roman" w:eastAsia="Times New Roman" w:hAnsi="Times New Roman"/>
          <w:b/>
          <w:bCs/>
          <w:color w:val="000000"/>
          <w:sz w:val="24"/>
          <w:szCs w:val="24"/>
        </w:rPr>
        <w:t xml:space="preserve">3.8 Cross-disorder matrix</w:t>
      </w:r>
    </w:p>
    <w:p>
      <w:pPr>
        <w:spacing w:after="140" w:line="300"/>
        <w:jc w:val="both"/>
      </w:pPr>
      <w:r>
        <w:rPr>
          <w:rFonts w:ascii="Times New Roman" w:cs="Times New Roman" w:eastAsia="Times New Roman" w:hAnsi="Times New Roman"/>
          <w:sz w:val="22"/>
          <w:szCs w:val="22"/>
        </w:rPr>
        <w:t xml:space="preserve">Every built classifier scores the cases of all 12 disorders and a pooled control corpus of 273 matched controls drawn from the disease series, with the classifier's own training controls excluded. Cells with fewer than 10 samples are marked too small to interpret.</w:t>
      </w:r>
    </w:p>
    <w:p>
      <w:pPr>
        <w:pStyle w:val="Heading2"/>
        <w:keepNext/>
        <w:spacing w:after="120" w:before="220"/>
      </w:pPr>
      <w:r>
        <w:rPr>
          <w:rFonts w:ascii="Times New Roman" w:cs="Times New Roman" w:eastAsia="Times New Roman" w:hAnsi="Times New Roman"/>
          <w:b/>
          <w:bCs/>
          <w:color w:val="000000"/>
          <w:sz w:val="24"/>
          <w:szCs w:val="24"/>
        </w:rPr>
        <w:t xml:space="preserve">3.9 Calibration and the study-level bootstrap</w:t>
      </w:r>
    </w:p>
    <w:p>
      <w:pPr>
        <w:spacing w:after="140" w:line="300"/>
        <w:jc w:val="both"/>
      </w:pPr>
      <w:r>
        <w:rPr>
          <w:rFonts w:ascii="Times New Roman" w:cs="Times New Roman" w:eastAsia="Times New Roman" w:hAnsi="Times New Roman"/>
          <w:sz w:val="22"/>
          <w:szCs w:val="22"/>
        </w:rPr>
        <w:t xml:space="preserve">For a query score we estimate a local likelihood ratio: the density of case scores near the query divided by the density of control scores, each with its own adaptive window. The ratio is converted to evidence points with base 2.08 [10] and to a band: supporting (1 point), moderate (2), strong (4), very strong (8).</w:t>
      </w:r>
    </w:p>
    <w:p>
      <w:pPr>
        <w:spacing w:after="140" w:line="300"/>
        <w:jc w:val="both"/>
      </w:pPr>
      <w:r>
        <w:rPr>
          <w:rFonts w:ascii="Times New Roman" w:cs="Times New Roman" w:eastAsia="Times New Roman" w:hAnsi="Times New Roman"/>
          <w:sz w:val="22"/>
          <w:szCs w:val="22"/>
        </w:rPr>
        <w:t xml:space="preserve">The band is assigned from the confidence bound closer to a ratio of 1, never from the point estimate. If the interval spans 1, the band is "no evidence".</w:t>
      </w:r>
    </w:p>
    <w:p>
      <w:pPr>
        <w:spacing w:after="140" w:line="300"/>
        <w:jc w:val="both"/>
      </w:pPr>
      <w:r>
        <w:rPr>
          <w:rFonts w:ascii="Times New Roman" w:cs="Times New Roman" w:eastAsia="Times New Roman" w:hAnsi="Times New Roman"/>
          <w:sz w:val="22"/>
          <w:szCs w:val="22"/>
        </w:rPr>
        <w:t xml:space="preserve">Samples within a study are not independent, so the bootstrap resamples whole studies. </w:t>
      </w:r>
      <w:r>
        <w:rPr>
          <w:rFonts w:ascii="Times New Roman" w:cs="Times New Roman" w:eastAsia="Times New Roman" w:hAnsi="Times New Roman"/>
          <w:b/>
          <w:bCs/>
          <w:sz w:val="22"/>
          <w:szCs w:val="22"/>
        </w:rPr>
        <w:t xml:space="preserve">With one study on either side this procedure is degenerate</w:t>
      </w:r>
      <w:r>
        <w:rPr>
          <w:rFonts w:ascii="Times New Roman" w:cs="Times New Roman" w:eastAsia="Times New Roman" w:hAnsi="Times New Roman"/>
          <w:sz w:val="22"/>
          <w:szCs w:val="22"/>
        </w:rPr>
        <w:t xml:space="preserve">: every resample is identical to the original data and the interval has zero width. That is not precision. In that case we report no between-study bound. We compute a sample-level bootstrap instead and label the resulting band </w:t>
      </w:r>
      <w:r>
        <w:rPr>
          <w:rFonts w:ascii="Consolas" w:cs="Consolas" w:eastAsia="Consolas" w:hAnsi="Consolas"/>
          <w:sz w:val="20"/>
          <w:szCs w:val="20"/>
        </w:rPr>
        <w:t xml:space="preserve">within_study_only</w:t>
      </w:r>
      <w:r>
        <w:rPr>
          <w:rFonts w:ascii="Times New Roman" w:cs="Times New Roman" w:eastAsia="Times New Roman" w:hAnsi="Times New Roman"/>
          <w:sz w:val="22"/>
          <w:szCs w:val="22"/>
        </w:rPr>
        <w:t xml:space="preserve">.</w:t>
      </w:r>
    </w:p>
    <w:p>
      <w:pPr>
        <w:pStyle w:val="Heading2"/>
        <w:keepNext/>
        <w:spacing w:after="120" w:before="220"/>
      </w:pPr>
      <w:r>
        <w:rPr>
          <w:rFonts w:ascii="Times New Roman" w:cs="Times New Roman" w:eastAsia="Times New Roman" w:hAnsi="Times New Roman"/>
          <w:b/>
          <w:bCs/>
          <w:color w:val="000000"/>
          <w:sz w:val="24"/>
          <w:szCs w:val="24"/>
        </w:rPr>
        <w:t xml:space="preserve">3.10 The attainable ceiling</w:t>
      </w:r>
    </w:p>
    <w:p>
      <w:pPr>
        <w:spacing w:after="140" w:line="300"/>
        <w:jc w:val="both"/>
      </w:pPr>
      <w:r>
        <w:rPr>
          <w:rFonts w:ascii="Times New Roman" w:cs="Times New Roman" w:eastAsia="Times New Roman" w:hAnsi="Times New Roman"/>
          <w:sz w:val="22"/>
          <w:szCs w:val="22"/>
        </w:rPr>
        <w:t xml:space="preserve">We simulate a perfect classifier, with fully separated scores, at each disorder's real numbers of cases, controls and studies, and pass it through the same pipeline. The resulting band is the strongest evidence any classifier could earn there. It describes the cohort, not the classifier.</w:t>
      </w:r>
    </w:p>
    <w:p>
      <w:pPr>
        <w:spacing w:after="140" w:line="300"/>
        <w:jc w:val="both"/>
      </w:pPr>
      <w:r>
        <w:rPr>
          <w:rFonts w:ascii="Times New Roman" w:cs="Times New Roman" w:eastAsia="Times New Roman" w:hAnsi="Times New Roman"/>
          <w:sz w:val="22"/>
          <w:szCs w:val="22"/>
        </w:rPr>
        <w:t xml:space="preserve">A cohort ceiling says nothing about the size of a signature: 20 probes and 500 probes matched to the same cohort would share it. For a submitted signature we therefore add a signature-size bound. In each of 200 replicates we resample the signature's probes and the cohort's samples together, rescore the cohort, and take the local likelihood ratio at the typical case score. The band is read from the 2.5th percentile. The ceiling reported for a signature is the lower of the cohort ceiling and this bound.</w:t>
      </w:r>
    </w:p>
    <w:p>
      <w:pPr>
        <w:pStyle w:val="Heading2"/>
        <w:keepNext/>
        <w:spacing w:after="120" w:before="220"/>
      </w:pPr>
      <w:r>
        <w:rPr>
          <w:rFonts w:ascii="Times New Roman" w:cs="Times New Roman" w:eastAsia="Times New Roman" w:hAnsi="Times New Roman"/>
          <w:b/>
          <w:bCs/>
          <w:color w:val="000000"/>
          <w:sz w:val="24"/>
          <w:szCs w:val="24"/>
        </w:rPr>
        <w:t xml:space="preserve">3.11 The identification pipeline</w:t>
      </w:r>
    </w:p>
    <w:p>
      <w:pPr>
        <w:spacing w:after="140" w:line="300"/>
        <w:jc w:val="both"/>
      </w:pPr>
      <w:r>
        <w:rPr>
          <w:rFonts w:ascii="Times New Roman" w:cs="Times New Roman" w:eastAsia="Times New Roman" w:hAnsi="Times New Roman"/>
          <w:sz w:val="22"/>
          <w:szCs w:val="22"/>
        </w:rPr>
        <w:t xml:space="preserve">A user submits a probe list with optional direction and weight columns. The engine:</w:t>
      </w:r>
    </w:p>
    <w:p>
      <w:pPr>
        <w:pStyle w:val="ListParagraph"/>
        <w:numPr>
          <w:ilvl w:val="0"/>
          <w:numId w:val="3"/>
        </w:numPr>
        <w:spacing w:after="80" w:line="290"/>
      </w:pPr>
      <w:r>
        <w:rPr>
          <w:rFonts w:ascii="Times New Roman" w:cs="Times New Roman" w:eastAsia="Times New Roman" w:hAnsi="Times New Roman"/>
          <w:sz w:val="22"/>
          <w:szCs w:val="22"/>
        </w:rPr>
        <w:t xml:space="preserve">validates identifiers, removes duplicates, and reports coverage on the 450K, EPIC v1 and EPIC v2 arrays and in each corpus matrix;</w:t>
      </w:r>
    </w:p>
    <w:p>
      <w:pPr>
        <w:pStyle w:val="ListParagraph"/>
        <w:numPr>
          <w:ilvl w:val="0"/>
          <w:numId w:val="3"/>
        </w:numPr>
        <w:spacing w:after="80" w:line="290"/>
      </w:pPr>
      <w:r>
        <w:rPr>
          <w:rFonts w:ascii="Times New Roman" w:cs="Times New Roman" w:eastAsia="Times New Roman" w:hAnsi="Times New Roman"/>
          <w:sz w:val="22"/>
          <w:szCs w:val="22"/>
        </w:rPr>
        <w:t xml:space="preserve">refuses if fewer than 10 probes are usable, and warns if more than half are missing;</w:t>
      </w:r>
    </w:p>
    <w:p>
      <w:pPr>
        <w:pStyle w:val="ListParagraph"/>
        <w:numPr>
          <w:ilvl w:val="0"/>
          <w:numId w:val="3"/>
        </w:numPr>
        <w:spacing w:after="80" w:line="290"/>
      </w:pPr>
      <w:r>
        <w:rPr>
          <w:rFonts w:ascii="Times New Roman" w:cs="Times New Roman" w:eastAsia="Times New Roman" w:hAnsi="Times New Roman"/>
          <w:sz w:val="22"/>
          <w:szCs w:val="22"/>
        </w:rPr>
        <w:t xml:space="preserve">scores all 12 cohorts and reports the area under the curve (AUC) of cases against that cohort's controls;</w:t>
      </w:r>
    </w:p>
    <w:p>
      <w:pPr>
        <w:pStyle w:val="ListParagraph"/>
        <w:numPr>
          <w:ilvl w:val="0"/>
          <w:numId w:val="3"/>
        </w:numPr>
        <w:spacing w:after="80" w:line="290"/>
      </w:pPr>
      <w:r>
        <w:rPr>
          <w:rFonts w:ascii="Times New Roman" w:cs="Times New Roman" w:eastAsia="Times New Roman" w:hAnsi="Times New Roman"/>
          <w:sz w:val="22"/>
          <w:szCs w:val="22"/>
        </w:rPr>
        <w:t xml:space="preserve">compares the mean absolute case-control difference at the submitted probes with 1,000 random probe sets of the same size from the same cohort;</w:t>
      </w:r>
    </w:p>
    <w:p>
      <w:pPr>
        <w:pStyle w:val="ListParagraph"/>
        <w:numPr>
          <w:ilvl w:val="0"/>
          <w:numId w:val="3"/>
        </w:numPr>
        <w:spacing w:after="80" w:line="290"/>
      </w:pPr>
      <w:r>
        <w:rPr>
          <w:rFonts w:ascii="Times New Roman" w:cs="Times New Roman" w:eastAsia="Times New Roman" w:hAnsi="Times New Roman"/>
          <w:sz w:val="22"/>
          <w:szCs w:val="22"/>
        </w:rPr>
        <w:t xml:space="preserve">calls a match only if AUC is at least 0.70 </w:t>
      </w:r>
      <w:r>
        <w:rPr>
          <w:rFonts w:ascii="Times New Roman" w:cs="Times New Roman" w:eastAsia="Times New Roman" w:hAnsi="Times New Roman"/>
          <w:b/>
          <w:bCs/>
          <w:sz w:val="22"/>
          <w:szCs w:val="22"/>
        </w:rPr>
        <w:t xml:space="preserve">and</w:t>
      </w:r>
      <w:r>
        <w:rPr>
          <w:rFonts w:ascii="Times New Roman" w:cs="Times New Roman" w:eastAsia="Times New Roman" w:hAnsi="Times New Roman"/>
          <w:sz w:val="22"/>
          <w:szCs w:val="22"/>
        </w:rPr>
        <w:t xml:space="preserve"> the submitted probes exceed every random set, ranking cohorts by their excess over the random-probe distribution;</w:t>
      </w:r>
    </w:p>
    <w:p>
      <w:pPr>
        <w:pStyle w:val="ListParagraph"/>
        <w:numPr>
          <w:ilvl w:val="0"/>
          <w:numId w:val="3"/>
        </w:numPr>
        <w:spacing w:after="80" w:line="290"/>
      </w:pPr>
      <w:r>
        <w:rPr>
          <w:rFonts w:ascii="Times New Roman" w:cs="Times New Roman" w:eastAsia="Times New Roman" w:hAnsi="Times New Roman"/>
          <w:sz w:val="22"/>
          <w:szCs w:val="22"/>
        </w:rPr>
        <w:t xml:space="preserve">for a match, reports the signature's own row of the cross-disorder matrix, an evidence ceiling that accounts for cohort size and signature size, overlap with the ten corpus signatures, and an attribution panel including agreement between submitted and observed directions.</w:t>
      </w:r>
    </w:p>
    <w:p>
      <w:pPr>
        <w:spacing w:after="140" w:line="300"/>
        <w:jc w:val="both"/>
      </w:pPr>
      <w:r>
        <w:rPr>
          <w:rFonts w:ascii="Times New Roman" w:cs="Times New Roman" w:eastAsia="Times New Roman" w:hAnsi="Times New Roman"/>
          <w:sz w:val="22"/>
          <w:szCs w:val="22"/>
        </w:rPr>
        <w:t xml:space="preserve">Step 4 was not in the original design. Section 5.7 explains why it was added.</w:t>
      </w:r>
    </w:p>
    <w:p>
      <w:pPr>
        <w:pStyle w:val="Heading1"/>
        <w:keepNext/>
        <w:spacing w:after="120" w:before="320"/>
      </w:pPr>
      <w:r>
        <w:rPr>
          <w:rFonts w:ascii="Times New Roman" w:cs="Times New Roman" w:eastAsia="Times New Roman" w:hAnsi="Times New Roman"/>
          <w:b/>
          <w:bCs/>
          <w:color w:val="000000"/>
          <w:sz w:val="28"/>
          <w:szCs w:val="28"/>
        </w:rPr>
        <w:t xml:space="preserve">4. Analysis</w:t>
      </w:r>
    </w:p>
    <w:p>
      <w:pPr>
        <w:pStyle w:val="Heading2"/>
        <w:keepNext/>
        <w:spacing w:after="120" w:before="220"/>
      </w:pPr>
      <w:r>
        <w:rPr>
          <w:rFonts w:ascii="Times New Roman" w:cs="Times New Roman" w:eastAsia="Times New Roman" w:hAnsi="Times New Roman"/>
          <w:b/>
          <w:bCs/>
          <w:color w:val="000000"/>
          <w:sz w:val="24"/>
          <w:szCs w:val="24"/>
        </w:rPr>
        <w:t xml:space="preserve">4.1 Samples</w:t>
      </w:r>
    </w:p>
    <w:p>
      <w:pPr>
        <w:spacing w:after="140" w:line="300"/>
        <w:jc w:val="both"/>
      </w:pPr>
      <w:r>
        <w:rPr>
          <w:rFonts w:ascii="Times New Roman" w:cs="Times New Roman" w:eastAsia="Times New Roman" w:hAnsi="Times New Roman"/>
          <w:sz w:val="22"/>
          <w:szCs w:val="22"/>
        </w:rPr>
        <w:t xml:space="preserve">Of 3,732 harvested samples, 1,622 were retained and 2,110 excluded (Table 1). The largest exclusion category, unresolvable labels, is dominated by one accession whose public metadata identifies samples only as numbered probands.</w:t>
      </w:r>
    </w:p>
    <w:p>
      <w:pPr>
        <w:spacing w:after="140" w:line="300"/>
        <w:jc w:val="both"/>
      </w:pPr>
      <w:r>
        <w:rPr>
          <w:rFonts w:ascii="Times New Roman" w:cs="Times New Roman" w:eastAsia="Times New Roman" w:hAnsi="Times New Roman"/>
          <w:b/>
          <w:bCs/>
          <w:sz w:val="22"/>
          <w:szCs w:val="22"/>
        </w:rPr>
        <w:t xml:space="preserve">Table 1. Sample triage.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1"/>
        <w:gridCol w:w="1605"/>
      </w:tblGrid>
      <w:tr>
        <w:trPr>
          <w:tblHeader/>
        </w:trPr>
        <w:tc>
          <w:tcPr>
            <w:tcW w:type="dxa" w:w="7421"/>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Category</w:t>
            </w:r>
          </w:p>
        </w:tc>
        <w:tc>
          <w:tcPr>
            <w:tcW w:type="dxa" w:w="1605"/>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Samples</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Harvested</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3,732</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Retained for analysis</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1,622</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Excluded: unresolvable labels</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1,239</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Excluded: non-target disease controls</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558</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Excluded: unaffected relatives</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198</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Excluded: samples under test</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108</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Excluded: wrong tissue</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w:t>
            </w:r>
          </w:p>
        </w:tc>
      </w:tr>
      <w:tr>
        <w:trPr>
          <w:tblHeader w:val="off"/>
        </w:trPr>
        <w:tc>
          <w:tcPr>
            <w:tcW w:type="dxa" w:w="742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Excluded, total</w:t>
            </w:r>
          </w:p>
        </w:tc>
        <w:tc>
          <w:tcPr>
            <w:tcW w:type="dxa" w:w="16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2,110</w:t>
            </w:r>
          </w:p>
        </w:tc>
      </w:tr>
    </w:tbl>
    <w:p>
      <w:pPr>
        <w:spacing w:after="160"/>
      </w:pPr>
    </w:p>
    <w:p>
      <w:pPr>
        <w:pStyle w:val="Heading2"/>
        <w:keepNext/>
        <w:spacing w:after="120" w:before="220"/>
      </w:pPr>
      <w:r>
        <w:rPr>
          <w:rFonts w:ascii="Times New Roman" w:cs="Times New Roman" w:eastAsia="Times New Roman" w:hAnsi="Times New Roman"/>
          <w:b/>
          <w:bCs/>
          <w:color w:val="000000"/>
          <w:sz w:val="24"/>
          <w:szCs w:val="24"/>
        </w:rPr>
        <w:t xml:space="preserve">4.2 Disorders and the gate</w:t>
      </w:r>
    </w:p>
    <w:p>
      <w:pPr>
        <w:spacing w:after="140" w:line="300"/>
        <w:jc w:val="both"/>
      </w:pPr>
      <w:r>
        <w:rPr>
          <w:rFonts w:ascii="Times New Roman" w:cs="Times New Roman" w:eastAsia="Times New Roman" w:hAnsi="Times New Roman"/>
          <w:sz w:val="22"/>
          <w:szCs w:val="22"/>
        </w:rPr>
        <w:t xml:space="preserve">The corpus contains 12 disorders (Table 2). The gate fails 7, passes 3 structurally, and finds 2 not testable.</w:t>
      </w:r>
    </w:p>
    <w:p>
      <w:pPr>
        <w:spacing w:after="140" w:line="300"/>
        <w:jc w:val="both"/>
      </w:pPr>
      <w:r>
        <w:rPr>
          <w:rFonts w:ascii="Times New Roman" w:cs="Times New Roman" w:eastAsia="Times New Roman" w:hAnsi="Times New Roman"/>
          <w:b/>
          <w:bCs/>
          <w:sz w:val="22"/>
          <w:szCs w:val="22"/>
        </w:rPr>
        <w:t xml:space="preserve">Table 2. Twelve disorders, four verdicts.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90"/>
        <w:gridCol w:w="962"/>
        <w:gridCol w:w="962"/>
        <w:gridCol w:w="1564"/>
        <w:gridCol w:w="2048"/>
      </w:tblGrid>
      <w:tr>
        <w:trPr>
          <w:tblHeader/>
        </w:trPr>
        <w:tc>
          <w:tcPr>
            <w:tcW w:type="dxa" w:w="3490"/>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Disorder</w:t>
            </w:r>
          </w:p>
        </w:tc>
        <w:tc>
          <w:tcPr>
            <w:tcW w:type="dxa" w:w="962"/>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Cases</w:t>
            </w:r>
          </w:p>
        </w:tc>
        <w:tc>
          <w:tcPr>
            <w:tcW w:type="dxa" w:w="962"/>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Studies</w:t>
            </w:r>
          </w:p>
        </w:tc>
        <w:tc>
          <w:tcPr>
            <w:tcW w:type="dxa" w:w="1564"/>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Verdict</w:t>
            </w:r>
          </w:p>
        </w:tc>
        <w:tc>
          <w:tcPr>
            <w:tcW w:type="dxa" w:w="2048"/>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Signature probes</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Silver-Russell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63</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graded</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64</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Kabuki syndrome type 1</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37</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graded</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278</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Nicolaides-Baraitser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16</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graded</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4,911</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Sotos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38</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7,085 (published)</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Down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29</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3,753</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Coffin-Siris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21</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8,053</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Williams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9,537</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CHARGE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19</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907</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ICF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15</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7,740</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7q11.23 duplication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single-study</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1,827</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Weaver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too few cases</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none</w:t>
            </w:r>
          </w:p>
        </w:tc>
      </w:tr>
      <w:tr>
        <w:trPr>
          <w:tblHeader w:val="off"/>
        </w:trPr>
        <w:tc>
          <w:tcPr>
            <w:tcW w:type="dxa" w:w="349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Claes-Jensen syndrome</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6</w:t>
            </w:r>
          </w:p>
        </w:tc>
        <w:tc>
          <w:tcPr>
            <w:tcW w:type="dxa" w:w="9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w:t>
            </w:r>
          </w:p>
        </w:tc>
        <w:tc>
          <w:tcPr>
            <w:tcW w:type="dxa" w:w="15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too few cases</w:t>
            </w:r>
          </w:p>
        </w:tc>
        <w:tc>
          <w:tcPr>
            <w:tcW w:type="dxa" w:w="204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none</w:t>
            </w:r>
          </w:p>
        </w:tc>
      </w:tr>
    </w:tbl>
    <w:p>
      <w:pPr>
        <w:spacing w:after="160"/>
      </w:pPr>
    </w:p>
    <w:p>
      <w:pPr>
        <w:spacing w:after="140" w:line="300"/>
        <w:jc w:val="both"/>
      </w:pPr>
      <w:r>
        <w:rPr>
          <w:rFonts w:ascii="Times New Roman" w:cs="Times New Roman" w:eastAsia="Times New Roman" w:hAnsi="Times New Roman"/>
          <w:sz w:val="22"/>
          <w:szCs w:val="22"/>
        </w:rPr>
        <w:t xml:space="preserve">"Graded" means only that a cross-study test is structurally possible. Section 5.2 shows how seldom it could actually be run.</w:t>
      </w:r>
    </w:p>
    <w:p>
      <w:pPr>
        <w:pStyle w:val="Heading2"/>
        <w:keepNext/>
        <w:spacing w:after="120" w:before="220"/>
      </w:pPr>
      <w:r>
        <w:rPr>
          <w:rFonts w:ascii="Times New Roman" w:cs="Times New Roman" w:eastAsia="Times New Roman" w:hAnsi="Times New Roman"/>
          <w:b/>
          <w:bCs/>
          <w:color w:val="000000"/>
          <w:sz w:val="24"/>
          <w:szCs w:val="24"/>
        </w:rPr>
        <w:t xml:space="preserve">4.3 Signatures</w:t>
      </w:r>
    </w:p>
    <w:p>
      <w:pPr>
        <w:spacing w:after="140" w:line="300"/>
        <w:jc w:val="both"/>
      </w:pPr>
      <w:r>
        <w:rPr>
          <w:rFonts w:ascii="Times New Roman" w:cs="Times New Roman" w:eastAsia="Times New Roman" w:hAnsi="Times New Roman"/>
          <w:sz w:val="22"/>
          <w:szCs w:val="22"/>
        </w:rPr>
        <w:t xml:space="preserve">All 10 eligible disorders produced a signature under the single default threshold, so no further change was considered. We recorded 19 derivations in total: 12 canonical rows (10 built, 2 not attempted for lack of cases), 6 leave-one-study-out directions, and 1 rejected alternative.</w:t>
      </w:r>
    </w:p>
    <w:p>
      <w:pPr>
        <w:spacing w:after="140" w:line="300"/>
        <w:jc w:val="both"/>
      </w:pPr>
      <w:r>
        <w:rPr>
          <w:rFonts w:ascii="Times New Roman" w:cs="Times New Roman" w:eastAsia="Times New Roman" w:hAnsi="Times New Roman"/>
          <w:sz w:val="22"/>
          <w:szCs w:val="22"/>
        </w:rPr>
        <w:t xml:space="preserve">Signature size does not track cohort size (Figure 1). The number of probes passing the significance test alone is more telling. For Silver-Russell syndrome 324 probes were significant, for Down syndrome 37,618 and for Williams syndrome 82,427. For Coffin-Siris syndrome, derived against controls from another series, 259,707 were, which is more than half of all probes tested. A disorder does not alter half the methylome. A difference between two laboratories' batches can.</w:t>
      </w:r>
    </w:p>
    <w:p>
      <w:pPr>
        <w:keepNext/>
        <w:spacing w:after="60" w:before="120"/>
        <w:jc w:val="center"/>
      </w:pPr>
      <w:r>
        <w:drawing>
          <wp:inline distT="0" distB="0" distL="0" distR="0">
            <wp:extent cx="5715000" cy="3248025"/>
            <wp:effectExtent t="0" r="0" b="0" l="0"/>
            <wp:docPr id="1" name="signature_sizes.png" descr="Figure 1. Probes per signature, with the case count behind each. Hatched bars used controls borrowed from another series." title="Figure 1. Probes per signature, with the case count behind each. Hatched bars used controls borrowed from another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48025"/>
                    </a:xfrm>
                    <a:prstGeom prst="rect">
                      <a:avLst/>
                    </a:prstGeom>
                  </pic:spPr>
                </pic:pic>
              </a:graphicData>
            </a:graphic>
          </wp:inline>
        </w:drawing>
      </w:r>
    </w:p>
    <w:p>
      <w:pPr>
        <w:spacing w:after="140" w:line="300"/>
        <w:jc w:val="center"/>
      </w:pPr>
      <w:r>
        <w:rPr>
          <w:rFonts w:ascii="Times New Roman" w:cs="Times New Roman" w:eastAsia="Times New Roman" w:hAnsi="Times New Roman"/>
          <w:i/>
          <w:iCs/>
          <w:sz w:val="19"/>
          <w:szCs w:val="19"/>
        </w:rPr>
        <w:t xml:space="preserve">Figure 1. Probes per signature, with the case count behind each. Hatched bars used controls borrowed from another series.</w:t>
      </w:r>
    </w:p>
    <w:p>
      <w:pPr>
        <w:pStyle w:val="Heading2"/>
        <w:keepNext/>
        <w:spacing w:after="120" w:before="220"/>
      </w:pPr>
      <w:r>
        <w:rPr>
          <w:rFonts w:ascii="Times New Roman" w:cs="Times New Roman" w:eastAsia="Times New Roman" w:hAnsi="Times New Roman"/>
          <w:b/>
          <w:bCs/>
          <w:color w:val="000000"/>
          <w:sz w:val="24"/>
          <w:szCs w:val="24"/>
        </w:rPr>
        <w:t xml:space="preserve">4.4 The ceiling computation</w:t>
      </w:r>
    </w:p>
    <w:p>
      <w:pPr>
        <w:spacing w:after="140" w:line="300"/>
        <w:jc w:val="both"/>
      </w:pPr>
      <w:r>
        <w:rPr>
          <w:rFonts w:ascii="Times New Roman" w:cs="Times New Roman" w:eastAsia="Times New Roman" w:hAnsi="Times New Roman"/>
          <w:sz w:val="22"/>
          <w:szCs w:val="22"/>
        </w:rPr>
        <w:t xml:space="preserve">At every one of the 12 real cohort shapes the perfect-classifier ceiling is "Strong". In the simulated curve "Very Strong" first becomes attainable at 80 cases with two studies on each side and at 100 cases with one. A between-study bound is possible for only 2 disorders, because Nicolaides-Baraitser syndrome, although its cases span two studies, draws all its controls from one.</w:t>
      </w:r>
    </w:p>
    <w:p>
      <w:pPr>
        <w:pStyle w:val="Heading1"/>
        <w:keepNext/>
        <w:spacing w:after="120" w:before="320"/>
      </w:pPr>
      <w:r>
        <w:rPr>
          <w:rFonts w:ascii="Times New Roman" w:cs="Times New Roman" w:eastAsia="Times New Roman" w:hAnsi="Times New Roman"/>
          <w:b/>
          <w:bCs/>
          <w:color w:val="000000"/>
          <w:sz w:val="28"/>
          <w:szCs w:val="28"/>
        </w:rPr>
        <w:t xml:space="preserve">5. Result</w:t>
      </w:r>
    </w:p>
    <w:p>
      <w:pPr>
        <w:spacing w:after="140" w:line="300"/>
        <w:jc w:val="both"/>
      </w:pPr>
      <w:r>
        <w:rPr>
          <w:rFonts w:ascii="Times New Roman" w:cs="Times New Roman" w:eastAsia="Times New Roman" w:hAnsi="Times New Roman"/>
          <w:sz w:val="22"/>
          <w:szCs w:val="22"/>
        </w:rPr>
        <w:t xml:space="preserve">Every number in this section is read from a file in </w:t>
      </w:r>
      <w:r>
        <w:rPr>
          <w:rFonts w:ascii="Consolas" w:cs="Consolas" w:eastAsia="Consolas" w:hAnsi="Consolas"/>
          <w:sz w:val="20"/>
          <w:szCs w:val="20"/>
        </w:rPr>
        <w:t xml:space="preserve">results/tables/</w:t>
      </w:r>
      <w:r>
        <w:rPr>
          <w:rFonts w:ascii="Times New Roman" w:cs="Times New Roman" w:eastAsia="Times New Roman" w:hAnsi="Times New Roman"/>
          <w:sz w:val="22"/>
          <w:szCs w:val="22"/>
        </w:rPr>
        <w:t xml:space="preserve">. Supplementary Table S1 maps each one to its source file and row.</w:t>
      </w:r>
    </w:p>
    <w:p>
      <w:pPr>
        <w:pStyle w:val="Heading2"/>
        <w:keepNext/>
        <w:spacing w:after="120" w:before="220"/>
      </w:pPr>
      <w:r>
        <w:rPr>
          <w:rFonts w:ascii="Times New Roman" w:cs="Times New Roman" w:eastAsia="Times New Roman" w:hAnsi="Times New Roman"/>
          <w:b/>
          <w:bCs/>
          <w:color w:val="000000"/>
          <w:sz w:val="24"/>
          <w:szCs w:val="24"/>
        </w:rPr>
        <w:t xml:space="preserve">5.1 Sotos reproduction</w:t>
      </w:r>
    </w:p>
    <w:p>
      <w:pPr>
        <w:spacing w:after="140" w:line="300"/>
        <w:jc w:val="both"/>
      </w:pPr>
      <w:r>
        <w:rPr>
          <w:rFonts w:ascii="Times New Roman" w:cs="Times New Roman" w:eastAsia="Times New Roman" w:hAnsi="Times New Roman"/>
          <w:sz w:val="22"/>
          <w:szCs w:val="22"/>
        </w:rPr>
        <w:t xml:space="preserve">All 4 of 4 checks pass (Table 3).</w:t>
      </w:r>
    </w:p>
    <w:p>
      <w:pPr>
        <w:spacing w:after="140" w:line="300"/>
        <w:jc w:val="both"/>
      </w:pPr>
      <w:r>
        <w:rPr>
          <w:rFonts w:ascii="Times New Roman" w:cs="Times New Roman" w:eastAsia="Times New Roman" w:hAnsi="Times New Roman"/>
          <w:b/>
          <w:bCs/>
          <w:sz w:val="22"/>
          <w:szCs w:val="22"/>
        </w:rPr>
        <w:t xml:space="preserve">Table 3. Reproduction of Choufani et al.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2"/>
        <w:gridCol w:w="2960"/>
        <w:gridCol w:w="4334"/>
      </w:tblGrid>
      <w:tr>
        <w:trPr>
          <w:tblHeader/>
        </w:trPr>
        <w:tc>
          <w:tcPr>
            <w:tcW w:type="dxa" w:w="1732"/>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Check</w:t>
            </w:r>
          </w:p>
        </w:tc>
        <w:tc>
          <w:tcPr>
            <w:tcW w:type="dxa" w:w="2960"/>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Published</w:t>
            </w:r>
          </w:p>
        </w:tc>
        <w:tc>
          <w:tcPr>
            <w:tcW w:type="dxa" w:w="4334"/>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Observed</w:t>
            </w:r>
          </w:p>
        </w:tc>
      </w:tr>
      <w:tr>
        <w:trPr>
          <w:tblHeader w:val="off"/>
        </w:trPr>
        <w:tc>
          <w:tcPr>
            <w:tcW w:type="dxa" w:w="173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Discovery separation</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19 cases and 53 controls split at score 0</w:t>
            </w:r>
          </w:p>
        </w:tc>
        <w:tc>
          <w:tcPr>
            <w:tcW w:type="dxa" w:w="433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case&gt;0: 19/19; control&lt;0: 53/53; case scores [0.027, 0.158], control scores [-0.157, -0.098]</w:t>
            </w:r>
          </w:p>
        </w:tc>
      </w:tr>
      <w:tr>
        <w:trPr>
          <w:tblHeader w:val="off"/>
        </w:trPr>
        <w:tc>
          <w:tcPr>
            <w:tcW w:type="dxa" w:w="173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Weaver syndrome negative</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all 8 negative</w:t>
            </w:r>
          </w:p>
        </w:tc>
        <w:tc>
          <w:tcPr>
            <w:tcW w:type="dxa" w:w="433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8/8 scored negative</w:t>
            </w:r>
          </w:p>
        </w:tc>
      </w:tr>
      <w:tr>
        <w:trPr>
          <w:tblHeader w:val="off"/>
        </w:trPr>
        <w:tc>
          <w:tcPr>
            <w:tcW w:type="dxa" w:w="173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Missense variants</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9 positive, 7 negative</w:t>
            </w:r>
          </w:p>
        </w:tc>
        <w:tc>
          <w:tcPr>
            <w:tcW w:type="dxa" w:w="433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n=16, positive=9, negative=7</w:t>
            </w:r>
          </w:p>
        </w:tc>
      </w:tr>
      <w:tr>
        <w:trPr>
          <w:tblHeader w:val="off"/>
        </w:trPr>
        <w:tc>
          <w:tcPr>
            <w:tcW w:type="dxa" w:w="173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Replication cohort</w:t>
            </w:r>
          </w:p>
        </w:tc>
        <w:tc>
          <w:tcPr>
            <w:tcW w:type="dxa" w:w="296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held-out cases positive</w:t>
            </w:r>
          </w:p>
        </w:tc>
        <w:tc>
          <w:tcPr>
            <w:tcW w:type="dxa" w:w="433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n=19, positive=19</w:t>
            </w:r>
          </w:p>
        </w:tc>
      </w:tr>
    </w:tbl>
    <w:p>
      <w:pPr>
        <w:spacing w:after="160"/>
      </w:pPr>
    </w:p>
    <w:p>
      <w:pPr>
        <w:spacing w:after="140" w:line="300"/>
        <w:jc w:val="both"/>
      </w:pPr>
      <w:r>
        <w:rPr>
          <w:rFonts w:ascii="Times New Roman" w:cs="Times New Roman" w:eastAsia="Times New Roman" w:hAnsi="Times New Roman"/>
          <w:sz w:val="22"/>
          <w:szCs w:val="22"/>
        </w:rPr>
        <w:t xml:space="preserve">The discovery scores are leave-one-out. The replication cases were never used to build the profiles.</w:t>
      </w:r>
    </w:p>
    <w:p>
      <w:pPr>
        <w:pStyle w:val="Heading2"/>
        <w:keepNext/>
        <w:spacing w:after="120" w:before="220"/>
      </w:pPr>
      <w:r>
        <w:rPr>
          <w:rFonts w:ascii="Times New Roman" w:cs="Times New Roman" w:eastAsia="Times New Roman" w:hAnsi="Times New Roman"/>
          <w:b/>
          <w:bCs/>
          <w:color w:val="000000"/>
          <w:sz w:val="24"/>
          <w:szCs w:val="24"/>
        </w:rPr>
        <w:t xml:space="preserve">5.2 Leave-one-study-out</w:t>
      </w:r>
    </w:p>
    <w:p>
      <w:pPr>
        <w:spacing w:after="140" w:line="300"/>
        <w:jc w:val="both"/>
      </w:pPr>
      <w:r>
        <w:rPr>
          <w:rFonts w:ascii="Times New Roman" w:cs="Times New Roman" w:eastAsia="Times New Roman" w:hAnsi="Times New Roman"/>
          <w:sz w:val="22"/>
          <w:szCs w:val="22"/>
        </w:rPr>
        <w:t xml:space="preserve">Three disorders were eligible for a cross-study test, which gives 6 directions. </w:t>
      </w:r>
      <w:r>
        <w:rPr>
          <w:rFonts w:ascii="Times New Roman" w:cs="Times New Roman" w:eastAsia="Times New Roman" w:hAnsi="Times New Roman"/>
          <w:b/>
          <w:bCs/>
          <w:sz w:val="22"/>
          <w:szCs w:val="22"/>
        </w:rPr>
        <w:t xml:space="preserve">Only 1 of the 6 was computed.</w:t>
      </w:r>
      <w:r>
        <w:rPr>
          <w:rFonts w:ascii="Times New Roman" w:cs="Times New Roman" w:eastAsia="Times New Roman" w:hAnsi="Times New Roman"/>
          <w:sz w:val="22"/>
          <w:szCs w:val="22"/>
        </w:rPr>
        <w:t xml:space="preserve"> We did not perform three cross-study tests: we performed one, for one disorder, in one direction. Kabuki syndrome type 1 and Nicolaides-Baraitser syndrome have no cross-study result at all, and Silver-Russell syndrome has none in the reverse direction (Table 4, Figure 2).</w:t>
      </w:r>
    </w:p>
    <w:p>
      <w:pPr>
        <w:spacing w:after="140" w:line="300"/>
        <w:jc w:val="both"/>
      </w:pPr>
      <w:r>
        <w:rPr>
          <w:rFonts w:ascii="Times New Roman" w:cs="Times New Roman" w:eastAsia="Times New Roman" w:hAnsi="Times New Roman"/>
          <w:b/>
          <w:bCs/>
          <w:sz w:val="22"/>
          <w:szCs w:val="22"/>
        </w:rPr>
        <w:t xml:space="preserve">Table 4. Leave-one-study-out, both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2"/>
        <w:gridCol w:w="828"/>
        <w:gridCol w:w="828"/>
        <w:gridCol w:w="5528"/>
      </w:tblGrid>
      <w:tr>
        <w:trPr>
          <w:tblHeader/>
        </w:trPr>
        <w:tc>
          <w:tcPr>
            <w:tcW w:type="dxa" w:w="1842"/>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Disorder</w:t>
            </w:r>
          </w:p>
        </w:tc>
        <w:tc>
          <w:tcPr>
            <w:tcW w:type="dxa" w:w="828"/>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Train</w:t>
            </w:r>
          </w:p>
        </w:tc>
        <w:tc>
          <w:tcPr>
            <w:tcW w:type="dxa" w:w="828"/>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Test</w:t>
            </w:r>
          </w:p>
        </w:tc>
        <w:tc>
          <w:tcPr>
            <w:tcW w:type="dxa" w:w="5528"/>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Outcome</w:t>
            </w:r>
          </w:p>
        </w:tc>
      </w:tr>
      <w:tr>
        <w:trPr>
          <w:tblHeader w:val="off"/>
        </w:trPr>
        <w:tc>
          <w:tcPr>
            <w:tcW w:type="dxa" w:w="18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Silver-Russell</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GSE104451</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GSE55491</w:t>
            </w:r>
          </w:p>
        </w:tc>
        <w:tc>
          <w:tcPr>
            <w:tcW w:type="dxa" w:w="55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64 probes; sensitivity 5/18 (27.8%); specificity 6/6</w:t>
            </w:r>
          </w:p>
        </w:tc>
      </w:tr>
      <w:tr>
        <w:trPr>
          <w:tblHeader w:val="off"/>
        </w:trPr>
        <w:tc>
          <w:tcPr>
            <w:tcW w:type="dxa" w:w="18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Silver-Russell</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GSE55491</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GSE104451</w:t>
            </w:r>
          </w:p>
        </w:tc>
        <w:tc>
          <w:tcPr>
            <w:tcW w:type="dxa" w:w="55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not computed: 0 significant probes with 18 cases and 6 controls</w:t>
            </w:r>
          </w:p>
        </w:tc>
      </w:tr>
      <w:tr>
        <w:trPr>
          <w:tblHeader w:val="off"/>
        </w:trPr>
        <w:tc>
          <w:tcPr>
            <w:tcW w:type="dxa" w:w="18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Kabuki type 1</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GSE116300</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GSE97362</w:t>
            </w:r>
          </w:p>
        </w:tc>
        <w:tc>
          <w:tcPr>
            <w:tcW w:type="dxa" w:w="55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not computed: 0 significant probes with 26 cases and 9 controls</w:t>
            </w:r>
          </w:p>
        </w:tc>
      </w:tr>
      <w:tr>
        <w:trPr>
          <w:tblHeader w:val="off"/>
        </w:trPr>
        <w:tc>
          <w:tcPr>
            <w:tcW w:type="dxa" w:w="18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Kabuki type 1</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GSE97362</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GSE116300</w:t>
            </w:r>
          </w:p>
        </w:tc>
        <w:tc>
          <w:tcPr>
            <w:tcW w:type="dxa" w:w="55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not computed: 0 significant probes with 11 cases and 11 controls</w:t>
            </w:r>
          </w:p>
        </w:tc>
      </w:tr>
      <w:tr>
        <w:trPr>
          <w:tblHeader w:val="off"/>
        </w:trPr>
        <w:tc>
          <w:tcPr>
            <w:tcW w:type="dxa" w:w="18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Nicolaides-Baraitser</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GSE116992</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GSE125367</w:t>
            </w:r>
          </w:p>
        </w:tc>
        <w:tc>
          <w:tcPr>
            <w:tcW w:type="dxa" w:w="55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not attempted: 8 training cases</w:t>
            </w:r>
          </w:p>
        </w:tc>
      </w:tr>
      <w:tr>
        <w:trPr>
          <w:tblHeader w:val="off"/>
        </w:trPr>
        <w:tc>
          <w:tcPr>
            <w:tcW w:type="dxa" w:w="18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Nicolaides-Baraitser</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GSE125367</w:t>
            </w:r>
          </w:p>
        </w:tc>
        <w:tc>
          <w:tcPr>
            <w:tcW w:type="dxa" w:w="8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GSE116992</w:t>
            </w:r>
          </w:p>
        </w:tc>
        <w:tc>
          <w:tcPr>
            <w:tcW w:type="dxa" w:w="552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not attempted: 8 training cases</w:t>
            </w:r>
          </w:p>
        </w:tc>
      </w:tr>
    </w:tbl>
    <w:p>
      <w:pPr>
        <w:spacing w:after="160"/>
      </w:pPr>
    </w:p>
    <w:p>
      <w:pPr>
        <w:keepNext/>
        <w:spacing w:after="60" w:before="120"/>
        <w:jc w:val="center"/>
      </w:pPr>
      <w:r>
        <w:drawing>
          <wp:inline distT="0" distB="0" distL="0" distR="0">
            <wp:extent cx="5715000" cy="3267075"/>
            <wp:effectExtent t="0" r="0" b="0" l="0"/>
            <wp:docPr id="2" name="leave_one_study_out.png" descr="Figure 2. Leave-one-study-out for the three disorders with cases in two studies. Hatched columns are directions that could not be computed." title="Figure 2. Leave-one-study-out for the three disorders with cases in two studies. Hatched columns are directions that could not be comp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67075"/>
                    </a:xfrm>
                    <a:prstGeom prst="rect">
                      <a:avLst/>
                    </a:prstGeom>
                  </pic:spPr>
                </pic:pic>
              </a:graphicData>
            </a:graphic>
          </wp:inline>
        </w:drawing>
      </w:r>
    </w:p>
    <w:p>
      <w:pPr>
        <w:spacing w:after="140" w:line="300"/>
        <w:jc w:val="center"/>
      </w:pPr>
      <w:r>
        <w:rPr>
          <w:rFonts w:ascii="Times New Roman" w:cs="Times New Roman" w:eastAsia="Times New Roman" w:hAnsi="Times New Roman"/>
          <w:i/>
          <w:iCs/>
          <w:sz w:val="19"/>
          <w:szCs w:val="19"/>
        </w:rPr>
        <w:t xml:space="preserve">Figure 2. Leave-one-study-out for the three disorders with cases in two studies. Hatched columns are directions that could not be computed.</w:t>
      </w:r>
    </w:p>
    <w:p>
      <w:pPr>
        <w:spacing w:after="140" w:line="300"/>
        <w:jc w:val="both"/>
      </w:pPr>
      <w:r>
        <w:rPr>
          <w:rFonts w:ascii="Times New Roman" w:cs="Times New Roman" w:eastAsia="Times New Roman" w:hAnsi="Times New Roman"/>
          <w:sz w:val="22"/>
          <w:szCs w:val="22"/>
        </w:rPr>
        <w:t xml:space="preserve">The one computable direction transfers poorly. The signature flags no held-out control and misses 13 of 18 held-out cases.</w:t>
      </w:r>
    </w:p>
    <w:p>
      <w:pPr>
        <w:spacing w:after="140" w:line="300"/>
        <w:jc w:val="both"/>
      </w:pPr>
      <w:r>
        <w:rPr>
          <w:rFonts w:ascii="Times New Roman" w:cs="Times New Roman" w:eastAsia="Times New Roman" w:hAnsi="Times New Roman"/>
          <w:sz w:val="22"/>
          <w:szCs w:val="22"/>
        </w:rPr>
        <w:t xml:space="preserve">Pooling the two Silver-Russell studies is not a remedy. The pooled derivation yields 328 probes, and that classifier scores 35 of 38 Sotos cases positive, against 0 of 38 for the 64-probe classifier. We kept the smaller, more specific one.</w:t>
      </w:r>
    </w:p>
    <w:p>
      <w:pPr>
        <w:pStyle w:val="Heading2"/>
        <w:keepNext/>
        <w:spacing w:after="120" w:before="220"/>
      </w:pPr>
      <w:r>
        <w:rPr>
          <w:rFonts w:ascii="Times New Roman" w:cs="Times New Roman" w:eastAsia="Times New Roman" w:hAnsi="Times New Roman"/>
          <w:b/>
          <w:bCs/>
          <w:color w:val="000000"/>
          <w:sz w:val="24"/>
          <w:szCs w:val="24"/>
        </w:rPr>
        <w:t xml:space="preserve">5.3 Sensitivity on the classifier's own disorder</w:t>
      </w:r>
    </w:p>
    <w:p>
      <w:pPr>
        <w:spacing w:after="140" w:line="300"/>
        <w:jc w:val="both"/>
      </w:pPr>
      <w:r>
        <w:rPr>
          <w:rFonts w:ascii="Times New Roman" w:cs="Times New Roman" w:eastAsia="Times New Roman" w:hAnsi="Times New Roman"/>
          <w:sz w:val="22"/>
          <w:szCs w:val="22"/>
        </w:rPr>
        <w:t xml:space="preserve">Diagonal cells of the matrix use leave-one-out profiles for training cases:</w:t>
      </w:r>
    </w:p>
    <w:p>
      <w:pPr>
        <w:spacing w:after="140" w:line="300"/>
        <w:jc w:val="both"/>
      </w:pPr>
      <w:r>
        <w:rPr>
          <w:rFonts w:ascii="Times New Roman" w:cs="Times New Roman" w:eastAsia="Times New Roman" w:hAnsi="Times New Roman"/>
          <w:sz w:val="22"/>
          <w:szCs w:val="22"/>
        </w:rPr>
        <w:t xml:space="preserve">Sotos 38 of 38 (100.0%); 7q11.23 duplication 10 of 10 (100.0%); Coffin-Siris 21 of 21 (100.0%); Down 28 of 29 (96.6%); Williams 19 of 20 (95.0%); Kabuki type 1 35 of 37 (94.6%); CHARGE 17 of 19 (89.5%); Nicolaides-Baraitser 14 of 16 (87.5%); ICF 13 of 15 (86.7%); Silver-Russell 24 of 63 (38.1%).</w:t>
      </w:r>
    </w:p>
    <w:p>
      <w:pPr>
        <w:spacing w:after="140" w:line="300"/>
        <w:jc w:val="both"/>
      </w:pPr>
      <w:r>
        <w:rPr>
          <w:rFonts w:ascii="Times New Roman" w:cs="Times New Roman" w:eastAsia="Times New Roman" w:hAnsi="Times New Roman"/>
          <w:sz w:val="22"/>
          <w:szCs w:val="22"/>
        </w:rPr>
        <w:t xml:space="preserve">Silver-Russell is the low value because it is the only disorder whose diagonal includes cases the classifier never saw in training: the classifier was derived from one molecular subtype in one study and is scored here on all 63 cases. It is the most honest number in the list, and the lowest.</w:t>
      </w:r>
    </w:p>
    <w:p>
      <w:pPr>
        <w:pStyle w:val="Heading2"/>
        <w:keepNext/>
        <w:spacing w:after="120" w:before="220"/>
      </w:pPr>
      <w:r>
        <w:rPr>
          <w:rFonts w:ascii="Times New Roman" w:cs="Times New Roman" w:eastAsia="Times New Roman" w:hAnsi="Times New Roman"/>
          <w:b/>
          <w:bCs/>
          <w:color w:val="000000"/>
          <w:sz w:val="24"/>
          <w:szCs w:val="24"/>
        </w:rPr>
        <w:t xml:space="preserve">5.4 The cross-disorder matrix</w:t>
      </w:r>
    </w:p>
    <w:p>
      <w:pPr>
        <w:spacing w:after="140" w:line="300"/>
        <w:jc w:val="both"/>
      </w:pPr>
      <w:r>
        <w:rPr>
          <w:rFonts w:ascii="Times New Roman" w:cs="Times New Roman" w:eastAsia="Times New Roman" w:hAnsi="Times New Roman"/>
          <w:sz w:val="22"/>
          <w:szCs w:val="22"/>
        </w:rPr>
        <w:t xml:space="preserve">The matrix has 156 cells: 130 computed and 26 not computed, the latter being the two rows for Weaver and Claes-Jensen syndromes, which have no classifier (Figure 3).</w:t>
      </w:r>
    </w:p>
    <w:p>
      <w:pPr>
        <w:keepNext/>
        <w:spacing w:after="60" w:before="120"/>
        <w:jc w:val="center"/>
      </w:pPr>
      <w:r>
        <w:drawing>
          <wp:inline distT="0" distB="0" distL="0" distR="0">
            <wp:extent cx="5715000" cy="4933950"/>
            <wp:effectExtent t="0" r="0" b="0" l="0"/>
            <wp:docPr id="3" name="cross_disorder_matrix.png" descr="Figure 3. Cross-disorder matrix: fraction of each cohort scoring positive under each classifier. Outlined diagonal cells are sensitivity; all other cells are cross-reactivity." title="Figure 3. Cross-disorder matrix: fraction of each cohort scoring positive under each classifier. Outlined diagonal cells are sensitivity; all other cells are cross-re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33950"/>
                    </a:xfrm>
                    <a:prstGeom prst="rect">
                      <a:avLst/>
                    </a:prstGeom>
                  </pic:spPr>
                </pic:pic>
              </a:graphicData>
            </a:graphic>
          </wp:inline>
        </w:drawing>
      </w:r>
    </w:p>
    <w:p>
      <w:pPr>
        <w:spacing w:after="140" w:line="300"/>
        <w:jc w:val="center"/>
      </w:pPr>
      <w:r>
        <w:rPr>
          <w:rFonts w:ascii="Times New Roman" w:cs="Times New Roman" w:eastAsia="Times New Roman" w:hAnsi="Times New Roman"/>
          <w:i/>
          <w:iCs/>
          <w:sz w:val="19"/>
          <w:szCs w:val="19"/>
        </w:rPr>
        <w:t xml:space="preserve">Figure 3. Cross-disorder matrix: fraction of each cohort scoring positive under each classifier. Outlined diagonal cells are sensitivity; all other cells are cross-reactivity.</w:t>
      </w:r>
    </w:p>
    <w:p>
      <w:pPr>
        <w:spacing w:after="140" w:line="300"/>
        <w:jc w:val="both"/>
      </w:pPr>
      <w:r>
        <w:rPr>
          <w:rFonts w:ascii="Times New Roman" w:cs="Times New Roman" w:eastAsia="Times New Roman" w:hAnsi="Times New Roman"/>
          <w:b/>
          <w:bCs/>
          <w:sz w:val="22"/>
          <w:szCs w:val="22"/>
        </w:rPr>
        <w:t xml:space="preserve">Specific classifiers.</w:t>
      </w:r>
      <w:r>
        <w:rPr>
          <w:rFonts w:ascii="Times New Roman" w:cs="Times New Roman" w:eastAsia="Times New Roman" w:hAnsi="Times New Roman"/>
          <w:sz w:val="22"/>
          <w:szCs w:val="22"/>
        </w:rPr>
        <w:t xml:space="preserve"> On pooled controls the Sotos classifier scores 0 of 220 (0.0%) positive, ICF 0 of 263 (0.0%), Kabuki type 1 0 of 253 (0.0%), and Silver-Russell 2 of 257 (0.8%). Williams and 7q11.23 duplication each score 16 of 258 (6.2%).</w:t>
      </w:r>
    </w:p>
    <w:p>
      <w:pPr>
        <w:spacing w:after="140" w:line="300"/>
        <w:jc w:val="both"/>
      </w:pPr>
      <w:r>
        <w:rPr>
          <w:rFonts w:ascii="Times New Roman" w:cs="Times New Roman" w:eastAsia="Times New Roman" w:hAnsi="Times New Roman"/>
          <w:b/>
          <w:bCs/>
          <w:sz w:val="22"/>
          <w:szCs w:val="22"/>
        </w:rPr>
        <w:t xml:space="preserve">Cross-reactivity between related disorders.</w:t>
      </w:r>
      <w:r>
        <w:rPr>
          <w:rFonts w:ascii="Times New Roman" w:cs="Times New Roman" w:eastAsia="Times New Roman" w:hAnsi="Times New Roman"/>
          <w:sz w:val="22"/>
          <w:szCs w:val="22"/>
        </w:rPr>
        <w:t xml:space="preserve"> The CHARGE classifier scores 14 of 37 (37.8%) Kabuki type 1 cases positive. The reverse is 0 of 19 (0.0%). CHARGE and Kabuki syndromes overlap clinically and both signatures were derived from the same series [6], so shared biology and shared batch cannot be separated here. The CHARGE classifier also scores 70 of 244 (28.7%) pooled controls positive.</w:t>
      </w:r>
    </w:p>
    <w:p>
      <w:pPr>
        <w:spacing w:after="140" w:line="300"/>
        <w:jc w:val="both"/>
      </w:pPr>
      <w:r>
        <w:rPr>
          <w:rFonts w:ascii="Times New Roman" w:cs="Times New Roman" w:eastAsia="Times New Roman" w:hAnsi="Times New Roman"/>
          <w:b/>
          <w:bCs/>
          <w:sz w:val="22"/>
          <w:szCs w:val="22"/>
        </w:rPr>
        <w:t xml:space="preserve">Classifiers with out-of-series controls.</w:t>
      </w:r>
      <w:r>
        <w:rPr>
          <w:rFonts w:ascii="Times New Roman" w:cs="Times New Roman" w:eastAsia="Times New Roman" w:hAnsi="Times New Roman"/>
          <w:sz w:val="22"/>
          <w:szCs w:val="22"/>
        </w:rPr>
        <w:t xml:space="preserve"> The Coffin-Siris classifier, derived against another series' controls, scores 211 of 246 (85.8%) pooled controls positive and 63 of 63 (100.0%) Silver-Russell cases. Nicolaides-Baraitser, with the same borrowed controls, scores 144 of 246 (58.5%) of pooled controls positive. Section 5.5 treats this as a finding in its own right. The Down classifier, derived against siblings from its own series, scores 146 of 273 (53.5%).</w:t>
      </w:r>
    </w:p>
    <w:p>
      <w:pPr>
        <w:spacing w:after="140" w:line="300"/>
        <w:jc w:val="both"/>
      </w:pPr>
      <w:r>
        <w:rPr>
          <w:rFonts w:ascii="Times New Roman" w:cs="Times New Roman" w:eastAsia="Times New Roman" w:hAnsi="Times New Roman"/>
          <w:b/>
          <w:bCs/>
          <w:sz w:val="22"/>
          <w:szCs w:val="22"/>
        </w:rPr>
        <w:t xml:space="preserve">Batch in the other direction.</w:t>
      </w:r>
      <w:r>
        <w:rPr>
          <w:rFonts w:ascii="Times New Roman" w:cs="Times New Roman" w:eastAsia="Times New Roman" w:hAnsi="Times New Roman"/>
          <w:sz w:val="22"/>
          <w:szCs w:val="22"/>
        </w:rPr>
        <w:t xml:space="preserve"> The Silver-Russell classifier scores 14 of 29 (48.3%) Down syndrome cases positive, and a similar share of their unaffected siblings. That is a property of the series, not of trisomy 21. The 7q11.23 duplication classifier scores 6 of 15 (40.0%) ICF cases positive and the Williams classifier 9 of 38 (23.7%) Sotos cases.</w:t>
      </w:r>
    </w:p>
    <w:p>
      <w:pPr>
        <w:spacing w:after="140" w:line="300"/>
        <w:jc w:val="both"/>
      </w:pPr>
      <w:r>
        <w:rPr>
          <w:rFonts w:ascii="Times New Roman" w:cs="Times New Roman" w:eastAsia="Times New Roman" w:hAnsi="Times New Roman"/>
          <w:sz w:val="22"/>
          <w:szCs w:val="22"/>
        </w:rPr>
        <w:t xml:space="preserve">Even the Kabuki classifier, which scores no held-out control positive, scores 5 of 9 of its own GSE116300 training controls positive under leave-one-out. With 9 controls, removing one visibly moves the median profile.</w:t>
      </w:r>
    </w:p>
    <w:p>
      <w:pPr>
        <w:pStyle w:val="Heading2"/>
        <w:keepNext/>
        <w:spacing w:after="120" w:before="220"/>
      </w:pPr>
      <w:r>
        <w:rPr>
          <w:rFonts w:ascii="Times New Roman" w:cs="Times New Roman" w:eastAsia="Times New Roman" w:hAnsi="Times New Roman"/>
          <w:b/>
          <w:bCs/>
          <w:color w:val="000000"/>
          <w:sz w:val="24"/>
          <w:szCs w:val="24"/>
        </w:rPr>
        <w:t xml:space="preserve">5.5 The controls-source effect</w:t>
      </w:r>
    </w:p>
    <w:p>
      <w:pPr>
        <w:spacing w:after="140" w:line="300"/>
        <w:jc w:val="both"/>
      </w:pPr>
      <w:r>
        <w:rPr>
          <w:rFonts w:ascii="Times New Roman" w:cs="Times New Roman" w:eastAsia="Times New Roman" w:hAnsi="Times New Roman"/>
          <w:i/>
          <w:iCs/>
          <w:sz w:val="22"/>
          <w:szCs w:val="22"/>
        </w:rPr>
        <w:t xml:space="preserve">Classifiers trained against out-of-series controls detect series membership, not disease. Coffin-Siris and Nicolaides-Baraitser are both in that category.</w:t>
      </w:r>
    </w:p>
    <w:p>
      <w:pPr>
        <w:spacing w:after="140" w:line="300"/>
        <w:jc w:val="both"/>
      </w:pPr>
      <w:r>
        <w:rPr>
          <w:rFonts w:ascii="Times New Roman" w:cs="Times New Roman" w:eastAsia="Times New Roman" w:hAnsi="Times New Roman"/>
          <w:sz w:val="22"/>
          <w:szCs w:val="22"/>
        </w:rPr>
        <w:t xml:space="preserve">Every classifier is tagged by where its training controls came from: </w:t>
      </w:r>
      <w:r>
        <w:rPr>
          <w:rFonts w:ascii="Consolas" w:cs="Consolas" w:eastAsia="Consolas" w:hAnsi="Consolas"/>
          <w:sz w:val="20"/>
          <w:szCs w:val="20"/>
        </w:rPr>
        <w:t xml:space="preserve">within_series</w:t>
      </w:r>
      <w:r>
        <w:rPr>
          <w:rFonts w:ascii="Times New Roman" w:cs="Times New Roman" w:eastAsia="Times New Roman" w:hAnsi="Times New Roman"/>
          <w:sz w:val="22"/>
          <w:szCs w:val="22"/>
        </w:rPr>
        <w:t xml:space="preserve"> when the study supplied its own, </w:t>
      </w:r>
      <w:r>
        <w:rPr>
          <w:rFonts w:ascii="Consolas" w:cs="Consolas" w:eastAsia="Consolas" w:hAnsi="Consolas"/>
          <w:sz w:val="20"/>
          <w:szCs w:val="20"/>
        </w:rPr>
        <w:t xml:space="preserve">cross_series</w:t>
      </w:r>
      <w:r>
        <w:rPr>
          <w:rFonts w:ascii="Times New Roman" w:cs="Times New Roman" w:eastAsia="Times New Roman" w:hAnsi="Times New Roman"/>
          <w:sz w:val="22"/>
          <w:szCs w:val="22"/>
        </w:rPr>
        <w:t xml:space="preserve"> when they were taken from another series. The matrix column </w:t>
      </w:r>
      <w:r>
        <w:rPr>
          <w:rFonts w:ascii="Consolas" w:cs="Consolas" w:eastAsia="Consolas" w:hAnsi="Consolas"/>
          <w:sz w:val="20"/>
          <w:szCs w:val="20"/>
        </w:rPr>
        <w:t xml:space="preserve">controls_source</w:t>
      </w:r>
      <w:r>
        <w:rPr>
          <w:rFonts w:ascii="Times New Roman" w:cs="Times New Roman" w:eastAsia="Times New Roman" w:hAnsi="Times New Roman"/>
          <w:sz w:val="22"/>
          <w:szCs w:val="22"/>
        </w:rPr>
        <w:t xml:space="preserve"> carries the tag, and Figure 3 outlines the cross-series rows.</w:t>
      </w:r>
    </w:p>
    <w:p>
      <w:pPr>
        <w:spacing w:after="140" w:line="300"/>
        <w:jc w:val="both"/>
      </w:pPr>
      <w:r>
        <w:rPr>
          <w:rFonts w:ascii="Times New Roman" w:cs="Times New Roman" w:eastAsia="Times New Roman" w:hAnsi="Times New Roman"/>
          <w:sz w:val="22"/>
          <w:szCs w:val="22"/>
        </w:rPr>
        <w:t xml:space="preserve">The result is one number. Across off-diagonal cells with at least 10 samples, that is, cases of some </w:t>
      </w:r>
      <w:r>
        <w:rPr>
          <w:rFonts w:ascii="Times New Roman" w:cs="Times New Roman" w:eastAsia="Times New Roman" w:hAnsi="Times New Roman"/>
          <w:i/>
          <w:iCs/>
          <w:sz w:val="22"/>
          <w:szCs w:val="22"/>
        </w:rPr>
        <w:t xml:space="preserve">other</w:t>
      </w:r>
      <w:r>
        <w:rPr>
          <w:rFonts w:ascii="Times New Roman" w:cs="Times New Roman" w:eastAsia="Times New Roman" w:hAnsi="Times New Roman"/>
          <w:sz w:val="22"/>
          <w:szCs w:val="22"/>
        </w:rPr>
        <w:t xml:space="preserve"> disorder, cross-series classifiers score a mean of 68.1% positive (18 cells from 2 classifiers). Within-series classifiers score a mean of 11.9% (72 cells from 8 classifiers). That is 5.7 times higher. The medians are 70.7% and 0.0%. On pooled controls the means are 72.2% and 11.9%.</w:t>
      </w:r>
    </w:p>
    <w:p>
      <w:pPr>
        <w:spacing w:after="140" w:line="300"/>
        <w:jc w:val="both"/>
      </w:pPr>
      <w:r>
        <w:rPr>
          <w:rFonts w:ascii="Times New Roman" w:cs="Times New Roman" w:eastAsia="Times New Roman" w:hAnsi="Times New Roman"/>
          <w:sz w:val="22"/>
          <w:szCs w:val="22"/>
        </w:rPr>
        <w:t xml:space="preserve">Per classifier, the off-diagonal means are 76.4% for Coffin-Siris and 59.7% for Nicolaides-Baraitser. The highest within-series value is 42.2% (Down syndrome), followed by CHARGE at 33.1%; the other six within-series classifiers are all below 7%.</w:t>
      </w:r>
    </w:p>
    <w:p>
      <w:pPr>
        <w:spacing w:after="140" w:line="300"/>
        <w:jc w:val="both"/>
      </w:pPr>
      <w:r>
        <w:rPr>
          <w:rFonts w:ascii="Times New Roman" w:cs="Times New Roman" w:eastAsia="Times New Roman" w:hAnsi="Times New Roman"/>
          <w:sz w:val="22"/>
          <w:szCs w:val="22"/>
        </w:rPr>
        <w:t xml:space="preserve">A classifier that calls two thirds of unrelated patients positive is not detecting its disorder. Both cross-series classifiers were derived from cases deposited by one laboratory and controls deposited by another, so the probes that separate cases from controls are largely the probes that separate the two laboratories. Any sample from a third series then falls on one side or the other for reasons unrelated to disease.</w:t>
      </w:r>
    </w:p>
    <w:p>
      <w:pPr>
        <w:spacing w:after="140" w:line="300"/>
        <w:jc w:val="both"/>
      </w:pPr>
      <w:r>
        <w:rPr>
          <w:rFonts w:ascii="Times New Roman" w:cs="Times New Roman" w:eastAsia="Times New Roman" w:hAnsi="Times New Roman"/>
          <w:sz w:val="22"/>
          <w:szCs w:val="22"/>
        </w:rPr>
        <w:t xml:space="preserve">Two cautions. Both cross-series classifiers share one set of controls, so this is one confound observed twice. And within-series is no guarantee: the Down classifier, using siblings from its own series, has the highest within-series value.</w:t>
      </w:r>
    </w:p>
    <w:p>
      <w:pPr>
        <w:pStyle w:val="Heading2"/>
        <w:keepNext/>
        <w:spacing w:after="120" w:before="220"/>
      </w:pPr>
      <w:r>
        <w:rPr>
          <w:rFonts w:ascii="Times New Roman" w:cs="Times New Roman" w:eastAsia="Times New Roman" w:hAnsi="Times New Roman"/>
          <w:b/>
          <w:bCs/>
          <w:color w:val="000000"/>
          <w:sz w:val="24"/>
          <w:szCs w:val="24"/>
        </w:rPr>
        <w:t xml:space="preserve">5.6 Evidence bands and ceilings</w:t>
      </w:r>
    </w:p>
    <w:p>
      <w:pPr>
        <w:spacing w:after="140" w:line="300"/>
        <w:jc w:val="both"/>
      </w:pPr>
      <w:r>
        <w:rPr>
          <w:rFonts w:ascii="Times New Roman" w:cs="Times New Roman" w:eastAsia="Times New Roman" w:hAnsi="Times New Roman"/>
          <w:sz w:val="22"/>
          <w:szCs w:val="22"/>
        </w:rPr>
        <w:t xml:space="preserve">At a typical case score with a prior of 0.10, 2 disorders have a between-study band and 8 have a within-study band (Table 5).</w:t>
      </w:r>
    </w:p>
    <w:p>
      <w:pPr>
        <w:spacing w:after="140" w:line="300"/>
        <w:jc w:val="both"/>
      </w:pPr>
      <w:r>
        <w:rPr>
          <w:rFonts w:ascii="Times New Roman" w:cs="Times New Roman" w:eastAsia="Times New Roman" w:hAnsi="Times New Roman"/>
          <w:b/>
          <w:bCs/>
          <w:sz w:val="22"/>
          <w:szCs w:val="22"/>
        </w:rPr>
        <w:t xml:space="preserve">Table 5. Evidence at a typical case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1967"/>
        <w:gridCol w:w="4745"/>
      </w:tblGrid>
      <w:tr>
        <w:trPr>
          <w:tblHeader/>
        </w:trPr>
        <w:tc>
          <w:tcPr>
            <w:tcW w:type="dxa" w:w="2314"/>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Disorder</w:t>
            </w:r>
          </w:p>
        </w:tc>
        <w:tc>
          <w:tcPr>
            <w:tcW w:type="dxa" w:w="1967"/>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Scope</w:t>
            </w:r>
          </w:p>
        </w:tc>
        <w:tc>
          <w:tcPr>
            <w:tcW w:type="dxa" w:w="4745"/>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Band (likelihood ratio, interval)</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Silver-Russell</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between-study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 evidence (LR 3.1, interval 1.53-7.65)</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Kabuki type 1</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between-study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 evidence (LR 6.5, interval 1.98-32.39)</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Sotos</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Strong (LR 142.4, interval 77.3-1680.8)</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7q11.23 duplication</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Moderate (LR 46.6, interval 14.1-648.6)</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Coffin-Siris</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Moderate (LR 27.1, interval 14.8-144.1)</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ICF</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Moderate (LR 17.7, interval 6.7-457.7)</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Down</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Moderate (LR 17.6, interval 12.2-139.4)</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Williams</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Moderate (LR 8.1, interval 4.5-220.8)</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Nicolaides-Baraitser</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Supporting (LR 21.5, interval 4.3-220.0)</w:t>
            </w:r>
          </w:p>
        </w:tc>
      </w:tr>
      <w:tr>
        <w:trPr>
          <w:tblHeader w:val="off"/>
        </w:trPr>
        <w:tc>
          <w:tcPr>
            <w:tcW w:type="dxa" w:w="231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CHARGE</w:t>
            </w:r>
          </w:p>
        </w:tc>
        <w:tc>
          <w:tcPr>
            <w:tcW w:type="dxa" w:w="196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within-study only</w:t>
            </w:r>
          </w:p>
        </w:tc>
        <w:tc>
          <w:tcPr>
            <w:tcW w:type="dxa" w:w="474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Supporting (LR 7.3, interval 3.9-46.5)</w:t>
            </w:r>
          </w:p>
        </w:tc>
      </w:tr>
    </w:tbl>
    <w:p>
      <w:pPr>
        <w:spacing w:after="160"/>
      </w:pPr>
    </w:p>
    <w:p>
      <w:pPr>
        <w:spacing w:after="140" w:line="300"/>
        <w:jc w:val="both"/>
      </w:pPr>
      <w:r>
        <w:rPr>
          <w:rFonts w:ascii="Times New Roman" w:cs="Times New Roman" w:eastAsia="Times New Roman" w:hAnsi="Times New Roman"/>
          <w:sz w:val="22"/>
          <w:szCs w:val="22"/>
        </w:rPr>
        <w:t xml:space="preserve">The two disorders that can be assessed across studies are the two that earn no evidence. Their intervals exclude 1, but the conservative bound is below the 2.08 needed for one evidence point. The disorders with the strongest bands are exactly those whose bands cannot be checked against a second study. A typical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missense variant score reaches Supporting (LR 4.3), within-study only.</w:t>
      </w:r>
    </w:p>
    <w:p>
      <w:pPr>
        <w:spacing w:after="140" w:line="300"/>
        <w:jc w:val="both"/>
      </w:pPr>
      <w:r>
        <w:rPr>
          <w:rFonts w:ascii="Times New Roman" w:cs="Times New Roman" w:eastAsia="Times New Roman" w:hAnsi="Times New Roman"/>
          <w:sz w:val="22"/>
          <w:szCs w:val="22"/>
        </w:rPr>
        <w:t xml:space="preserve">The ceiling is Strong for all 12 cohorts, so none of these cohorts could support "Very Strong" evidence with any classifier (Figure 4).</w:t>
      </w:r>
    </w:p>
    <w:p>
      <w:pPr>
        <w:keepNext/>
        <w:spacing w:after="60" w:before="120"/>
        <w:jc w:val="center"/>
      </w:pPr>
      <w:r>
        <w:drawing>
          <wp:inline distT="0" distB="0" distL="0" distR="0">
            <wp:extent cx="5715000" cy="3848100"/>
            <wp:effectExtent t="0" r="0" b="0" l="0"/>
            <wp:docPr id="4" name="attainable_ceiling.png" descr="Figure 4. Attainable evidence ceiling against cohort size. Lines are the simulated ceiling; points are the twelve real cohorts." title="Figure 4. Attainable evidence ceiling against cohort size. Lines are the simulated ceiling; points are the twelve real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48100"/>
                    </a:xfrm>
                    <a:prstGeom prst="rect">
                      <a:avLst/>
                    </a:prstGeom>
                  </pic:spPr>
                </pic:pic>
              </a:graphicData>
            </a:graphic>
          </wp:inline>
        </w:drawing>
      </w:r>
    </w:p>
    <w:p>
      <w:pPr>
        <w:spacing w:after="140" w:line="300"/>
        <w:jc w:val="center"/>
      </w:pPr>
      <w:r>
        <w:rPr>
          <w:rFonts w:ascii="Times New Roman" w:cs="Times New Roman" w:eastAsia="Times New Roman" w:hAnsi="Times New Roman"/>
          <w:i/>
          <w:iCs/>
          <w:sz w:val="19"/>
          <w:szCs w:val="19"/>
        </w:rPr>
        <w:t xml:space="preserve">Figure 4. Attainable evidence ceiling against cohort size. Lines are the simulated ceiling; points are the twelve real cohorts.</w:t>
      </w:r>
    </w:p>
    <w:p>
      <w:pPr>
        <w:pStyle w:val="Heading2"/>
        <w:keepNext/>
        <w:spacing w:after="120" w:before="220"/>
      </w:pPr>
      <w:r>
        <w:rPr>
          <w:rFonts w:ascii="Times New Roman" w:cs="Times New Roman" w:eastAsia="Times New Roman" w:hAnsi="Times New Roman"/>
          <w:b/>
          <w:bCs/>
          <w:color w:val="000000"/>
          <w:sz w:val="24"/>
          <w:szCs w:val="24"/>
        </w:rPr>
        <w:t xml:space="preserve">5.7 The identification engine</w:t>
      </w:r>
    </w:p>
    <w:p>
      <w:pPr>
        <w:spacing w:after="140" w:line="300"/>
        <w:jc w:val="both"/>
      </w:pPr>
      <w:r>
        <w:rPr>
          <w:rFonts w:ascii="Times New Roman" w:cs="Times New Roman" w:eastAsia="Times New Roman" w:hAnsi="Times New Roman"/>
          <w:sz w:val="22"/>
          <w:szCs w:val="22"/>
        </w:rPr>
        <w:t xml:space="preserve">Five test signatures were built from the real corpus (Table 6). All searched 12 cohorts.</w:t>
      </w:r>
    </w:p>
    <w:p>
      <w:pPr>
        <w:spacing w:after="140" w:line="300"/>
        <w:jc w:val="both"/>
      </w:pPr>
      <w:r>
        <w:rPr>
          <w:rFonts w:ascii="Times New Roman" w:cs="Times New Roman" w:eastAsia="Times New Roman" w:hAnsi="Times New Roman"/>
          <w:b/>
          <w:bCs/>
          <w:sz w:val="22"/>
          <w:szCs w:val="22"/>
        </w:rPr>
        <w:t xml:space="preserve">Table 6. Test signatures through the identification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656"/>
        <w:gridCol w:w="3282"/>
        <w:gridCol w:w="3283"/>
      </w:tblGrid>
      <w:tr>
        <w:trPr>
          <w:tblHeader/>
        </w:trPr>
        <w:tc>
          <w:tcPr>
            <w:tcW w:type="dxa" w:w="1805"/>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Signature</w:t>
            </w:r>
          </w:p>
        </w:tc>
        <w:tc>
          <w:tcPr>
            <w:tcW w:type="dxa" w:w="656"/>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Verdict</w:t>
            </w:r>
          </w:p>
        </w:tc>
        <w:tc>
          <w:tcPr>
            <w:tcW w:type="dxa" w:w="3282"/>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Detail</w:t>
            </w:r>
          </w:p>
        </w:tc>
        <w:tc>
          <w:tcPr>
            <w:tcW w:type="dxa" w:w="3283"/>
            <w:tcBorders>
              <w:top w:val="single" w:color="999999" w:sz="4"/>
              <w:left w:val="single" w:color="999999" w:sz="4"/>
              <w:bottom w:val="single" w:color="999999" w:sz="4"/>
              <w:right w:val="single" w:color="999999" w:sz="4"/>
            </w:tcBorders>
            <w:shd w:fill="E8EEF7"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Expectations</w:t>
            </w:r>
          </w:p>
        </w:tc>
      </w:tr>
      <w:tr>
        <w:trPr>
          <w:tblHeader w:val="off"/>
        </w:trP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500 published Sotos probes</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match: Sotos</w:t>
            </w:r>
          </w:p>
        </w:tc>
        <w:tc>
          <w:tcPr>
            <w:tcW w:type="dxa" w:w="328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AUC 1.00; excess over random z = 125.4; runner-up Claes-Jensen syndrome (z 31.4); mean absolute difference 0.294 (0.286-0.300); ceiling Strong (limited by cohort size; cohort ceiling Strong; conservative LR 36.6)</w:t>
            </w:r>
          </w:p>
        </w:tc>
        <w:tc>
          <w:tcPr>
            <w:tcW w:type="dxa" w:w="32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identifies Sotos: met; AUC &gt; 0.95: met; clear margin over runner-up: met</w:t>
            </w:r>
          </w:p>
        </w:tc>
      </w:tr>
      <w:tr>
        <w:trPr>
          <w:tblHeader w:val="off"/>
        </w:trP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500 random probes</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no_match</w:t>
            </w:r>
          </w:p>
        </w:tc>
        <w:tc>
          <w:tcPr>
            <w:tcW w:type="dxa" w:w="328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highest raw AUC 1.00 (Williams syndrome); 7 cohorts at or above 0.70</w:t>
            </w:r>
          </w:p>
        </w:tc>
        <w:tc>
          <w:tcPr>
            <w:tcW w:type="dxa" w:w="32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no_match: met; 12 disorders searched: met; nothing above AUC 0.70: NOT met</w:t>
            </w:r>
          </w:p>
        </w:tc>
      </w:tr>
      <w:tr>
        <w:trPr>
          <w:tblHeader w:val="off"/>
        </w:trP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Sotos probes, directions inverted</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match: Sotos</w:t>
            </w:r>
          </w:p>
        </w:tc>
        <w:tc>
          <w:tcPr>
            <w:tcW w:type="dxa" w:w="328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AUC 1.00; z = 125.4; 500 of 500 directions flagged inconsistent</w:t>
            </w:r>
          </w:p>
        </w:tc>
        <w:tc>
          <w:tcPr>
            <w:tcW w:type="dxa" w:w="32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identifies Sotos: met; every direction flagged inconsistent: met</w:t>
            </w:r>
          </w:p>
        </w:tc>
      </w:tr>
      <w:tr>
        <w:trPr>
          <w:tblHeader w:val="off"/>
        </w:trP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20 Sotos probes</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match: Sotos</w:t>
            </w:r>
          </w:p>
        </w:tc>
        <w:tc>
          <w:tcPr>
            <w:tcW w:type="dxa" w:w="328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AUC 1.00; z = 26.3; runner-up Claes-Jensen syndrome (z 10.9); mean absolute difference 0.328 (0.281-0.372); ceiling Moderate (limited by signature size; cohort ceiling Strong; conservative LR 9.5)</w:t>
            </w:r>
          </w:p>
        </w:tc>
        <w:tc>
          <w:tcPr>
            <w:tcW w:type="dxa" w:w="32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identifies Sotos: met; wider effect CI than the 500-probe signature: met; evidence ceiling lower than the 500-probe signature's: met; evidence ceiling is Supporting or below: NOT met</w:t>
            </w:r>
          </w:p>
        </w:tc>
      </w:tr>
      <w:tr>
        <w:trPr>
          <w:tblHeader w:val="off"/>
        </w:trP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500 probes absent from the corpus</w:t>
            </w:r>
          </w:p>
        </w:tc>
        <w:tc>
          <w:tcPr>
            <w:tcW w:type="dxa" w:w="6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refused</w:t>
            </w:r>
          </w:p>
        </w:tc>
        <w:tc>
          <w:tcPr>
            <w:tcW w:type="dxa" w:w="328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insufficient_probe_coverage</w:t>
            </w:r>
          </w:p>
        </w:tc>
        <w:tc>
          <w:tcPr>
            <w:tcW w:type="dxa" w:w="32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19"/>
                <w:szCs w:val="19"/>
              </w:rPr>
              <w:t xml:space="preserve">refused: insufficient_probe_coverage: met</w:t>
            </w:r>
          </w:p>
        </w:tc>
      </w:tr>
    </w:tbl>
    <w:p>
      <w:pPr>
        <w:spacing w:after="160"/>
      </w:pPr>
    </w:p>
    <w:p>
      <w:pPr>
        <w:spacing w:after="140" w:line="300"/>
        <w:jc w:val="both"/>
      </w:pPr>
      <w:r>
        <w:rPr>
          <w:rFonts w:ascii="Times New Roman" w:cs="Times New Roman" w:eastAsia="Times New Roman" w:hAnsi="Times New Roman"/>
          <w:sz w:val="22"/>
          <w:szCs w:val="22"/>
        </w:rPr>
        <w:t xml:space="preserve">Two expectations were not met, and we report them as not met.</w:t>
      </w:r>
    </w:p>
    <w:p>
      <w:pPr>
        <w:spacing w:after="140" w:line="300"/>
        <w:jc w:val="both"/>
      </w:pPr>
      <w:r>
        <w:rPr>
          <w:rFonts w:ascii="Times New Roman" w:cs="Times New Roman" w:eastAsia="Times New Roman" w:hAnsi="Times New Roman"/>
          <w:b/>
          <w:bCs/>
          <w:sz w:val="22"/>
          <w:szCs w:val="22"/>
        </w:rPr>
        <w:t xml:space="preserve">Methodological finding: AUC alone is unsafe for identification in this corpus.</w:t>
      </w:r>
      <w:r>
        <w:rPr>
          <w:rFonts w:ascii="Times New Roman" w:cs="Times New Roman" w:eastAsia="Times New Roman" w:hAnsi="Times New Roman"/>
          <w:sz w:val="22"/>
          <w:szCs w:val="22"/>
        </w:rPr>
        <w:t xml:space="preserve"> Five hundred random probes achieve an AUC of 1.00 on Williams syndrome, and 0.70 or more on 7 of the 12 cohorts, so the original rule (match above AUC 0.70) would have named a disorder for a random list. Disorders that shift methylation genome-wide separate from their own study's controls on almost any probes. What makes no_match work is the comparison with 1,000 random probe sets of the same size, summarised as a z-score: the random signature fails it in all 12 cohorts. We record "nothing above AUC 0.70" as not met, and treat the reason as a result: any claim based on within-study AUC needs a random-probe control beside it.</w:t>
      </w:r>
    </w:p>
    <w:p>
      <w:pPr>
        <w:spacing w:after="140" w:line="300"/>
        <w:jc w:val="both"/>
      </w:pPr>
      <w:r>
        <w:rPr>
          <w:rFonts w:ascii="Times New Roman" w:cs="Times New Roman" w:eastAsia="Times New Roman" w:hAnsi="Times New Roman"/>
          <w:b/>
          <w:bCs/>
          <w:sz w:val="22"/>
          <w:szCs w:val="22"/>
        </w:rPr>
        <w:t xml:space="preserve">The ceiling now depends on signature size.</w:t>
      </w:r>
      <w:r>
        <w:rPr>
          <w:rFonts w:ascii="Times New Roman" w:cs="Times New Roman" w:eastAsia="Times New Roman" w:hAnsi="Times New Roman"/>
          <w:sz w:val="22"/>
          <w:szCs w:val="22"/>
        </w:rPr>
        <w:t xml:space="preserve"> Earlier, 20 and 500 probes both received Strong, because the ceiling described only the cohort. With the bound of Section 3.10 the 20-probe signature is capped at Moderate (limited by signature size) and the 500-probe one stays Strong. The stricter expectation, Supporting or below, is not met.</w:t>
      </w:r>
    </w:p>
    <w:p>
      <w:pPr>
        <w:pStyle w:val="Heading2"/>
        <w:keepNext/>
        <w:spacing w:after="120" w:before="220"/>
      </w:pPr>
      <w:r>
        <w:rPr>
          <w:rFonts w:ascii="Times New Roman" w:cs="Times New Roman" w:eastAsia="Times New Roman" w:hAnsi="Times New Roman"/>
          <w:b/>
          <w:bCs/>
          <w:color w:val="000000"/>
          <w:sz w:val="24"/>
          <w:szCs w:val="24"/>
        </w:rPr>
        <w:t xml:space="preserve">5.8 The plain-language layer</w:t>
      </w:r>
    </w:p>
    <w:p>
      <w:pPr>
        <w:spacing w:after="140" w:line="300"/>
        <w:jc w:val="both"/>
      </w:pPr>
      <w:r>
        <w:rPr>
          <w:rFonts w:ascii="Times New Roman" w:cs="Times New Roman" w:eastAsia="Times New Roman" w:hAnsi="Times New Roman"/>
          <w:sz w:val="22"/>
          <w:szCs w:val="22"/>
        </w:rPr>
        <w:t xml:space="preserve">The app can add a short plain-language summary to each result. A language model (openai/gpt-oss-120b, served by Groq) is used only as a formatter: it receives a fact sheet built deterministically from the result tables and must restate it. Each output is checked before it is shown. It is rejected if it contains a number that is not in the fact sheet (written in digits or in words), clinical or mechanistic language the facts did not supply, a disorder the facts do not name, a wrong data type or method name, an interpretive claim, or fewer than 2 or more than 8 sentences. A rejected output gets one retry with the reasons attached; a second rejection falls back to a fixed template. This pattern, constrained generation from a structured fact sheet, is not new. What we report is how often it failed.</w:t>
      </w:r>
    </w:p>
    <w:p>
      <w:pPr>
        <w:spacing w:after="140" w:line="300"/>
        <w:jc w:val="both"/>
      </w:pPr>
      <w:r>
        <w:rPr>
          <w:rFonts w:ascii="Times New Roman" w:cs="Times New Roman" w:eastAsia="Times New Roman" w:hAnsi="Times New Roman"/>
          <w:b/>
          <w:bCs/>
          <w:sz w:val="22"/>
          <w:szCs w:val="22"/>
        </w:rPr>
        <w:t xml:space="preserve">Rejections.</w:t>
      </w:r>
      <w:r>
        <w:rPr>
          <w:rFonts w:ascii="Times New Roman" w:cs="Times New Roman" w:eastAsia="Times New Roman" w:hAnsi="Times New Roman"/>
          <w:sz w:val="22"/>
          <w:szCs w:val="22"/>
        </w:rPr>
        <w:t xml:space="preserve"> Over 17 subjects (the five test signatures and the twelve disorders), 12 outputs passed first time, 4 passed after the retry and 1 fell back to the template. 6 model outputs were rejected in all, for: wrong method name (3), interpretive claim (2), wrong data type (1).</w:t>
      </w:r>
    </w:p>
    <w:p>
      <w:pPr>
        <w:spacing w:after="140" w:line="300"/>
        <w:jc w:val="both"/>
      </w:pPr>
      <w:r>
        <w:rPr>
          <w:rFonts w:ascii="Times New Roman" w:cs="Times New Roman" w:eastAsia="Times New Roman" w:hAnsi="Times New Roman"/>
          <w:b/>
          <w:bCs/>
          <w:sz w:val="22"/>
          <w:szCs w:val="22"/>
        </w:rPr>
        <w:t xml:space="preserve">Passing the check is not the same as being right.</w:t>
      </w:r>
      <w:r>
        <w:rPr>
          <w:rFonts w:ascii="Times New Roman" w:cs="Times New Roman" w:eastAsia="Times New Roman" w:hAnsi="Times New Roman"/>
          <w:sz w:val="22"/>
          <w:szCs w:val="22"/>
        </w:rPr>
        <w:t xml:space="preserve"> We read every accepted output. 7 of 16 contained an error of meaning that no automatic check caught: calling the submitted probes "samples", misreading the band name "No evidence" as an absence of a band (twice), describing a cohort-level band as "a moderate-scoring case", adding "not intended for broader clinical use" (twice), and attributing a refusal to an array platform. These 7 are blocked in the app, which shows the template instead. The review was carried out by an AI assistant, not a person, and is recorded with every output in </w:t>
      </w:r>
      <w:r>
        <w:rPr>
          <w:rFonts w:ascii="Consolas" w:cs="Consolas" w:eastAsia="Consolas" w:hAnsi="Consolas"/>
          <w:sz w:val="20"/>
          <w:szCs w:val="20"/>
        </w:rPr>
        <w:t xml:space="preserve">results/tables/explanation_review.tsv</w:t>
      </w:r>
      <w:r>
        <w:rPr>
          <w:rFonts w:ascii="Times New Roman" w:cs="Times New Roman" w:eastAsia="Times New Roman" w:hAnsi="Times New Roman"/>
          <w:sz w:val="22"/>
          <w:szCs w:val="22"/>
        </w:rPr>
        <w:t xml:space="preserve">.</w:t>
      </w:r>
    </w:p>
    <w:p>
      <w:pPr>
        <w:spacing w:after="140" w:line="300"/>
        <w:jc w:val="both"/>
      </w:pPr>
      <w:r>
        <w:rPr>
          <w:rFonts w:ascii="Times New Roman" w:cs="Times New Roman" w:eastAsia="Times New Roman" w:hAnsi="Times New Roman"/>
          <w:b/>
          <w:bCs/>
          <w:sz w:val="22"/>
          <w:szCs w:val="22"/>
        </w:rPr>
        <w:t xml:space="preserve">The checker had to be fixed as well.</w:t>
      </w:r>
      <w:r>
        <w:rPr>
          <w:rFonts w:ascii="Times New Roman" w:cs="Times New Roman" w:eastAsia="Times New Roman" w:hAnsi="Times New Roman"/>
          <w:sz w:val="22"/>
          <w:szCs w:val="22"/>
        </w:rPr>
        <w:t xml:space="preserve"> In the first run, most of the 6 rejections were validator errors: "450K" in a platform name and a thin-space thousands separator were read as invented numbers. A second run then passed 17 of 17, yet called a methylation signature "gene-expression" and renamed leave-one-study-out; those terms were added to the check. All three runs are kept in </w:t>
      </w:r>
      <w:r>
        <w:rPr>
          <w:rFonts w:ascii="Consolas" w:cs="Consolas" w:eastAsia="Consolas" w:hAnsi="Consolas"/>
          <w:sz w:val="20"/>
          <w:szCs w:val="20"/>
        </w:rPr>
        <w:t xml:space="preserve">results/tables/</w:t>
      </w:r>
      <w:r>
        <w:rPr>
          <w:rFonts w:ascii="Times New Roman" w:cs="Times New Roman" w:eastAsia="Times New Roman" w:hAnsi="Times New Roman"/>
          <w:sz w:val="22"/>
          <w:szCs w:val="22"/>
        </w:rPr>
        <w:t xml:space="preserve">.</w:t>
      </w:r>
    </w:p>
    <w:p>
      <w:pPr>
        <w:spacing w:after="140" w:line="300"/>
        <w:jc w:val="both"/>
      </w:pPr>
      <w:r>
        <w:rPr>
          <w:rFonts w:ascii="Times New Roman" w:cs="Times New Roman" w:eastAsia="Times New Roman" w:hAnsi="Times New Roman"/>
          <w:sz w:val="22"/>
          <w:szCs w:val="22"/>
        </w:rPr>
        <w:t xml:space="preserve">The model cannot change a band, score or verdict, and the app works without it.</w:t>
      </w:r>
    </w:p>
    <w:p>
      <w:pPr>
        <w:pStyle w:val="Heading2"/>
        <w:keepNext/>
        <w:spacing w:after="120" w:before="220"/>
      </w:pPr>
      <w:r>
        <w:rPr>
          <w:rFonts w:ascii="Times New Roman" w:cs="Times New Roman" w:eastAsia="Times New Roman" w:hAnsi="Times New Roman"/>
          <w:b/>
          <w:bCs/>
          <w:color w:val="000000"/>
          <w:sz w:val="24"/>
          <w:szCs w:val="24"/>
        </w:rPr>
        <w:t xml:space="preserve">5.9 Label consistency</w:t>
      </w:r>
    </w:p>
    <w:p>
      <w:pPr>
        <w:spacing w:after="140" w:line="300"/>
        <w:jc w:val="both"/>
      </w:pPr>
      <w:r>
        <w:rPr>
          <w:rFonts w:ascii="Times New Roman" w:cs="Times New Roman" w:eastAsia="Times New Roman" w:hAnsi="Times New Roman"/>
          <w:sz w:val="22"/>
          <w:szCs w:val="22"/>
        </w:rPr>
        <w:t xml:space="preserve">The two implementations of the labelling rules agreed on 81 of 81 scoreable samples; 19 of the 100 sampled were unresolvable from public metadata and were excluded from the denominator. This is an AI-versus-AI consistency figure. Human curation: human curation pending.</w:t>
      </w:r>
    </w:p>
    <w:p>
      <w:pPr>
        <w:pStyle w:val="Heading1"/>
        <w:keepNext/>
        <w:spacing w:after="120" w:before="320"/>
      </w:pPr>
      <w:r>
        <w:rPr>
          <w:rFonts w:ascii="Times New Roman" w:cs="Times New Roman" w:eastAsia="Times New Roman" w:hAnsi="Times New Roman"/>
          <w:b/>
          <w:bCs/>
          <w:color w:val="000000"/>
          <w:sz w:val="28"/>
          <w:szCs w:val="28"/>
        </w:rPr>
        <w:t xml:space="preserve">6. Discussion</w:t>
      </w:r>
    </w:p>
    <w:p>
      <w:pPr>
        <w:pStyle w:val="Heading2"/>
        <w:keepNext/>
        <w:spacing w:after="120" w:before="220"/>
      </w:pPr>
      <w:r>
        <w:rPr>
          <w:rFonts w:ascii="Times New Roman" w:cs="Times New Roman" w:eastAsia="Times New Roman" w:hAnsi="Times New Roman"/>
          <w:b/>
          <w:bCs/>
          <w:color w:val="000000"/>
          <w:sz w:val="24"/>
          <w:szCs w:val="24"/>
        </w:rPr>
        <w:t xml:space="preserve">6.1 What cross-study non-transfer means</w:t>
      </w:r>
    </w:p>
    <w:p>
      <w:pPr>
        <w:spacing w:after="140" w:line="300"/>
        <w:jc w:val="both"/>
      </w:pPr>
      <w:r>
        <w:rPr>
          <w:rFonts w:ascii="Times New Roman" w:cs="Times New Roman" w:eastAsia="Times New Roman" w:hAnsi="Times New Roman"/>
          <w:sz w:val="22"/>
          <w:szCs w:val="22"/>
        </w:rPr>
        <w:t xml:space="preserve">A signature that separates cases from controls inside one study has shown that two groups processed together differ. It has not shown that the difference is the disorder. The only public test of that is to derive in one study and apply in another.</w:t>
      </w:r>
    </w:p>
    <w:p>
      <w:pPr>
        <w:spacing w:after="140" w:line="300"/>
        <w:jc w:val="both"/>
      </w:pPr>
      <w:r>
        <w:rPr>
          <w:rFonts w:ascii="Times New Roman" w:cs="Times New Roman" w:eastAsia="Times New Roman" w:hAnsi="Times New Roman"/>
          <w:sz w:val="22"/>
          <w:szCs w:val="22"/>
        </w:rPr>
        <w:t xml:space="preserve">On this corpus that test could be run once in six attempts, for one disorder in one direction, and it detected 5 of 18 cases. Two of the three eligible disorders have no cross-study result of any kind. This does not show that the Silver-Russell signature is wrong. The disorder is molecularly heterogeneous, and the training set was restricted to one subtype. It does show that the public record cannot currently confirm transfer for any disorder we examined. For Kabuki syndrome the reason is statistical power: with 9 or 11 controls the test cannot reach significance for any probe after correction. For Nicolaides-Baraitser syndrome the reason is cohort size.</w:t>
      </w:r>
    </w:p>
    <w:p>
      <w:pPr>
        <w:spacing w:after="140" w:line="300"/>
        <w:jc w:val="both"/>
      </w:pPr>
      <w:r>
        <w:rPr>
          <w:rFonts w:ascii="Times New Roman" w:cs="Times New Roman" w:eastAsia="Times New Roman" w:hAnsi="Times New Roman"/>
          <w:sz w:val="22"/>
          <w:szCs w:val="22"/>
        </w:rPr>
        <w:t xml:space="preserve">This is consistent with Husson et al. [7], who found a wide range of sensitivities with new data. They found variation where a test could be run. We find that in public data the test usually cannot be run at all.</w:t>
      </w:r>
    </w:p>
    <w:p>
      <w:pPr>
        <w:pStyle w:val="Heading2"/>
        <w:keepNext/>
        <w:spacing w:after="120" w:before="220"/>
      </w:pPr>
      <w:r>
        <w:rPr>
          <w:rFonts w:ascii="Times New Roman" w:cs="Times New Roman" w:eastAsia="Times New Roman" w:hAnsi="Times New Roman"/>
          <w:b/>
          <w:bCs/>
          <w:color w:val="000000"/>
          <w:sz w:val="24"/>
          <w:szCs w:val="24"/>
        </w:rPr>
        <w:t xml:space="preserve">6.2 Why within-study numbers are misleadingly reassuring</w:t>
      </w:r>
    </w:p>
    <w:p>
      <w:pPr>
        <w:spacing w:after="140" w:line="300"/>
        <w:jc w:val="both"/>
      </w:pPr>
      <w:r>
        <w:rPr>
          <w:rFonts w:ascii="Times New Roman" w:cs="Times New Roman" w:eastAsia="Times New Roman" w:hAnsi="Times New Roman"/>
          <w:sz w:val="22"/>
          <w:szCs w:val="22"/>
        </w:rPr>
        <w:t xml:space="preserve">Three results point the same way.</w:t>
      </w:r>
    </w:p>
    <w:p>
      <w:pPr>
        <w:spacing w:after="140" w:line="300"/>
        <w:jc w:val="both"/>
      </w:pPr>
      <w:r>
        <w:rPr>
          <w:rFonts w:ascii="Times New Roman" w:cs="Times New Roman" w:eastAsia="Times New Roman" w:hAnsi="Times New Roman"/>
          <w:sz w:val="22"/>
          <w:szCs w:val="22"/>
        </w:rPr>
        <w:t xml:space="preserve">First, the strongest evidence bands in Table 5 belong to the disorders that failed the confounding gate. Sotos reaches "Strong" on a within-study basis. The classifier is real and its reproduction is exact, but the band describes stability inside one dataset.</w:t>
      </w:r>
    </w:p>
    <w:p>
      <w:pPr>
        <w:spacing w:after="140" w:line="300"/>
        <w:jc w:val="both"/>
      </w:pPr>
      <w:r>
        <w:rPr>
          <w:rFonts w:ascii="Times New Roman" w:cs="Times New Roman" w:eastAsia="Times New Roman" w:hAnsi="Times New Roman"/>
          <w:sz w:val="22"/>
          <w:szCs w:val="22"/>
        </w:rPr>
        <w:t xml:space="preserve">Second, the Coffin-Siris classifier, trained against out-of-series controls, has perfect leave-one-out sensitivity, a "Moderate" band, and scores 85.8% of unrelated controls positive. Its within-study numbers look as good as those of a specific classifier. Only the cross-disorder matrix exposes it.</w:t>
      </w:r>
    </w:p>
    <w:p>
      <w:pPr>
        <w:spacing w:after="140" w:line="300"/>
        <w:jc w:val="both"/>
      </w:pPr>
      <w:r>
        <w:rPr>
          <w:rFonts w:ascii="Times New Roman" w:cs="Times New Roman" w:eastAsia="Times New Roman" w:hAnsi="Times New Roman"/>
          <w:sz w:val="22"/>
          <w:szCs w:val="22"/>
        </w:rPr>
        <w:t xml:space="preserve">Third, random probes reach an AUC of 1.00. A laboratory that validates a new signature by showing high AUC against its own controls has not shown that the signature is specific. It may have shown only that cases and controls differ broadly.</w:t>
      </w:r>
    </w:p>
    <w:p>
      <w:pPr>
        <w:pStyle w:val="Heading2"/>
        <w:keepNext/>
        <w:spacing w:after="120" w:before="220"/>
      </w:pPr>
      <w:r>
        <w:rPr>
          <w:rFonts w:ascii="Times New Roman" w:cs="Times New Roman" w:eastAsia="Times New Roman" w:hAnsi="Times New Roman"/>
          <w:b/>
          <w:bCs/>
          <w:color w:val="000000"/>
          <w:sz w:val="24"/>
          <w:szCs w:val="24"/>
        </w:rPr>
        <w:t xml:space="preserve">6.3 The controls-source effect</w:t>
      </w:r>
    </w:p>
    <w:p>
      <w:pPr>
        <w:spacing w:after="140" w:line="300"/>
        <w:jc w:val="both"/>
      </w:pPr>
      <w:r>
        <w:rPr>
          <w:rFonts w:ascii="Times New Roman" w:cs="Times New Roman" w:eastAsia="Times New Roman" w:hAnsi="Times New Roman"/>
          <w:sz w:val="22"/>
          <w:szCs w:val="22"/>
        </w:rPr>
        <w:t xml:space="preserve">A classifier trained against controls from another series learns the difference between two series. Its own cases all come from one of them, so its sensitivity and its evidence band look good, and nothing inside the training data reveals the problem.</w:t>
      </w:r>
    </w:p>
    <w:p>
      <w:pPr>
        <w:spacing w:after="140" w:line="300"/>
        <w:jc w:val="both"/>
      </w:pPr>
      <w:r>
        <w:rPr>
          <w:rFonts w:ascii="Times New Roman" w:cs="Times New Roman" w:eastAsia="Times New Roman" w:hAnsi="Times New Roman"/>
          <w:sz w:val="22"/>
          <w:szCs w:val="22"/>
        </w:rPr>
        <w:t xml:space="preserve">Scoring samples from a third series does: 68.1% of other disorders' cases score positive under cross-series classifiers, against 11.9% under within-series ones. We built the cross-series classifiers knowingly, because one public study deposited no controls, and report them as a negative control, not as signatures of those disorders.</w:t>
      </w:r>
    </w:p>
    <w:p>
      <w:pPr>
        <w:spacing w:after="140" w:line="300"/>
        <w:jc w:val="both"/>
      </w:pPr>
      <w:r>
        <w:rPr>
          <w:rFonts w:ascii="Times New Roman" w:cs="Times New Roman" w:eastAsia="Times New Roman" w:hAnsi="Times New Roman"/>
          <w:sz w:val="22"/>
          <w:szCs w:val="22"/>
        </w:rPr>
        <w:t xml:space="preserve">Borrowing reference controls is common when a rare-disease cohort is small. A signature built that way should be assumed to carry a series component until it has been scored on unrelated samples from elsewhere.</w:t>
      </w:r>
    </w:p>
    <w:p>
      <w:pPr>
        <w:pStyle w:val="Heading2"/>
        <w:keepNext/>
        <w:spacing w:after="120" w:before="220"/>
      </w:pPr>
      <w:r>
        <w:rPr>
          <w:rFonts w:ascii="Times New Roman" w:cs="Times New Roman" w:eastAsia="Times New Roman" w:hAnsi="Times New Roman"/>
          <w:b/>
          <w:bCs/>
          <w:color w:val="000000"/>
          <w:sz w:val="24"/>
          <w:szCs w:val="24"/>
        </w:rPr>
        <w:t xml:space="preserve">6.4 The circularity of benign labels for *NSD1*</w:t>
      </w:r>
    </w:p>
    <w:p>
      <w:pPr>
        <w:spacing w:after="140" w:line="300"/>
        <w:jc w:val="both"/>
      </w:pPr>
      <w:r>
        <w:rPr>
          <w:rFonts w:ascii="Times New Roman" w:cs="Times New Roman" w:eastAsia="Times New Roman" w:hAnsi="Times New Roman"/>
          <w:sz w:val="22"/>
          <w:szCs w:val="22"/>
        </w:rPr>
        <w:t xml:space="preserve">The 16 </w:t>
      </w:r>
      <w:r>
        <w:rPr>
          <w:rFonts w:ascii="Times New Roman" w:cs="Times New Roman" w:eastAsia="Times New Roman" w:hAnsi="Times New Roman"/>
          <w:i/>
          <w:iCs/>
          <w:sz w:val="22"/>
          <w:szCs w:val="22"/>
        </w:rPr>
        <w:t xml:space="preserve">NSD1</w:t>
      </w:r>
      <w:r>
        <w:rPr>
          <w:rFonts w:ascii="Times New Roman" w:cs="Times New Roman" w:eastAsia="Times New Roman" w:hAnsi="Times New Roman"/>
          <w:sz w:val="22"/>
          <w:szCs w:val="22"/>
        </w:rPr>
        <w:t xml:space="preserve"> missense variants split 9 positive and 7 negative, exactly as published. It is tempting to treat the 7 as benign controls. They were labelled benign-like by the classifier being evaluated. Using them to validate that classifier would be circular. Brnich et al. require validation controls whose classification is independent of the assay [9]. Public data do not provide such controls for this gene, so we do not use the split as validation, and we anchor evidence to a phenotype-specificity criterion rather than the functional criterion.</w:t>
      </w:r>
    </w:p>
    <w:p>
      <w:pPr>
        <w:pStyle w:val="Heading2"/>
        <w:keepNext/>
        <w:spacing w:after="120" w:before="220"/>
      </w:pPr>
      <w:r>
        <w:rPr>
          <w:rFonts w:ascii="Times New Roman" w:cs="Times New Roman" w:eastAsia="Times New Roman" w:hAnsi="Times New Roman"/>
          <w:b/>
          <w:bCs/>
          <w:color w:val="000000"/>
          <w:sz w:val="24"/>
          <w:szCs w:val="24"/>
        </w:rPr>
        <w:t xml:space="preserve">6.5 What the identification engine lets a laboratory do</w:t>
      </w:r>
    </w:p>
    <w:p>
      <w:pPr>
        <w:spacing w:after="140" w:line="300"/>
        <w:jc w:val="both"/>
      </w:pPr>
      <w:r>
        <w:rPr>
          <w:rFonts w:ascii="Times New Roman" w:cs="Times New Roman" w:eastAsia="Times New Roman" w:hAnsi="Times New Roman"/>
          <w:sz w:val="22"/>
          <w:szCs w:val="22"/>
        </w:rPr>
        <w:t xml:space="preserve">A laboratory that has derived a signature can now ask, without sharing patient data: which platforms carry these probes; does the signature pick out a public cohort; how does it behave on eleven other disorders and 273 controls; is it largely a known signature; and what is the strongest claim the matched public cohort and the signature's own size could support. The answer arrives with the number of cohorts searched and the scope of the match stated, and with refusal when coverage is too low.</w:t>
      </w:r>
    </w:p>
    <w:p>
      <w:pPr>
        <w:pStyle w:val="Heading2"/>
        <w:keepNext/>
        <w:spacing w:after="120" w:before="220"/>
      </w:pPr>
      <w:r>
        <w:rPr>
          <w:rFonts w:ascii="Times New Roman" w:cs="Times New Roman" w:eastAsia="Times New Roman" w:hAnsi="Times New Roman"/>
          <w:b/>
          <w:bCs/>
          <w:color w:val="000000"/>
          <w:sz w:val="24"/>
          <w:szCs w:val="24"/>
        </w:rPr>
        <w:t xml:space="preserve">6.6 Threats to validity</w:t>
      </w:r>
    </w:p>
    <w:p>
      <w:pPr>
        <w:spacing w:after="140" w:line="300"/>
        <w:jc w:val="both"/>
      </w:pPr>
      <w:r>
        <w:rPr>
          <w:rFonts w:ascii="Times New Roman" w:cs="Times New Roman" w:eastAsia="Times New Roman" w:hAnsi="Times New Roman"/>
          <w:b/>
          <w:bCs/>
          <w:sz w:val="22"/>
          <w:szCs w:val="22"/>
        </w:rPr>
        <w:t xml:space="preserve">Borrowed and non-standard controls.</w:t>
      </w:r>
      <w:r>
        <w:rPr>
          <w:rFonts w:ascii="Times New Roman" w:cs="Times New Roman" w:eastAsia="Times New Roman" w:hAnsi="Times New Roman"/>
          <w:sz w:val="22"/>
          <w:szCs w:val="22"/>
        </w:rPr>
        <w:t xml:space="preserve"> Two signatures use controls from another series and one uses siblings. We flagged these rows and the matrix shows the damage. They should not be read as disorder signatures.</w:t>
      </w:r>
    </w:p>
    <w:p>
      <w:pPr>
        <w:spacing w:after="140" w:line="300"/>
        <w:jc w:val="both"/>
      </w:pPr>
      <w:r>
        <w:rPr>
          <w:rFonts w:ascii="Times New Roman" w:cs="Times New Roman" w:eastAsia="Times New Roman" w:hAnsi="Times New Roman"/>
          <w:b/>
          <w:bCs/>
          <w:sz w:val="22"/>
          <w:szCs w:val="22"/>
        </w:rPr>
        <w:t xml:space="preserve">Probe selection is not nested.</w:t>
      </w:r>
      <w:r>
        <w:rPr>
          <w:rFonts w:ascii="Times New Roman" w:cs="Times New Roman" w:eastAsia="Times New Roman" w:hAnsi="Times New Roman"/>
          <w:sz w:val="22"/>
          <w:szCs w:val="22"/>
        </w:rPr>
        <w:t xml:space="preserve"> Leave-one-out covers the median profiles, not the choice of probes. Diagonal sensitivities are optimistic for every re-derived signature.</w:t>
      </w:r>
    </w:p>
    <w:p>
      <w:pPr>
        <w:spacing w:after="140" w:line="300"/>
        <w:jc w:val="both"/>
      </w:pPr>
      <w:r>
        <w:rPr>
          <w:rFonts w:ascii="Times New Roman" w:cs="Times New Roman" w:eastAsia="Times New Roman" w:hAnsi="Times New Roman"/>
          <w:b/>
          <w:bCs/>
          <w:sz w:val="22"/>
          <w:szCs w:val="22"/>
        </w:rPr>
        <w:t xml:space="preserve">The random-probe null is not variance-matched.</w:t>
      </w:r>
      <w:r>
        <w:rPr>
          <w:rFonts w:ascii="Times New Roman" w:cs="Times New Roman" w:eastAsia="Times New Roman" w:hAnsi="Times New Roman"/>
          <w:sz w:val="22"/>
          <w:szCs w:val="22"/>
        </w:rPr>
        <w:t xml:space="preserve"> Probes in a real signature tend to be variable in general. The 500 Sotos probes exceed the random-probe distribution in all 12 cohorts, not only in Sotos, though by a factor of four less. The engine therefore depends on the margin between the top cohort and the runner-up. A null matched on probe variability would be stricter.</w:t>
      </w:r>
    </w:p>
    <w:p>
      <w:pPr>
        <w:spacing w:after="140" w:line="300"/>
        <w:jc w:val="both"/>
      </w:pPr>
      <w:r>
        <w:rPr>
          <w:rFonts w:ascii="Times New Roman" w:cs="Times New Roman" w:eastAsia="Times New Roman" w:hAnsi="Times New Roman"/>
          <w:b/>
          <w:bCs/>
          <w:sz w:val="22"/>
          <w:szCs w:val="22"/>
        </w:rPr>
        <w:t xml:space="preserve">The score ignores uniform shifts.</w:t>
      </w:r>
      <w:r>
        <w:rPr>
          <w:rFonts w:ascii="Times New Roman" w:cs="Times New Roman" w:eastAsia="Times New Roman" w:hAnsi="Times New Roman"/>
          <w:sz w:val="22"/>
          <w:szCs w:val="22"/>
        </w:rPr>
        <w:t xml:space="preserve"> Pearson correlation is unchanged by a constant offset. A signature whose probes all move by the same amount would not separate cases under this rule.</w:t>
      </w:r>
    </w:p>
    <w:p>
      <w:pPr>
        <w:spacing w:after="140" w:line="300"/>
        <w:jc w:val="both"/>
      </w:pPr>
      <w:r>
        <w:rPr>
          <w:rFonts w:ascii="Times New Roman" w:cs="Times New Roman" w:eastAsia="Times New Roman" w:hAnsi="Times New Roman"/>
          <w:b/>
          <w:bCs/>
          <w:sz w:val="22"/>
          <w:szCs w:val="22"/>
        </w:rPr>
        <w:t xml:space="preserve">No sex-chromosome or polymorphism filter</w:t>
      </w:r>
      <w:r>
        <w:rPr>
          <w:rFonts w:ascii="Times New Roman" w:cs="Times New Roman" w:eastAsia="Times New Roman" w:hAnsi="Times New Roman"/>
          <w:sz w:val="22"/>
          <w:szCs w:val="22"/>
        </w:rPr>
        <w:t xml:space="preserve"> was applied to re-derived signatures, and sex is not annotated for two series.</w:t>
      </w:r>
    </w:p>
    <w:p>
      <w:pPr>
        <w:spacing w:after="140" w:line="300"/>
        <w:jc w:val="both"/>
      </w:pPr>
      <w:r>
        <w:rPr>
          <w:rFonts w:ascii="Times New Roman" w:cs="Times New Roman" w:eastAsia="Times New Roman" w:hAnsi="Times New Roman"/>
          <w:b/>
          <w:bCs/>
          <w:sz w:val="22"/>
          <w:szCs w:val="22"/>
        </w:rPr>
        <w:t xml:space="preserve">Heterogeneous case definitions.</w:t>
      </w:r>
      <w:r>
        <w:rPr>
          <w:rFonts w:ascii="Times New Roman" w:cs="Times New Roman" w:eastAsia="Times New Roman" w:hAnsi="Times New Roman"/>
          <w:sz w:val="22"/>
          <w:szCs w:val="22"/>
        </w:rPr>
        <w:t xml:space="preserve"> ICF types 1 to 4 are pooled. Silver-Russell training is restricted to one subtype.</w:t>
      </w:r>
    </w:p>
    <w:p>
      <w:pPr>
        <w:spacing w:after="140" w:line="300"/>
        <w:jc w:val="both"/>
      </w:pPr>
      <w:r>
        <w:rPr>
          <w:rFonts w:ascii="Times New Roman" w:cs="Times New Roman" w:eastAsia="Times New Roman" w:hAnsi="Times New Roman"/>
          <w:b/>
          <w:bCs/>
          <w:sz w:val="22"/>
          <w:szCs w:val="22"/>
        </w:rPr>
        <w:t xml:space="preserve">Small numbers throughout.</w:t>
      </w:r>
      <w:r>
        <w:rPr>
          <w:rFonts w:ascii="Times New Roman" w:cs="Times New Roman" w:eastAsia="Times New Roman" w:hAnsi="Times New Roman"/>
          <w:sz w:val="22"/>
          <w:szCs w:val="22"/>
        </w:rPr>
        <w:t xml:space="preserve"> The headline transfer result rests on 18 cases and 6 controls.</w:t>
      </w:r>
    </w:p>
    <w:p>
      <w:pPr>
        <w:spacing w:after="140" w:line="300"/>
        <w:jc w:val="both"/>
      </w:pPr>
      <w:r>
        <w:rPr>
          <w:rFonts w:ascii="Times New Roman" w:cs="Times New Roman" w:eastAsia="Times New Roman" w:hAnsi="Times New Roman"/>
          <w:b/>
          <w:bCs/>
          <w:sz w:val="22"/>
          <w:szCs w:val="22"/>
        </w:rPr>
        <w:t xml:space="preserve">Labels.</w:t>
      </w:r>
      <w:r>
        <w:rPr>
          <w:rFonts w:ascii="Times New Roman" w:cs="Times New Roman" w:eastAsia="Times New Roman" w:hAnsi="Times New Roman"/>
          <w:sz w:val="22"/>
          <w:szCs w:val="22"/>
        </w:rPr>
        <w:t xml:space="preserve"> The label check is AI-versus-AI. No human has curated the sample.</w:t>
      </w:r>
    </w:p>
    <w:p>
      <w:pPr>
        <w:spacing w:after="140" w:line="300"/>
        <w:jc w:val="both"/>
      </w:pPr>
      <w:r>
        <w:rPr>
          <w:rFonts w:ascii="Times New Roman" w:cs="Times New Roman" w:eastAsia="Times New Roman" w:hAnsi="Times New Roman"/>
          <w:b/>
          <w:bCs/>
          <w:sz w:val="22"/>
          <w:szCs w:val="22"/>
        </w:rPr>
        <w:t xml:space="preserve">Plain-language summaries.</w:t>
      </w:r>
      <w:r>
        <w:rPr>
          <w:rFonts w:ascii="Times New Roman" w:cs="Times New Roman" w:eastAsia="Times New Roman" w:hAnsi="Times New Roman"/>
          <w:sz w:val="22"/>
          <w:szCs w:val="22"/>
        </w:rPr>
        <w:t xml:space="preserve"> The validator catches invented numbers and listed terms, not errors of meaning: 7 of 16 outputs it accepted were wrong on review, and that review was itself done by an AI assistant.</w:t>
      </w:r>
    </w:p>
    <w:p>
      <w:pPr>
        <w:spacing w:after="140" w:line="300"/>
        <w:jc w:val="both"/>
      </w:pPr>
      <w:r>
        <w:rPr>
          <w:rFonts w:ascii="Times New Roman" w:cs="Times New Roman" w:eastAsia="Times New Roman" w:hAnsi="Times New Roman"/>
          <w:b/>
          <w:bCs/>
          <w:sz w:val="22"/>
          <w:szCs w:val="22"/>
        </w:rPr>
        <w:t xml:space="preserve">Scope.</w:t>
      </w:r>
      <w:r>
        <w:rPr>
          <w:rFonts w:ascii="Times New Roman" w:cs="Times New Roman" w:eastAsia="Times New Roman" w:hAnsi="Times New Roman"/>
          <w:sz w:val="22"/>
          <w:szCs w:val="22"/>
        </w:rPr>
        <w:t xml:space="preserve"> Blood, array-based methylation, twelve disorders. The pooled controls are the disease studies' own controls; the population collections were harvested for metadata only.</w:t>
      </w:r>
    </w:p>
    <w:p>
      <w:pPr>
        <w:pStyle w:val="Heading1"/>
        <w:keepNext/>
        <w:spacing w:after="120" w:before="320"/>
      </w:pPr>
      <w:r>
        <w:rPr>
          <w:rFonts w:ascii="Times New Roman" w:cs="Times New Roman" w:eastAsia="Times New Roman" w:hAnsi="Times New Roman"/>
          <w:b/>
          <w:bCs/>
          <w:color w:val="000000"/>
          <w:sz w:val="28"/>
          <w:szCs w:val="28"/>
        </w:rPr>
        <w:t xml:space="preserve">7. Conclusion</w:t>
      </w:r>
    </w:p>
    <w:p>
      <w:pPr>
        <w:spacing w:after="140" w:line="300"/>
        <w:jc w:val="both"/>
      </w:pPr>
      <w:r>
        <w:rPr>
          <w:rFonts w:ascii="Times New Roman" w:cs="Times New Roman" w:eastAsia="Times New Roman" w:hAnsi="Times New Roman"/>
          <w:sz w:val="22"/>
          <w:szCs w:val="22"/>
        </w:rPr>
        <w:t xml:space="preserve">Three things can now be checked that could not be checked before. Anyone can regenerate a published episignature classifier and confirm that it reproduces. Anyone can see, for twelve disorders, which results rest on one study and which on two. And anyone can test a signature of their own against the same corpus and learn whether it does better than random probes.</w:t>
      </w:r>
    </w:p>
    <w:p>
      <w:pPr>
        <w:spacing w:after="140" w:line="300"/>
        <w:jc w:val="both"/>
      </w:pPr>
      <w:r>
        <w:rPr>
          <w:rFonts w:ascii="Times New Roman" w:cs="Times New Roman" w:eastAsia="Times New Roman" w:hAnsi="Times New Roman"/>
          <w:sz w:val="22"/>
          <w:szCs w:val="22"/>
        </w:rPr>
        <w:t xml:space="preserve">The picture that emerges is that public data support far less than within-study figures suggest. One cross-study test in six could be run, and two of three eligible disorders were never tested across studies. The two disorders with a between-study evidence bound earn no evidence. A classifier trained against another series' controls can look excellent and be a series detector.</w:t>
      </w:r>
    </w:p>
    <w:p>
      <w:pPr>
        <w:spacing w:after="140" w:line="300"/>
        <w:jc w:val="both"/>
      </w:pPr>
      <w:r>
        <w:rPr>
          <w:rFonts w:ascii="Times New Roman" w:cs="Times New Roman" w:eastAsia="Times New Roman" w:hAnsi="Times New Roman"/>
          <w:sz w:val="22"/>
          <w:szCs w:val="22"/>
        </w:rPr>
        <w:t xml:space="preserve">Doing better does not need a new method. It needs data: the same disorder deposited by more than one site, with each site's own controls, at ten or more cases per site. With that, leave-one-study-out becomes routine, between-study bounds become possible, and the strength of episignature evidence can be stated as a number that others can verify.</w:t>
      </w:r>
    </w:p>
    <w:p>
      <w:pPr>
        <w:pStyle w:val="Heading1"/>
        <w:keepNext/>
        <w:spacing w:after="120" w:before="320"/>
      </w:pPr>
      <w:r>
        <w:rPr>
          <w:rFonts w:ascii="Times New Roman" w:cs="Times New Roman" w:eastAsia="Times New Roman" w:hAnsi="Times New Roman"/>
          <w:b/>
          <w:bCs/>
          <w:color w:val="000000"/>
          <w:sz w:val="28"/>
          <w:szCs w:val="28"/>
        </w:rPr>
        <w:t xml:space="preserve">Data and code availability</w:t>
      </w:r>
    </w:p>
    <w:p>
      <w:pPr>
        <w:spacing w:after="140" w:line="300"/>
        <w:jc w:val="both"/>
      </w:pPr>
      <w:r>
        <w:rPr>
          <w:rFonts w:ascii="Times New Roman" w:cs="Times New Roman" w:eastAsia="Times New Roman" w:hAnsi="Times New Roman"/>
          <w:sz w:val="22"/>
          <w:szCs w:val="22"/>
        </w:rPr>
        <w:t xml:space="preserve">Code, result tables, figures and signatures: </w:t>
      </w:r>
      <w:r>
        <w:rPr>
          <w:rFonts w:ascii="Consolas" w:cs="Consolas" w:eastAsia="Consolas" w:hAnsi="Consolas"/>
          <w:sz w:val="20"/>
          <w:szCs w:val="20"/>
        </w:rPr>
        <w:t xml:space="preserve">github.com/cleverlyblue0009/EpiGrade</w:t>
      </w:r>
      <w:r>
        <w:rPr>
          <w:rFonts w:ascii="Times New Roman" w:cs="Times New Roman" w:eastAsia="Times New Roman" w:hAnsi="Times New Roman"/>
          <w:sz w:val="22"/>
          <w:szCs w:val="22"/>
        </w:rPr>
        <w:t xml:space="preserve">. All data are public GEO accessions listed in </w:t>
      </w:r>
      <w:r>
        <w:rPr>
          <w:rFonts w:ascii="Consolas" w:cs="Consolas" w:eastAsia="Consolas" w:hAnsi="Consolas"/>
          <w:sz w:val="20"/>
          <w:szCs w:val="20"/>
        </w:rPr>
        <w:t xml:space="preserve">docs/DATA_PROVENANCE.md</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python scripts/reproduce.py</w:t>
      </w:r>
      <w:r>
        <w:rPr>
          <w:rFonts w:ascii="Times New Roman" w:cs="Times New Roman" w:eastAsia="Times New Roman" w:hAnsi="Times New Roman"/>
          <w:sz w:val="22"/>
          <w:szCs w:val="22"/>
        </w:rPr>
        <w:t xml:space="preserve"> regenerates every table and figure. Supplementary Table S1 (</w:t>
      </w:r>
      <w:r>
        <w:rPr>
          <w:rFonts w:ascii="Consolas" w:cs="Consolas" w:eastAsia="Consolas" w:hAnsi="Consolas"/>
          <w:sz w:val="20"/>
          <w:szCs w:val="20"/>
        </w:rPr>
        <w:t xml:space="preserve">paper/supplementary_table_S1.tsv</w:t>
      </w:r>
      <w:r>
        <w:rPr>
          <w:rFonts w:ascii="Times New Roman" w:cs="Times New Roman" w:eastAsia="Times New Roman" w:hAnsi="Times New Roman"/>
          <w:sz w:val="22"/>
          <w:szCs w:val="22"/>
        </w:rPr>
        <w:t xml:space="preserve">) maps each reported number to its source file.</w:t>
      </w:r>
    </w:p>
    <w:p>
      <w:pPr>
        <w:spacing w:after="140" w:line="300"/>
        <w:jc w:val="both"/>
      </w:pPr>
      <w:r>
        <w:rPr>
          <w:rFonts w:ascii="Times New Roman" w:cs="Times New Roman" w:eastAsia="Times New Roman" w:hAnsi="Times New Roman"/>
          <w:sz w:val="22"/>
          <w:szCs w:val="22"/>
        </w:rPr>
        <w:t xml:space="preserve">EpiGrade is a research tool for laboratories and researchers. It is not a diagnostic device and accepts no patient data.</w:t>
      </w:r>
    </w:p>
    <w:p>
      <w:pPr>
        <w:pStyle w:val="Heading1"/>
        <w:keepNext/>
        <w:spacing w:after="120" w:before="320"/>
      </w:pPr>
      <w:r>
        <w:rPr>
          <w:rFonts w:ascii="Times New Roman" w:cs="Times New Roman" w:eastAsia="Times New Roman" w:hAnsi="Times New Roman"/>
          <w:b/>
          <w:bCs/>
          <w:color w:val="000000"/>
          <w:sz w:val="28"/>
          <w:szCs w:val="28"/>
        </w:rPr>
        <w:t xml:space="preserve">References</w:t>
      </w:r>
    </w:p>
    <w:p>
      <w:pPr>
        <w:spacing w:after="90"/>
        <w:ind w:left="500" w:hanging="500"/>
        <w:jc w:val="left"/>
      </w:pPr>
      <w:r>
        <w:rPr>
          <w:rFonts w:ascii="Times New Roman" w:cs="Times New Roman" w:eastAsia="Times New Roman" w:hAnsi="Times New Roman"/>
          <w:sz w:val="20"/>
          <w:szCs w:val="20"/>
        </w:rPr>
        <w:t xml:space="preserve">[1] S. Richards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"Standards and guidelines for the interpretation of sequence variants: a joint consensus recommendation of the American College of Medical Genetics and Genomics and the Association for Molecular Pathology," </w:t>
      </w:r>
      <w:r>
        <w:rPr>
          <w:rFonts w:ascii="Times New Roman" w:cs="Times New Roman" w:eastAsia="Times New Roman" w:hAnsi="Times New Roman"/>
          <w:i/>
          <w:iCs/>
          <w:sz w:val="20"/>
          <w:szCs w:val="20"/>
        </w:rPr>
        <w:t xml:space="preserve">Genet. Med.</w:t>
      </w:r>
      <w:r>
        <w:rPr>
          <w:rFonts w:ascii="Times New Roman" w:cs="Times New Roman" w:eastAsia="Times New Roman" w:hAnsi="Times New Roman"/>
          <w:sz w:val="20"/>
          <w:szCs w:val="20"/>
        </w:rPr>
        <w:t xml:space="preserve">, vol. 17, no. 5, pp. 405-424, 2015, doi: 10.1038/gim.2015.30.</w:t>
      </w:r>
    </w:p>
    <w:p>
      <w:pPr>
        <w:spacing w:after="90"/>
        <w:ind w:left="500" w:hanging="500"/>
        <w:jc w:val="left"/>
      </w:pPr>
      <w:r>
        <w:rPr>
          <w:rFonts w:ascii="Times New Roman" w:cs="Times New Roman" w:eastAsia="Times New Roman" w:hAnsi="Times New Roman"/>
          <w:sz w:val="20"/>
          <w:szCs w:val="20"/>
        </w:rPr>
        <w:t xml:space="preserve">[2] B. Sadikovic, M. A. Levy, and E. Aref-Eshghi, "Functional annotation of genomic variation: DNA methylation episignatures in neurodevelopmental Mendelian disorders," </w:t>
      </w:r>
      <w:r>
        <w:rPr>
          <w:rFonts w:ascii="Times New Roman" w:cs="Times New Roman" w:eastAsia="Times New Roman" w:hAnsi="Times New Roman"/>
          <w:i/>
          <w:iCs/>
          <w:sz w:val="20"/>
          <w:szCs w:val="20"/>
        </w:rPr>
        <w:t xml:space="preserve">Hum. Mol. Genet.</w:t>
      </w:r>
      <w:r>
        <w:rPr>
          <w:rFonts w:ascii="Times New Roman" w:cs="Times New Roman" w:eastAsia="Times New Roman" w:hAnsi="Times New Roman"/>
          <w:sz w:val="20"/>
          <w:szCs w:val="20"/>
        </w:rPr>
        <w:t xml:space="preserve">, vol. 29, no. R1, pp. R27-R32, 2020, doi: 10.1093/hmg/ddaa144.</w:t>
      </w:r>
    </w:p>
    <w:p>
      <w:pPr>
        <w:spacing w:after="90"/>
        <w:ind w:left="500" w:hanging="500"/>
        <w:jc w:val="left"/>
      </w:pPr>
      <w:r>
        <w:rPr>
          <w:rFonts w:ascii="Times New Roman" w:cs="Times New Roman" w:eastAsia="Times New Roman" w:hAnsi="Times New Roman"/>
          <w:sz w:val="20"/>
          <w:szCs w:val="20"/>
        </w:rPr>
        <w:t xml:space="preserve">[3] E. Aref-Eshghi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"Evaluation of DNA methylation episignatures for diagnosis and phenotype correlations in 42 Mendelian neurodevelopmental disorders," </w:t>
      </w:r>
      <w:r>
        <w:rPr>
          <w:rFonts w:ascii="Times New Roman" w:cs="Times New Roman" w:eastAsia="Times New Roman" w:hAnsi="Times New Roman"/>
          <w:i/>
          <w:iCs/>
          <w:sz w:val="20"/>
          <w:szCs w:val="20"/>
        </w:rPr>
        <w:t xml:space="preserve">Am. J. Hum. Genet.</w:t>
      </w:r>
      <w:r>
        <w:rPr>
          <w:rFonts w:ascii="Times New Roman" w:cs="Times New Roman" w:eastAsia="Times New Roman" w:hAnsi="Times New Roman"/>
          <w:sz w:val="20"/>
          <w:szCs w:val="20"/>
        </w:rPr>
        <w:t xml:space="preserve">, vol. 106, no. 3, pp. 356-370, 2020, doi: 10.1016/j.ajhg.2020.01.019.</w:t>
      </w:r>
    </w:p>
    <w:p>
      <w:pPr>
        <w:spacing w:after="90"/>
        <w:ind w:left="500" w:hanging="500"/>
        <w:jc w:val="left"/>
      </w:pPr>
      <w:r>
        <w:rPr>
          <w:rFonts w:ascii="Times New Roman" w:cs="Times New Roman" w:eastAsia="Times New Roman" w:hAnsi="Times New Roman"/>
          <w:sz w:val="20"/>
          <w:szCs w:val="20"/>
        </w:rPr>
        <w:t xml:space="preserve">[4] J. Kerkhof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"Diagnostic utility and reporting recommendations for clinical DNA methylation episignature testing in genetically undiagnosed rare diseases," </w:t>
      </w:r>
      <w:r>
        <w:rPr>
          <w:rFonts w:ascii="Times New Roman" w:cs="Times New Roman" w:eastAsia="Times New Roman" w:hAnsi="Times New Roman"/>
          <w:i/>
          <w:iCs/>
          <w:sz w:val="20"/>
          <w:szCs w:val="20"/>
        </w:rPr>
        <w:t xml:space="preserve">Genet. Med.</w:t>
      </w:r>
      <w:r>
        <w:rPr>
          <w:rFonts w:ascii="Times New Roman" w:cs="Times New Roman" w:eastAsia="Times New Roman" w:hAnsi="Times New Roman"/>
          <w:sz w:val="20"/>
          <w:szCs w:val="20"/>
        </w:rPr>
        <w:t xml:space="preserve">, vol. 26, no. 5, Art. no. 101075, 2024, doi: 10.1016/j.gim.2024.101075.</w:t>
      </w:r>
    </w:p>
    <w:p>
      <w:pPr>
        <w:spacing w:after="90"/>
        <w:ind w:left="500" w:hanging="500"/>
        <w:jc w:val="left"/>
      </w:pPr>
      <w:r>
        <w:rPr>
          <w:rFonts w:ascii="Times New Roman" w:cs="Times New Roman" w:eastAsia="Times New Roman" w:hAnsi="Times New Roman"/>
          <w:sz w:val="20"/>
          <w:szCs w:val="20"/>
        </w:rPr>
        <w:t xml:space="preserve">[5] S. Choufani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"NSD1 mutations generate a genome-wide DNA methylation signature," </w:t>
      </w:r>
      <w:r>
        <w:rPr>
          <w:rFonts w:ascii="Times New Roman" w:cs="Times New Roman" w:eastAsia="Times New Roman" w:hAnsi="Times New Roman"/>
          <w:i/>
          <w:iCs/>
          <w:sz w:val="20"/>
          <w:szCs w:val="20"/>
        </w:rPr>
        <w:t xml:space="preserve">Nat. Commun.</w:t>
      </w:r>
      <w:r>
        <w:rPr>
          <w:rFonts w:ascii="Times New Roman" w:cs="Times New Roman" w:eastAsia="Times New Roman" w:hAnsi="Times New Roman"/>
          <w:sz w:val="20"/>
          <w:szCs w:val="20"/>
        </w:rPr>
        <w:t xml:space="preserve">, vol. 6, Art. no. 10207, 2015, doi: 10.1038/ncomms10207.</w:t>
      </w:r>
    </w:p>
    <w:p>
      <w:pPr>
        <w:spacing w:after="90"/>
        <w:ind w:left="500" w:hanging="500"/>
        <w:jc w:val="left"/>
      </w:pPr>
      <w:r>
        <w:rPr>
          <w:rFonts w:ascii="Times New Roman" w:cs="Times New Roman" w:eastAsia="Times New Roman" w:hAnsi="Times New Roman"/>
          <w:sz w:val="20"/>
          <w:szCs w:val="20"/>
        </w:rPr>
        <w:t xml:space="preserve">[6] D. T. Butcher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"CHARGE and Kabuki syndromes: gene-specific DNA methylation signatures identify epigenetic mechanisms linking these clinically overlapping conditions," </w:t>
      </w:r>
      <w:r>
        <w:rPr>
          <w:rFonts w:ascii="Times New Roman" w:cs="Times New Roman" w:eastAsia="Times New Roman" w:hAnsi="Times New Roman"/>
          <w:i/>
          <w:iCs/>
          <w:sz w:val="20"/>
          <w:szCs w:val="20"/>
        </w:rPr>
        <w:t xml:space="preserve">Am. J. Hum. Genet.</w:t>
      </w:r>
      <w:r>
        <w:rPr>
          <w:rFonts w:ascii="Times New Roman" w:cs="Times New Roman" w:eastAsia="Times New Roman" w:hAnsi="Times New Roman"/>
          <w:sz w:val="20"/>
          <w:szCs w:val="20"/>
        </w:rPr>
        <w:t xml:space="preserve">, vol. 100, no. 5, pp. 773-788, 2017, doi: 10.1016/j.ajhg.2017.04.004.</w:t>
      </w:r>
    </w:p>
    <w:p>
      <w:pPr>
        <w:spacing w:after="90"/>
        <w:ind w:left="500" w:hanging="500"/>
        <w:jc w:val="left"/>
      </w:pPr>
      <w:r>
        <w:rPr>
          <w:rFonts w:ascii="Times New Roman" w:cs="Times New Roman" w:eastAsia="Times New Roman" w:hAnsi="Times New Roman"/>
          <w:sz w:val="20"/>
          <w:szCs w:val="20"/>
        </w:rPr>
        <w:t xml:space="preserve">[7] T. Husson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"Episignatures in practice: independent evaluation of published episignatures for the molecular diagnostics of ten neurodevelopmental disorders," </w:t>
      </w:r>
      <w:r>
        <w:rPr>
          <w:rFonts w:ascii="Times New Roman" w:cs="Times New Roman" w:eastAsia="Times New Roman" w:hAnsi="Times New Roman"/>
          <w:i/>
          <w:iCs/>
          <w:sz w:val="20"/>
          <w:szCs w:val="20"/>
        </w:rPr>
        <w:t xml:space="preserve">Eur. J. Hum. Genet.</w:t>
      </w:r>
      <w:r>
        <w:rPr>
          <w:rFonts w:ascii="Times New Roman" w:cs="Times New Roman" w:eastAsia="Times New Roman" w:hAnsi="Times New Roman"/>
          <w:sz w:val="20"/>
          <w:szCs w:val="20"/>
        </w:rPr>
        <w:t xml:space="preserve">, vol. 32, no. 2, pp. 190-199, 2024, doi: 10.1038/s41431-023-01474-x.</w:t>
      </w:r>
    </w:p>
    <w:p>
      <w:pPr>
        <w:spacing w:after="90"/>
        <w:ind w:left="500" w:hanging="500"/>
        <w:jc w:val="left"/>
      </w:pPr>
      <w:r>
        <w:rPr>
          <w:rFonts w:ascii="Times New Roman" w:cs="Times New Roman" w:eastAsia="Times New Roman" w:hAnsi="Times New Roman"/>
          <w:sz w:val="20"/>
          <w:szCs w:val="20"/>
        </w:rPr>
        <w:t xml:space="preserve">[8] V. Pejaver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"Calibration of computational tools for missense variant pathogenicity classification and ClinGen recommendations for PP3/BP4 criteria," </w:t>
      </w:r>
      <w:r>
        <w:rPr>
          <w:rFonts w:ascii="Times New Roman" w:cs="Times New Roman" w:eastAsia="Times New Roman" w:hAnsi="Times New Roman"/>
          <w:i/>
          <w:iCs/>
          <w:sz w:val="20"/>
          <w:szCs w:val="20"/>
        </w:rPr>
        <w:t xml:space="preserve">Am. J. Hum. Genet.</w:t>
      </w:r>
      <w:r>
        <w:rPr>
          <w:rFonts w:ascii="Times New Roman" w:cs="Times New Roman" w:eastAsia="Times New Roman" w:hAnsi="Times New Roman"/>
          <w:sz w:val="20"/>
          <w:szCs w:val="20"/>
        </w:rPr>
        <w:t xml:space="preserve">, vol. 109, no. 12, pp. 2163-2177, 2022, doi: 10.1016/j.ajhg.2022.10.013.</w:t>
      </w:r>
    </w:p>
    <w:p>
      <w:pPr>
        <w:spacing w:after="90"/>
        <w:ind w:left="500" w:hanging="500"/>
        <w:jc w:val="left"/>
      </w:pPr>
      <w:r>
        <w:rPr>
          <w:rFonts w:ascii="Times New Roman" w:cs="Times New Roman" w:eastAsia="Times New Roman" w:hAnsi="Times New Roman"/>
          <w:sz w:val="20"/>
          <w:szCs w:val="20"/>
        </w:rPr>
        <w:t xml:space="preserve">[9] S. E. Brnich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"Recommendations for application of the functional evidence PS3/BS3 criterion using the ACMG/AMP sequence variant interpretation framework," </w:t>
      </w:r>
      <w:r>
        <w:rPr>
          <w:rFonts w:ascii="Times New Roman" w:cs="Times New Roman" w:eastAsia="Times New Roman" w:hAnsi="Times New Roman"/>
          <w:i/>
          <w:iCs/>
          <w:sz w:val="20"/>
          <w:szCs w:val="20"/>
        </w:rPr>
        <w:t xml:space="preserve">Genome Med.</w:t>
      </w:r>
      <w:r>
        <w:rPr>
          <w:rFonts w:ascii="Times New Roman" w:cs="Times New Roman" w:eastAsia="Times New Roman" w:hAnsi="Times New Roman"/>
          <w:sz w:val="20"/>
          <w:szCs w:val="20"/>
        </w:rPr>
        <w:t xml:space="preserve">, vol. 12, no. 1, Art. no. 3, 2019, doi: 10.1186/s13073-019-0690-2.</w:t>
      </w:r>
    </w:p>
    <w:p>
      <w:pPr>
        <w:spacing w:after="90"/>
        <w:ind w:left="500" w:hanging="500"/>
        <w:jc w:val="left"/>
      </w:pPr>
      <w:r>
        <w:rPr>
          <w:rFonts w:ascii="Times New Roman" w:cs="Times New Roman" w:eastAsia="Times New Roman" w:hAnsi="Times New Roman"/>
          <w:sz w:val="20"/>
          <w:szCs w:val="20"/>
        </w:rPr>
        <w:t xml:space="preserve">[10] S. V. Tavtigian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"Modeling the ACMG/AMP variant classification guidelines as a Bayesian classification framework," </w:t>
      </w:r>
      <w:r>
        <w:rPr>
          <w:rFonts w:ascii="Times New Roman" w:cs="Times New Roman" w:eastAsia="Times New Roman" w:hAnsi="Times New Roman"/>
          <w:i/>
          <w:iCs/>
          <w:sz w:val="20"/>
          <w:szCs w:val="20"/>
        </w:rPr>
        <w:t xml:space="preserve">Genet. Med.</w:t>
      </w:r>
      <w:r>
        <w:rPr>
          <w:rFonts w:ascii="Times New Roman" w:cs="Times New Roman" w:eastAsia="Times New Roman" w:hAnsi="Times New Roman"/>
          <w:sz w:val="20"/>
          <w:szCs w:val="20"/>
        </w:rPr>
        <w:t xml:space="preserve">, vol. 20, no. 9, pp. 1054-1060, 2018, doi: 10.1038/gim.2017.210.</w:t>
      </w:r>
    </w:p>
    <w:p>
      <w:pPr>
        <w:spacing w:after="90"/>
        <w:ind w:left="500" w:hanging="500"/>
        <w:jc w:val="left"/>
      </w:pPr>
      <w:r>
        <w:rPr>
          <w:rFonts w:ascii="Times New Roman" w:cs="Times New Roman" w:eastAsia="Times New Roman" w:hAnsi="Times New Roman"/>
          <w:sz w:val="20"/>
          <w:szCs w:val="20"/>
        </w:rPr>
        <w:t xml:space="preserve">[11] M. Badonyi and J. A. Marsh, "acmgscaler: an R package and Colab for standardized gene-level variant effect score calibration within the ACMG/AMP framework," </w:t>
      </w:r>
      <w:r>
        <w:rPr>
          <w:rFonts w:ascii="Times New Roman" w:cs="Times New Roman" w:eastAsia="Times New Roman" w:hAnsi="Times New Roman"/>
          <w:i/>
          <w:iCs/>
          <w:sz w:val="20"/>
          <w:szCs w:val="20"/>
        </w:rPr>
        <w:t xml:space="preserve">Bioinformatics</w:t>
      </w:r>
      <w:r>
        <w:rPr>
          <w:rFonts w:ascii="Times New Roman" w:cs="Times New Roman" w:eastAsia="Times New Roman" w:hAnsi="Times New Roman"/>
          <w:sz w:val="20"/>
          <w:szCs w:val="20"/>
        </w:rPr>
        <w:t xml:space="preserve">, vol. 41, no. 10, Art. no. btaf503, 2025, doi: 10.1093/bioinformatics/btaf503.</w:t>
      </w:r>
    </w:p>
    <w:p>
      <w:pPr>
        <w:spacing w:after="90"/>
        <w:ind w:left="500" w:hanging="500"/>
        <w:jc w:val="left"/>
      </w:pPr>
      <w:r>
        <w:rPr>
          <w:rFonts w:ascii="Times New Roman" w:cs="Times New Roman" w:eastAsia="Times New Roman" w:hAnsi="Times New Roman"/>
          <w:sz w:val="20"/>
          <w:szCs w:val="20"/>
        </w:rPr>
        <w:t xml:space="preserve">[12] E. Aref-Eshghi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"Diagnostic utility of genome-wide DNA methylation testing in genetically unsolved individuals with suspected hereditary conditions," </w:t>
      </w:r>
      <w:r>
        <w:rPr>
          <w:rFonts w:ascii="Times New Roman" w:cs="Times New Roman" w:eastAsia="Times New Roman" w:hAnsi="Times New Roman"/>
          <w:i/>
          <w:iCs/>
          <w:sz w:val="20"/>
          <w:szCs w:val="20"/>
        </w:rPr>
        <w:t xml:space="preserve">Am. J. Hum. Genet.</w:t>
      </w:r>
      <w:r>
        <w:rPr>
          <w:rFonts w:ascii="Times New Roman" w:cs="Times New Roman" w:eastAsia="Times New Roman" w:hAnsi="Times New Roman"/>
          <w:sz w:val="20"/>
          <w:szCs w:val="20"/>
        </w:rPr>
        <w:t xml:space="preserve">, vol. 104, no. 4, pp. 685-700, 2019, doi: 10.1016/j.ajhg.2019.03.008.</w:t>
      </w:r>
    </w:p>
    <w:p>
      <w:pPr>
        <w:spacing w:after="90"/>
        <w:ind w:left="500" w:hanging="500"/>
        <w:jc w:val="left"/>
      </w:pPr>
      <w:r>
        <w:rPr>
          <w:rFonts w:ascii="Times New Roman" w:cs="Times New Roman" w:eastAsia="Times New Roman" w:hAnsi="Times New Roman"/>
          <w:sz w:val="20"/>
          <w:szCs w:val="20"/>
        </w:rPr>
        <w:t xml:space="preserve">[13] A. L. Turinsky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"EpigenCentral: portal for DNA methylation data analysis and classification in rare diseases," </w:t>
      </w:r>
      <w:r>
        <w:rPr>
          <w:rFonts w:ascii="Times New Roman" w:cs="Times New Roman" w:eastAsia="Times New Roman" w:hAnsi="Times New Roman"/>
          <w:i/>
          <w:iCs/>
          <w:sz w:val="20"/>
          <w:szCs w:val="20"/>
        </w:rPr>
        <w:t xml:space="preserve">Hum. Mutat.</w:t>
      </w:r>
      <w:r>
        <w:rPr>
          <w:rFonts w:ascii="Times New Roman" w:cs="Times New Roman" w:eastAsia="Times New Roman" w:hAnsi="Times New Roman"/>
          <w:sz w:val="20"/>
          <w:szCs w:val="20"/>
        </w:rPr>
        <w:t xml:space="preserve">, vol. 41, no. 10, pp. 1722-1733, 2020, doi: 10.1002/humu.24076.</w:t>
      </w:r>
    </w:p>
    <w:p>
      <w:pPr>
        <w:spacing w:after="90"/>
        <w:ind w:left="500" w:hanging="500"/>
        <w:jc w:val="left"/>
      </w:pPr>
      <w:r>
        <w:rPr>
          <w:rFonts w:ascii="Times New Roman" w:cs="Times New Roman" w:eastAsia="Times New Roman" w:hAnsi="Times New Roman"/>
          <w:sz w:val="20"/>
          <w:szCs w:val="20"/>
        </w:rPr>
        <w:t xml:space="preserve">[14] M. Geysens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"Clinical evaluation of long-read sequencing-based episignature detection in developmental disorders," </w:t>
      </w:r>
      <w:r>
        <w:rPr>
          <w:rFonts w:ascii="Times New Roman" w:cs="Times New Roman" w:eastAsia="Times New Roman" w:hAnsi="Times New Roman"/>
          <w:i/>
          <w:iCs/>
          <w:sz w:val="20"/>
          <w:szCs w:val="20"/>
        </w:rPr>
        <w:t xml:space="preserve">Genome Med.</w:t>
      </w:r>
      <w:r>
        <w:rPr>
          <w:rFonts w:ascii="Times New Roman" w:cs="Times New Roman" w:eastAsia="Times New Roman" w:hAnsi="Times New Roman"/>
          <w:sz w:val="20"/>
          <w:szCs w:val="20"/>
        </w:rPr>
        <w:t xml:space="preserve">, vol. 17, no. 1, Art. no. 1, 2025, doi: 10.1186/s13073-024-01419-z.</w:t>
      </w:r>
    </w:p>
    <w:p>
      <w:pPr>
        <w:spacing w:after="90"/>
        <w:ind w:left="500" w:hanging="500"/>
        <w:jc w:val="left"/>
      </w:pPr>
      <w:r>
        <w:rPr>
          <w:rFonts w:ascii="Times New Roman" w:cs="Times New Roman" w:eastAsia="Times New Roman" w:hAnsi="Times New Roman"/>
          <w:sz w:val="20"/>
          <w:szCs w:val="20"/>
        </w:rPr>
        <w:t xml:space="preserve">[15] F. Ferraro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"Training with synthetic data provides accurate and openly-available DNA methylation classifiers for developmental disorders and congenital anomalies via MethaDory," </w:t>
      </w:r>
      <w:r>
        <w:rPr>
          <w:rFonts w:ascii="Times New Roman" w:cs="Times New Roman" w:eastAsia="Times New Roman" w:hAnsi="Times New Roman"/>
          <w:i/>
          <w:iCs/>
          <w:sz w:val="20"/>
          <w:szCs w:val="20"/>
        </w:rPr>
        <w:t xml:space="preserve">medRxiv</w:t>
      </w:r>
      <w:r>
        <w:rPr>
          <w:rFonts w:ascii="Times New Roman" w:cs="Times New Roman" w:eastAsia="Times New Roman" w:hAnsi="Times New Roman"/>
          <w:sz w:val="20"/>
          <w:szCs w:val="20"/>
        </w:rPr>
        <w:t xml:space="preserve"> (preprint), 2025, doi: 10.1101/2025.03.28.25324859.</w:t>
      </w:r>
    </w:p>
    <w:p>
      <w:pPr>
        <w:spacing w:after="90"/>
        <w:ind w:left="500" w:hanging="500"/>
        <w:jc w:val="left"/>
      </w:pPr>
      <w:r>
        <w:rPr>
          <w:rFonts w:ascii="Times New Roman" w:cs="Times New Roman" w:eastAsia="Times New Roman" w:hAnsi="Times New Roman"/>
          <w:sz w:val="20"/>
          <w:szCs w:val="20"/>
        </w:rPr>
        <w:t xml:space="preserve">[16] S. Rogic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"Application of large language models to the annotation of cell lines and mouse strains in genomics data," </w:t>
      </w:r>
      <w:r>
        <w:rPr>
          <w:rFonts w:ascii="Times New Roman" w:cs="Times New Roman" w:eastAsia="Times New Roman" w:hAnsi="Times New Roman"/>
          <w:i/>
          <w:iCs/>
          <w:sz w:val="20"/>
          <w:szCs w:val="20"/>
        </w:rPr>
        <w:t xml:space="preserve">Database</w:t>
      </w:r>
      <w:r>
        <w:rPr>
          <w:rFonts w:ascii="Times New Roman" w:cs="Times New Roman" w:eastAsia="Times New Roman" w:hAnsi="Times New Roman"/>
          <w:sz w:val="20"/>
          <w:szCs w:val="20"/>
        </w:rPr>
        <w:t xml:space="preserve">, vol. 2026, Art. no. baag041, 2026, doi: 10.1093/database/baag041.</w:t>
      </w:r>
    </w:p>
    <w:p>
      <w:pPr>
        <w:spacing w:after="90"/>
        <w:ind w:left="500" w:hanging="500"/>
        <w:jc w:val="left"/>
      </w:pPr>
      <w:r>
        <w:rPr>
          <w:rFonts w:ascii="Times New Roman" w:cs="Times New Roman" w:eastAsia="Times New Roman" w:hAnsi="Times New Roman"/>
          <w:sz w:val="20"/>
          <w:szCs w:val="20"/>
        </w:rPr>
        <w:t xml:space="preserve">[17] Y. Chen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"Discovery of cross-reactive probes and polymorphic CpGs in the Illumina Infinium HumanMethylation450 microarray," </w:t>
      </w:r>
      <w:r>
        <w:rPr>
          <w:rFonts w:ascii="Times New Roman" w:cs="Times New Roman" w:eastAsia="Times New Roman" w:hAnsi="Times New Roman"/>
          <w:i/>
          <w:iCs/>
          <w:sz w:val="20"/>
          <w:szCs w:val="20"/>
        </w:rPr>
        <w:t xml:space="preserve">Epigenetics</w:t>
      </w:r>
      <w:r>
        <w:rPr>
          <w:rFonts w:ascii="Times New Roman" w:cs="Times New Roman" w:eastAsia="Times New Roman" w:hAnsi="Times New Roman"/>
          <w:sz w:val="20"/>
          <w:szCs w:val="20"/>
        </w:rPr>
        <w:t xml:space="preserve">, vol. 8, no. 2, pp. 203-209, 2013, doi: 10.4161/epi.23470.</w:t>
      </w:r>
    </w:p>
    <w:p>
      <w:pPr>
        <w:spacing w:after="90"/>
        <w:ind w:left="500" w:hanging="500"/>
        <w:jc w:val="left"/>
      </w:pPr>
      <w:r>
        <w:rPr>
          <w:rFonts w:ascii="Times New Roman" w:cs="Times New Roman" w:eastAsia="Times New Roman" w:hAnsi="Times New Roman"/>
          <w:sz w:val="20"/>
          <w:szCs w:val="20"/>
        </w:rPr>
        <w:t xml:space="preserve">[18] Y. Benjamini and Y. Hochberg, "Controlling the false discovery rate: a practical and powerful approach to multiple testing," </w:t>
      </w:r>
      <w:r>
        <w:rPr>
          <w:rFonts w:ascii="Times New Roman" w:cs="Times New Roman" w:eastAsia="Times New Roman" w:hAnsi="Times New Roman"/>
          <w:i/>
          <w:iCs/>
          <w:sz w:val="20"/>
          <w:szCs w:val="20"/>
        </w:rPr>
        <w:t xml:space="preserve">J. R. Stat. Soc. B</w:t>
      </w:r>
      <w:r>
        <w:rPr>
          <w:rFonts w:ascii="Times New Roman" w:cs="Times New Roman" w:eastAsia="Times New Roman" w:hAnsi="Times New Roman"/>
          <w:sz w:val="20"/>
          <w:szCs w:val="20"/>
        </w:rPr>
        <w:t xml:space="preserve">, vol. 57, no. 1, pp. 289-300, 1995, doi: 10.1111/j.2517-6161.1995.tb02031.x.</w:t>
      </w:r>
    </w:p>
    <w:p>
      <w:pPr>
        <w:spacing w:after="90"/>
        <w:ind w:left="500" w:hanging="500"/>
        <w:jc w:val="left"/>
      </w:pPr>
      <w:r>
        <w:rPr>
          <w:rFonts w:ascii="Times New Roman" w:cs="Times New Roman" w:eastAsia="Times New Roman" w:hAnsi="Times New Roman"/>
          <w:sz w:val="20"/>
          <w:szCs w:val="20"/>
        </w:rPr>
        <w:t xml:space="preserve">[19] M. G. Bacalini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"Identification of a DNA methylation signature in blood cells from persons with Down syndrome," </w:t>
      </w:r>
      <w:r>
        <w:rPr>
          <w:rFonts w:ascii="Times New Roman" w:cs="Times New Roman" w:eastAsia="Times New Roman" w:hAnsi="Times New Roman"/>
          <w:i/>
          <w:iCs/>
          <w:sz w:val="20"/>
          <w:szCs w:val="20"/>
        </w:rPr>
        <w:t xml:space="preserve">Aging</w:t>
      </w:r>
      <w:r>
        <w:rPr>
          <w:rFonts w:ascii="Times New Roman" w:cs="Times New Roman" w:eastAsia="Times New Roman" w:hAnsi="Times New Roman"/>
          <w:sz w:val="20"/>
          <w:szCs w:val="20"/>
        </w:rPr>
        <w:t xml:space="preserve">, vol. 7, no. 2, pp. 82-96, 2015, doi: 10.18632/aging.100715.</w:t>
      </w:r>
    </w:p>
    <w:p>
      <w:pPr>
        <w:spacing w:after="90"/>
        <w:ind w:left="500" w:hanging="500"/>
        <w:jc w:val="left"/>
      </w:pPr>
      <w:r>
        <w:rPr>
          <w:rFonts w:ascii="Times New Roman" w:cs="Times New Roman" w:eastAsia="Times New Roman" w:hAnsi="Times New Roman"/>
          <w:sz w:val="20"/>
          <w:szCs w:val="20"/>
        </w:rPr>
        <w:t xml:space="preserve">[20] E. Aref-Eshghi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"BAFopathies' DNA methylation epi-signatures demonstrate diagnostic utility and functional continuum of Coffin-Siris and Nicolaides-Baraitser syndromes," </w:t>
      </w:r>
      <w:r>
        <w:rPr>
          <w:rFonts w:ascii="Times New Roman" w:cs="Times New Roman" w:eastAsia="Times New Roman" w:hAnsi="Times New Roman"/>
          <w:i/>
          <w:iCs/>
          <w:sz w:val="20"/>
          <w:szCs w:val="20"/>
        </w:rPr>
        <w:t xml:space="preserve">Nat. Commun.</w:t>
      </w:r>
      <w:r>
        <w:rPr>
          <w:rFonts w:ascii="Times New Roman" w:cs="Times New Roman" w:eastAsia="Times New Roman" w:hAnsi="Times New Roman"/>
          <w:sz w:val="20"/>
          <w:szCs w:val="20"/>
        </w:rPr>
        <w:t xml:space="preserve">, vol. 9, Art. no. 4885, 2018, doi: 10.1038/s41467-018-07193-y.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20" w:hanging="320"/>
      </w:pPr>
    </w:lvl>
  </w:abstractNum>
  <w:abstractNum w:abstractNumId="3" w15:restartNumberingAfterBreak="0">
    <w:multiLevelType w:val="hybridMultilevel"/>
    <w:lvl w:ilvl="0" w:tentative="1">
      <w:start w:val="1"/>
      <w:numFmt w:val="decimal"/>
      <w:lvlText w:val="%1."/>
      <w:lvlJc w:val="left"/>
      <w:pPr>
        <w:ind w:left="620" w:hanging="320"/>
      </w:pPr>
    </w:lvl>
  </w:abstractNum>
  <w:abstractNum w:abstractNumId="4" w15:restartNumberingAfterBreak="0">
    <w:multiLevelType w:val="hybridMultilevel"/>
    <w:lvl w:ilvl="0" w: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5798047fee68351a6bd8fe5b9480eee2a149baa.png"/><Relationship Id="rId9" Type="http://schemas.openxmlformats.org/officeDocument/2006/relationships/image" Target="media/0086fe77d62903172cd67acc3ca312e50ed2ca71.png"/><Relationship Id="rId10" Type="http://schemas.openxmlformats.org/officeDocument/2006/relationships/image" Target="media/6b8d65c7d3b45630666f3ebaf3ba9c89ed49be4c.png"/><Relationship Id="rId11" Type="http://schemas.openxmlformats.org/officeDocument/2006/relationships/image" Target="media/dcfcd7e9d9541bd2af5084285e9daabd5437c95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EpiGrade: An Open, Reproducible Benchmark for DNA Methylation Episignature Classifiers</dc:title>
  <dc:creator>U. Bhaumik, S. Saravanakumar, D. Tyagi</dc:creator>
  <cp:lastModifiedBy>Un-named</cp:lastModifiedBy>
  <cp:revision>1</cp:revision>
  <dcterms:created xsi:type="dcterms:W3CDTF">2026-10-11T04:27:28.421Z</dcterms:created>
  <dcterms:modified xsi:type="dcterms:W3CDTF">2026-10-11T04:27:28.423Z</dcterms:modified>
</cp:coreProperties>
</file>

<file path=docProps/custom.xml><?xml version="1.0" encoding="utf-8"?>
<Properties xmlns="http://schemas.openxmlformats.org/officeDocument/2006/custom-properties" xmlns:vt="http://schemas.openxmlformats.org/officeDocument/2006/docPropsVTypes"/>
</file>