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9xlmka6b41w" w:id="0"/>
      <w:bookmarkEnd w:id="0"/>
      <w:r w:rsidDel="00000000" w:rsidR="00000000" w:rsidRPr="00000000">
        <w:rPr>
          <w:rtl w:val="0"/>
        </w:rPr>
        <w:t xml:space="preserve">ADR-002: Uso de Message Broker para Sistema de Notificações por E-mail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ey3x42hjt63" w:id="1"/>
      <w:bookmarkEnd w:id="1"/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Aceito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616b6nmwckvd" w:id="2"/>
      <w:bookmarkEnd w:id="2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Nossa plataforma de e-commerce precisa enviar diferentes tipos de notificações por e-mail para os clientes (confirmação de pedido, atualização de status, recuperação de senha, etc). Atualmente, o envio é feito de forma síncrona dentro do fluxo principal de cada operação, causando os seguintes problemas: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Atrasos na resposta ao usuário devido ao tempo de processamento do envio de e-mail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Falhas em operações importantes quando o serviço de e-mail está indisponível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em escalar o sistema durante picos de demanda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Alto acoplamento entre os serviços e a lógica de envio de e-mails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z24c8bwvewi" w:id="3"/>
      <w:bookmarkEnd w:id="3"/>
      <w:r w:rsidDel="00000000" w:rsidR="00000000" w:rsidRPr="00000000">
        <w:rPr>
          <w:rtl w:val="0"/>
        </w:rPr>
        <w:t xml:space="preserve">Métricas relevantes: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médio: 50.000 e-mails/dia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Picos de até 200.000 e-mails em datas especiais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médio atual de envio: 2-3 segundos por e-mail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Taxa de falha atual: 5% devido a timeouts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qxd7gkjqecc" w:id="4"/>
      <w:bookmarkEnd w:id="4"/>
      <w:r w:rsidDel="00000000" w:rsidR="00000000" w:rsidRPr="00000000">
        <w:rPr>
          <w:rtl w:val="0"/>
        </w:rPr>
        <w:t xml:space="preserve">Decisão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Implementar um sistema de message broker (Apache Kafka) para gerenciar o envio assíncrono de notificações por e-mail.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Arquitetura proposta: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Serviços produtores publicam mensagens em tópicos específicos do Kafka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Um serviço consumidor dedicado processa as mensagens e realiza o envio dos e-mails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Implementação de dead-letter queue para tratamento de falhas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Uso de múltiplas partições para permitir processamento paralelo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5e7f5c3kyfke" w:id="5"/>
      <w:bookmarkEnd w:id="5"/>
      <w:r w:rsidDel="00000000" w:rsidR="00000000" w:rsidRPr="00000000">
        <w:rPr>
          <w:rtl w:val="0"/>
        </w:rPr>
        <w:t xml:space="preserve">Consequências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gsqjoee4gnsg" w:id="6"/>
      <w:bookmarkEnd w:id="6"/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Desacoplamento entre serviços e lógica de envio de e-mails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Melhor experiência do usuário com respostas mais rápidas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Capacidade de escalar horizontalmente o processamento de e-mails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Resiliência a falhas temporárias do serviço de e-mail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Sistema de retry automático para mensagens com falha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Melhor observabilidade do processo de envio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bd0jl141x1ow" w:id="7"/>
      <w:bookmarkEnd w:id="7"/>
      <w:r w:rsidDel="00000000" w:rsidR="00000000" w:rsidRPr="00000000">
        <w:rPr>
          <w:rtl w:val="0"/>
        </w:rPr>
        <w:t xml:space="preserve">Desafios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Necessidade de manter infraestrutura adicional (Kafka)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Complexidade adicional no monitoramento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Possibilidade de duplicação de mensagens em cenários de retry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Necessidade de treinamento da equipe em message brokers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pkdz0b3efxsx" w:id="8"/>
      <w:bookmarkEnd w:id="8"/>
      <w:r w:rsidDel="00000000" w:rsidR="00000000" w:rsidRPr="00000000">
        <w:rPr>
          <w:rtl w:val="0"/>
        </w:rPr>
        <w:t xml:space="preserve">Alternativas Consideradas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m7zg8tsnq74v" w:id="9"/>
      <w:bookmarkEnd w:id="9"/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Prós: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Mais simples de configurar e manter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Menor consumo de recursos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Contras: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Menor capacidade de escala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Menos recursos para reprocessamento de mensagens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Motivo da não escolha: Necessitamos da capacidade de replay de mensagens e maior escala que o Kafka oferece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g83ydejwvfum" w:id="10"/>
      <w:bookmarkEnd w:id="10"/>
      <w:r w:rsidDel="00000000" w:rsidR="00000000" w:rsidRPr="00000000">
        <w:rPr>
          <w:rtl w:val="0"/>
        </w:rPr>
        <w:t xml:space="preserve">Redis Pub/Sub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Prós: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Já utilizamos Redis na infraestrutura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Baixa latência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Contras: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Sem persistência de mensagens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Limitações no padrão de consumo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Motivo da não escolha: Falta de persistência e garantias de entrega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r50chrw9bemi" w:id="11"/>
      <w:bookmarkEnd w:id="11"/>
      <w:r w:rsidDel="00000000" w:rsidR="00000000" w:rsidRPr="00000000">
        <w:rPr>
          <w:rtl w:val="0"/>
        </w:rPr>
        <w:t xml:space="preserve">Sistema de Filas próprio com banco de dados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Prós: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Controle total sobre a implementação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Sem necessidade de nova infraestrutura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Contras: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Alto esforço de desenvolvimento e manutenção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Risco de problemas de escalabilidade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Motivo da não escolha: Custo de desenvolvimento e manutenção muito alto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num3hcbhtzpc" w:id="12"/>
      <w:bookmarkEnd w:id="12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Documentação do Apache Kafka: https://kafka.apache.org/documentation/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Patterns of Enterprise Application Architecture - Martin Fowler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RFC 2821 - Simple Mail Transfer Protocol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ADR-001: Escolha do Provedor de Serviço de E-mail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pjly39f1mml9" w:id="13"/>
      <w:bookmarkEnd w:id="13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A implementação será feita de forma gradual, começando com e-mails de confirmação de pedido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Necessário alinhar com a equipe de infraestrutura sobre o sizing dos clusters Kafka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Definir estratégia de monitoramento e alertas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Criar documentação sobre padrões de mensagens e tratamento de erros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 original: Renan Torres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de aprovação: 10/02/2025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Aprovado por: Ciro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de substituição: --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da última modificação: 12/02/2025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Modificado por: Renan Torres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Última modificação: Incrementos de metadata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