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1A"/>
          <w:sz w:val="72"/>
        </w:rPr>
        <w:t>Paradigm Threat:</w:t>
      </w:r>
    </w:p>
    <w:p>
      <w:pPr>
        <w:jc w:val="center"/>
      </w:pPr>
      <w:r>
        <w:rPr>
          <w:b/>
          <w:color w:val="B8860B"/>
          <w:sz w:val="56"/>
        </w:rPr>
        <w:t>Appendix &amp; References</w:t>
      </w:r>
    </w:p>
    <w:p/>
    <w:p>
      <w:pPr>
        <w:jc w:val="center"/>
      </w:pPr>
      <w:r>
        <w:rPr>
          <w:color w:val="444444"/>
          <w:sz w:val="22"/>
        </w:rPr>
        <w:t>Supplementary material, author profiles, investigation cross-references, and credits for the Paradigm Threat timeline project.</w:t>
      </w:r>
    </w:p>
    <w:p>
      <w:pPr>
        <w:jc w:val="center"/>
      </w:pPr>
      <w:r>
        <w:rPr>
          <w:color w:val="888888"/>
          <w:sz w:val="24"/>
        </w:rPr>
        <w:t>Version 1.2.24</w:t>
      </w:r>
    </w:p>
    <w:p>
      <w:r>
        <w:br w:type="page"/>
      </w:r>
    </w:p>
    <w:p>
      <w:pPr>
        <w:jc w:val="center"/>
      </w:pPr>
      <w:r>
        <w:rPr>
          <w:rFonts w:ascii="Libre Franklin" w:hAnsi="Libre Franklin"/>
          <w:b/>
          <w:color w:val="1A1A1A"/>
          <w:sz w:val="44"/>
        </w:rPr>
        <w:t>Table of Contents</w:t>
      </w:r>
    </w:p>
    <w:p>
      <w:pPr>
        <w:spacing w:after="160"/>
        <w:jc w:val="center"/>
      </w:pPr>
      <w:r>
        <w:rPr>
          <w:color w:val="B8860B"/>
          <w:sz w:val="14"/>
        </w:rPr>
        <w:t>────────────────────────────────────────────────────────────</w:t>
      </w:r>
    </w:p>
    <w:p>
      <w:pPr>
        <w:pStyle w:val="TOC1"/>
      </w:pPr>
      <w:r>
        <w:rPr>
          <w:rFonts w:ascii="Libre Franklin" w:hAnsi="Libre Franklin"/>
          <w:b/>
          <w:sz w:val="21"/>
        </w:rPr>
        <w:t>Part XVI: Appendix</w:t>
      </w:r>
    </w:p>
    <w:p>
      <w:pPr>
        <w:pStyle w:val="TOC2"/>
      </w:pPr>
      <w:r>
        <w:rPr>
          <w:rFonts w:ascii="EB Garamond" w:hAnsi="EB Garamond"/>
          <w:sz w:val="19"/>
        </w:rPr>
        <w:t>Chapter 1: Predictive Programming: Fiction as Control</w:t>
      </w:r>
    </w:p>
    <w:p>
      <w:pPr>
        <w:pStyle w:val="TOC3"/>
      </w:pPr>
      <w:r>
        <w:rPr>
          <w:rFonts w:ascii="EB Garamond" w:hAnsi="EB Garamond"/>
          <w:i/>
          <w:color w:val="666666"/>
          <w:sz w:val="17"/>
        </w:rPr>
        <w:t>Predictive Programming in Film, Television, and Games</w:t>
      </w:r>
    </w:p>
    <w:p>
      <w:pPr>
        <w:pStyle w:val="TOC3"/>
      </w:pPr>
      <w:r>
        <w:rPr>
          <w:rFonts w:ascii="EB Garamond" w:hAnsi="EB Garamond"/>
          <w:i/>
          <w:color w:val="666666"/>
          <w:sz w:val="17"/>
        </w:rPr>
        <w:t>20th Century Predictive Programming: Literature — Extended Author Evidence</w:t>
      </w:r>
    </w:p>
    <w:p>
      <w:pPr>
        <w:pStyle w:val="TOC2"/>
      </w:pPr>
      <w:r>
        <w:rPr>
          <w:rFonts w:ascii="EB Garamond" w:hAnsi="EB Garamond"/>
          <w:sz w:val="19"/>
        </w:rPr>
        <w:t>Chapter 2: Known Contacts with Mars: A Chronological Dossier</w:t>
      </w:r>
    </w:p>
    <w:p>
      <w:pPr>
        <w:pStyle w:val="TOC3"/>
      </w:pPr>
      <w:r>
        <w:rPr>
          <w:rFonts w:ascii="EB Garamond" w:hAnsi="EB Garamond"/>
          <w:i/>
          <w:color w:val="666666"/>
          <w:sz w:val="17"/>
        </w:rPr>
        <w:t>Mars Literature: Author Profiles and Evidence</w:t>
      </w:r>
    </w:p>
    <w:p>
      <w:pPr>
        <w:pStyle w:val="TOC2"/>
      </w:pPr>
      <w:r>
        <w:rPr>
          <w:rFonts w:ascii="EB Garamond" w:hAnsi="EB Garamond"/>
          <w:sz w:val="19"/>
        </w:rPr>
        <w:t>Chapter 3: Controlled Opposition: Appendix</w:t>
      </w:r>
    </w:p>
    <w:p>
      <w:pPr>
        <w:pStyle w:val="TOC3"/>
      </w:pPr>
      <w:r>
        <w:rPr>
          <w:rFonts w:ascii="EB Garamond" w:hAnsi="EB Garamond"/>
          <w:i/>
          <w:color w:val="666666"/>
          <w:sz w:val="17"/>
        </w:rPr>
        <w:t>The Thunderbolts Project: A Case Study in Managed Disclosure</w:t>
      </w:r>
    </w:p>
    <w:p>
      <w:pPr>
        <w:pStyle w:val="TOC3"/>
      </w:pPr>
      <w:r>
        <w:rPr>
          <w:rFonts w:ascii="EB Garamond" w:hAnsi="EB Garamond"/>
          <w:i/>
          <w:color w:val="666666"/>
          <w:sz w:val="17"/>
        </w:rPr>
        <w:t>Operation Mockingbird: The Historical Chain (Extended)</w:t>
      </w:r>
    </w:p>
    <w:p>
      <w:pPr>
        <w:pStyle w:val="TOC2"/>
      </w:pPr>
      <w:r>
        <w:rPr>
          <w:rFonts w:ascii="EB Garamond" w:hAnsi="EB Garamond"/>
          <w:sz w:val="19"/>
        </w:rPr>
        <w:t>Chapter 4: Censorship and Book Burning: The Historical Record</w:t>
      </w:r>
    </w:p>
    <w:p>
      <w:pPr>
        <w:pStyle w:val="TOC2"/>
      </w:pPr>
      <w:r>
        <w:rPr>
          <w:rFonts w:ascii="EB Garamond" w:hAnsi="EB Garamond"/>
          <w:sz w:val="19"/>
        </w:rPr>
        <w:t>Chapter 5: Historical Antibodies: Detailed Profiles</w:t>
      </w:r>
    </w:p>
    <w:p>
      <w:pPr>
        <w:pStyle w:val="TOC2"/>
      </w:pPr>
      <w:r>
        <w:rPr>
          <w:rFonts w:ascii="EB Garamond" w:hAnsi="EB Garamond"/>
          <w:sz w:val="19"/>
        </w:rPr>
        <w:t>Chapter 6: False Flags Investigation: Evidence Dossier</w:t>
      </w:r>
    </w:p>
    <w:p>
      <w:pPr>
        <w:pStyle w:val="TOC2"/>
      </w:pPr>
      <w:r>
        <w:rPr>
          <w:rFonts w:ascii="EB Garamond" w:hAnsi="EB Garamond"/>
          <w:sz w:val="19"/>
        </w:rPr>
        <w:t>Chapter 7: Author Profiles</w:t>
      </w:r>
    </w:p>
    <w:p>
      <w:pPr>
        <w:pStyle w:val="TOC3"/>
      </w:pPr>
      <w:r>
        <w:rPr>
          <w:rFonts w:ascii="EB Garamond" w:hAnsi="EB Garamond"/>
          <w:i/>
          <w:color w:val="666666"/>
          <w:sz w:val="17"/>
        </w:rPr>
        <w:t>N. A. Morozov</w:t>
      </w:r>
    </w:p>
    <w:p>
      <w:pPr>
        <w:pStyle w:val="TOC3"/>
      </w:pPr>
      <w:r>
        <w:rPr>
          <w:rFonts w:ascii="EB Garamond" w:hAnsi="EB Garamond"/>
          <w:i/>
          <w:color w:val="666666"/>
          <w:sz w:val="17"/>
        </w:rPr>
        <w:t>Wal Thornhill</w:t>
      </w:r>
    </w:p>
    <w:p>
      <w:pPr>
        <w:pStyle w:val="TOC3"/>
      </w:pPr>
      <w:r>
        <w:rPr>
          <w:rFonts w:ascii="EB Garamond" w:hAnsi="EB Garamond"/>
          <w:i/>
          <w:color w:val="666666"/>
          <w:sz w:val="17"/>
        </w:rPr>
        <w:t>Ralph Juergens</w:t>
      </w:r>
    </w:p>
    <w:p>
      <w:pPr>
        <w:pStyle w:val="TOC3"/>
      </w:pPr>
      <w:r>
        <w:rPr>
          <w:rFonts w:ascii="EB Garamond" w:hAnsi="EB Garamond"/>
          <w:i/>
          <w:color w:val="666666"/>
          <w:sz w:val="17"/>
        </w:rPr>
        <w:t>Immanuel Velikovsky (1895–1979)</w:t>
      </w:r>
    </w:p>
    <w:p>
      <w:pPr>
        <w:pStyle w:val="TOC3"/>
      </w:pPr>
      <w:r>
        <w:rPr>
          <w:rFonts w:ascii="EB Garamond" w:hAnsi="EB Garamond"/>
          <w:i/>
          <w:color w:val="666666"/>
          <w:sz w:val="17"/>
        </w:rPr>
        <w:t>Anatoly Fomenko (b. 1945)</w:t>
      </w:r>
    </w:p>
    <w:p>
      <w:pPr>
        <w:pStyle w:val="TOC3"/>
      </w:pPr>
      <w:r>
        <w:rPr>
          <w:rFonts w:ascii="EB Garamond" w:hAnsi="EB Garamond"/>
          <w:i/>
          <w:color w:val="666666"/>
          <w:sz w:val="17"/>
        </w:rPr>
        <w:t>David Talbott (b. 1942)</w:t>
      </w:r>
    </w:p>
    <w:p>
      <w:pPr>
        <w:pStyle w:val="TOC3"/>
      </w:pPr>
      <w:r>
        <w:rPr>
          <w:rFonts w:ascii="EB Garamond" w:hAnsi="EB Garamond"/>
          <w:i/>
          <w:color w:val="666666"/>
          <w:sz w:val="17"/>
        </w:rPr>
        <w:t>Anthony Peratt (b. 1940)</w:t>
      </w:r>
    </w:p>
    <w:p>
      <w:pPr>
        <w:pStyle w:val="TOC3"/>
      </w:pPr>
      <w:r>
        <w:rPr>
          <w:rFonts w:ascii="EB Garamond" w:hAnsi="EB Garamond"/>
          <w:i/>
          <w:color w:val="666666"/>
          <w:sz w:val="17"/>
        </w:rPr>
        <w:t>Jno Cook</w:t>
      </w:r>
    </w:p>
    <w:p>
      <w:pPr>
        <w:pStyle w:val="TOC3"/>
      </w:pPr>
      <w:r>
        <w:rPr>
          <w:rFonts w:ascii="EB Garamond" w:hAnsi="EB Garamond"/>
          <w:i/>
          <w:color w:val="666666"/>
          <w:sz w:val="17"/>
        </w:rPr>
        <w:t>Alfred de Grazia (1919–2014)</w:t>
      </w:r>
    </w:p>
    <w:p>
      <w:pPr>
        <w:pStyle w:val="TOC3"/>
      </w:pPr>
      <w:r>
        <w:rPr>
          <w:rFonts w:ascii="EB Garamond" w:hAnsi="EB Garamond"/>
          <w:i/>
          <w:color w:val="666666"/>
          <w:sz w:val="17"/>
        </w:rPr>
        <w:t>Donald Scott</w:t>
      </w:r>
    </w:p>
    <w:p>
      <w:pPr>
        <w:pStyle w:val="TOC3"/>
      </w:pPr>
      <w:r>
        <w:rPr>
          <w:rFonts w:ascii="EB Garamond" w:hAnsi="EB Garamond"/>
          <w:i/>
          <w:color w:val="666666"/>
          <w:sz w:val="17"/>
        </w:rPr>
        <w:t>Ev Cochrane (b. 1952)</w:t>
      </w:r>
    </w:p>
    <w:p>
      <w:pPr>
        <w:pStyle w:val="TOC3"/>
      </w:pPr>
      <w:r>
        <w:rPr>
          <w:rFonts w:ascii="EB Garamond" w:hAnsi="EB Garamond"/>
          <w:i/>
          <w:color w:val="666666"/>
          <w:sz w:val="17"/>
        </w:rPr>
        <w:t>Giorgio de Santillana &amp; Hertha von Dechend</w:t>
      </w:r>
    </w:p>
    <w:p>
      <w:pPr>
        <w:pStyle w:val="TOC3"/>
      </w:pPr>
      <w:r>
        <w:rPr>
          <w:rFonts w:ascii="EB Garamond" w:hAnsi="EB Garamond"/>
          <w:i/>
          <w:color w:val="666666"/>
          <w:sz w:val="17"/>
        </w:rPr>
        <w:t>Heribert Illig (b. 1947)</w:t>
      </w:r>
    </w:p>
    <w:p>
      <w:pPr>
        <w:pStyle w:val="TOC3"/>
      </w:pPr>
      <w:r>
        <w:rPr>
          <w:rFonts w:ascii="EB Garamond" w:hAnsi="EB Garamond"/>
          <w:i/>
          <w:color w:val="666666"/>
          <w:sz w:val="17"/>
        </w:rPr>
        <w:t>Gunnar Heinsohn (b. 1943)</w:t>
      </w:r>
    </w:p>
    <w:p>
      <w:pPr>
        <w:pStyle w:val="TOC3"/>
      </w:pPr>
      <w:r>
        <w:rPr>
          <w:rFonts w:ascii="EB Garamond" w:hAnsi="EB Garamond"/>
          <w:i/>
          <w:color w:val="666666"/>
          <w:sz w:val="17"/>
        </w:rPr>
        <w:t>Dwardu Cardona (1937–2018)</w:t>
      </w:r>
    </w:p>
    <w:p>
      <w:pPr>
        <w:pStyle w:val="TOC3"/>
      </w:pPr>
      <w:r>
        <w:rPr>
          <w:rFonts w:ascii="EB Garamond" w:hAnsi="EB Garamond"/>
          <w:i/>
          <w:color w:val="666666"/>
          <w:sz w:val="17"/>
        </w:rPr>
        <w:t>Victor Clube &amp; Bill Napier</w:t>
      </w:r>
    </w:p>
    <w:p>
      <w:pPr>
        <w:pStyle w:val="TOC3"/>
      </w:pPr>
      <w:r>
        <w:rPr>
          <w:rFonts w:ascii="EB Garamond" w:hAnsi="EB Garamond"/>
          <w:i/>
          <w:color w:val="666666"/>
          <w:sz w:val="17"/>
        </w:rPr>
        <w:t>Livio Stecchini (1913–1979)</w:t>
      </w:r>
    </w:p>
    <w:p>
      <w:pPr>
        <w:pStyle w:val="TOC3"/>
      </w:pPr>
      <w:r>
        <w:rPr>
          <w:rFonts w:ascii="EB Garamond" w:hAnsi="EB Garamond"/>
          <w:i/>
          <w:color w:val="666666"/>
          <w:sz w:val="17"/>
        </w:rPr>
        <w:t>Lynn Rose &amp; Raymond Vaughan</w:t>
      </w:r>
    </w:p>
    <w:p>
      <w:pPr>
        <w:pStyle w:val="TOC3"/>
      </w:pPr>
      <w:r>
        <w:rPr>
          <w:rFonts w:ascii="EB Garamond" w:hAnsi="EB Garamond"/>
          <w:i/>
          <w:color w:val="666666"/>
          <w:sz w:val="17"/>
        </w:rPr>
        <w:t>Tom Van Flandern (1940–2009)</w:t>
      </w:r>
    </w:p>
    <w:p>
      <w:pPr>
        <w:pStyle w:val="TOC3"/>
      </w:pPr>
      <w:r>
        <w:rPr>
          <w:rFonts w:ascii="EB Garamond" w:hAnsi="EB Garamond"/>
          <w:i/>
          <w:color w:val="666666"/>
          <w:sz w:val="17"/>
        </w:rPr>
        <w:t>Martinus van der Sluijs</w:t>
      </w:r>
    </w:p>
    <w:p>
      <w:pPr>
        <w:pStyle w:val="TOC3"/>
      </w:pPr>
      <w:r>
        <w:rPr>
          <w:rFonts w:ascii="EB Garamond" w:hAnsi="EB Garamond"/>
          <w:i/>
          <w:color w:val="666666"/>
          <w:sz w:val="17"/>
        </w:rPr>
        <w:t>Charles Ginenthal</w:t>
      </w:r>
    </w:p>
    <w:p>
      <w:pPr>
        <w:pStyle w:val="TOC3"/>
      </w:pPr>
      <w:r>
        <w:rPr>
          <w:rFonts w:ascii="EB Garamond" w:hAnsi="EB Garamond"/>
          <w:i/>
          <w:color w:val="666666"/>
          <w:sz w:val="17"/>
        </w:rPr>
        <w:t>Robert Schoch (b. 1959)</w:t>
      </w:r>
    </w:p>
    <w:p>
      <w:pPr>
        <w:pStyle w:val="TOC3"/>
      </w:pPr>
      <w:r>
        <w:rPr>
          <w:rFonts w:ascii="EB Garamond" w:hAnsi="EB Garamond"/>
          <w:i/>
          <w:color w:val="666666"/>
          <w:sz w:val="17"/>
        </w:rPr>
        <w:t>Graham Hancock (b. 1950)</w:t>
      </w:r>
    </w:p>
    <w:p>
      <w:pPr>
        <w:pStyle w:val="TOC3"/>
      </w:pPr>
      <w:r>
        <w:rPr>
          <w:rFonts w:ascii="EB Garamond" w:hAnsi="EB Garamond"/>
          <w:i/>
          <w:color w:val="666666"/>
          <w:sz w:val="17"/>
        </w:rPr>
        <w:t>Michael Cremo (b. 1948)</w:t>
      </w:r>
    </w:p>
    <w:p>
      <w:pPr>
        <w:pStyle w:val="TOC3"/>
      </w:pPr>
      <w:r>
        <w:rPr>
          <w:rFonts w:ascii="EB Garamond" w:hAnsi="EB Garamond"/>
          <w:i/>
          <w:color w:val="666666"/>
          <w:sz w:val="17"/>
        </w:rPr>
        <w:t>Dr. Jerry Tennant (b. 1940)</w:t>
      </w:r>
    </w:p>
    <w:p>
      <w:pPr>
        <w:pStyle w:val="TOC2"/>
      </w:pPr>
      <w:r>
        <w:rPr>
          <w:rFonts w:ascii="EB Garamond" w:hAnsi="EB Garamond"/>
          <w:sz w:val="19"/>
        </w:rPr>
        <w:t>Chapter 8: Suppressed Energy Technology: A Cross-Reference</w:t>
      </w:r>
    </w:p>
    <w:p>
      <w:pPr>
        <w:pStyle w:val="TOC2"/>
      </w:pPr>
      <w:r>
        <w:rPr>
          <w:rFonts w:ascii="EB Garamond" w:hAnsi="EB Garamond"/>
          <w:sz w:val="19"/>
        </w:rPr>
        <w:t>Chapter 9: Population Control: A Timeline (15th–21st Centuries)</w:t>
      </w:r>
    </w:p>
    <w:p>
      <w:pPr>
        <w:pStyle w:val="TOC2"/>
      </w:pPr>
      <w:r>
        <w:rPr>
          <w:rFonts w:ascii="EB Garamond" w:hAnsi="EB Garamond"/>
          <w:sz w:val="19"/>
        </w:rPr>
        <w:t>Chapter 10: Orphan Trains, Trail of Tears, Siberian Exile — Extended Evidence</w:t>
      </w:r>
    </w:p>
    <w:p>
      <w:pPr>
        <w:pStyle w:val="TOC2"/>
      </w:pPr>
      <w:r>
        <w:rPr>
          <w:rFonts w:ascii="EB Garamond" w:hAnsi="EB Garamond"/>
          <w:sz w:val="19"/>
        </w:rPr>
        <w:t>Chapter 11: Napoleonic Wars and 1812 — Extended Evidence</w:t>
      </w:r>
    </w:p>
    <w:p>
      <w:pPr>
        <w:pStyle w:val="TOC3"/>
      </w:pPr>
      <w:r>
        <w:rPr>
          <w:rFonts w:ascii="EB Garamond" w:hAnsi="EB Garamond"/>
          <w:i/>
          <w:color w:val="666666"/>
          <w:sz w:val="17"/>
        </w:rPr>
        <w:t>Napoleon invades Russia — Reverse Crusade I (Extended)</w:t>
      </w:r>
    </w:p>
    <w:p>
      <w:pPr>
        <w:pStyle w:val="TOC2"/>
      </w:pPr>
      <w:r>
        <w:rPr>
          <w:rFonts w:ascii="EB Garamond" w:hAnsi="EB Garamond"/>
          <w:sz w:val="19"/>
        </w:rPr>
        <w:t>Chapter 12: Timeline Synchronization: Date Tables (Extended)</w:t>
      </w:r>
    </w:p>
    <w:p>
      <w:pPr>
        <w:pStyle w:val="TOC3"/>
      </w:pPr>
      <w:r>
        <w:rPr>
          <w:rFonts w:ascii="EB Garamond" w:hAnsi="EB Garamond"/>
          <w:i/>
          <w:color w:val="666666"/>
          <w:sz w:val="17"/>
        </w:rPr>
        <w:t>Year-Length and Calendar Evidence (Extended)</w:t>
      </w:r>
    </w:p>
    <w:p>
      <w:pPr>
        <w:pStyle w:val="TOC3"/>
      </w:pPr>
      <w:r>
        <w:rPr>
          <w:rFonts w:ascii="EB Garamond" w:hAnsi="EB Garamond"/>
          <w:i/>
          <w:color w:val="666666"/>
          <w:sz w:val="17"/>
        </w:rPr>
        <w:t>Fomenko and the Pyramid Question</w:t>
      </w:r>
    </w:p>
    <w:p>
      <w:pPr>
        <w:pStyle w:val="TOC3"/>
      </w:pPr>
      <w:r>
        <w:rPr>
          <w:rFonts w:ascii="EB Garamond" w:hAnsi="EB Garamond"/>
          <w:i/>
          <w:color w:val="666666"/>
          <w:sz w:val="17"/>
        </w:rPr>
        <w:t>Pyramids: Myths vs Reality — Evidence Table (Extended)</w:t>
      </w:r>
    </w:p>
    <w:p>
      <w:pPr>
        <w:pStyle w:val="TOC2"/>
      </w:pPr>
      <w:r>
        <w:rPr>
          <w:rFonts w:ascii="EB Garamond" w:hAnsi="EB Garamond"/>
          <w:sz w:val="19"/>
        </w:rPr>
        <w:t>Chapter 13: Asimov: Three Laws and Marx Encoding — Extended Evidence</w:t>
      </w:r>
    </w:p>
    <w:p>
      <w:pPr>
        <w:pStyle w:val="TOC2"/>
      </w:pPr>
      <w:r>
        <w:rPr>
          <w:rFonts w:ascii="EB Garamond" w:hAnsi="EB Garamond"/>
          <w:sz w:val="19"/>
        </w:rPr>
        <w:t>Chapter 14: Deep State breaks up the Hordian Empire (Extended)</w:t>
      </w:r>
    </w:p>
    <w:p>
      <w:pPr>
        <w:pStyle w:val="TOC2"/>
      </w:pPr>
      <w:r>
        <w:rPr>
          <w:rFonts w:ascii="EB Garamond" w:hAnsi="EB Garamond"/>
          <w:sz w:val="19"/>
        </w:rPr>
        <w:t>Chapter 15: The MudFlood and World Cataclysm: Extended Evidence</w:t>
      </w:r>
    </w:p>
    <w:p>
      <w:pPr>
        <w:pStyle w:val="TOC2"/>
      </w:pPr>
      <w:r>
        <w:rPr>
          <w:rFonts w:ascii="EB Garamond" w:hAnsi="EB Garamond"/>
          <w:sz w:val="19"/>
        </w:rPr>
        <w:t>Chapter 16: Soviet Historiography: Bogdanov and Suppressed Science (Extended)</w:t>
      </w:r>
    </w:p>
    <w:p>
      <w:pPr>
        <w:pStyle w:val="TOC2"/>
      </w:pPr>
      <w:r>
        <w:rPr>
          <w:rFonts w:ascii="EB Garamond" w:hAnsi="EB Garamond"/>
          <w:sz w:val="19"/>
        </w:rPr>
        <w:t>Chapter 17: Slave Trades: Evidence and Horde-Fracture Thesis (Extended)</w:t>
      </w:r>
    </w:p>
    <w:p>
      <w:pPr>
        <w:pStyle w:val="TOC2"/>
      </w:pPr>
      <w:r>
        <w:rPr>
          <w:rFonts w:ascii="EB Garamond" w:hAnsi="EB Garamond"/>
          <w:sz w:val="19"/>
        </w:rPr>
        <w:t>Chapter 18: British Empire as Deep State: Case Studies (Extended)</w:t>
      </w:r>
    </w:p>
    <w:p>
      <w:pPr>
        <w:pStyle w:val="TOC2"/>
      </w:pPr>
      <w:r>
        <w:rPr>
          <w:rFonts w:ascii="EB Garamond" w:hAnsi="EB Garamond"/>
          <w:sz w:val="19"/>
        </w:rPr>
        <w:t>Chapter 19: Seven Days of Creation (Extended)</w:t>
      </w:r>
    </w:p>
    <w:p>
      <w:pPr>
        <w:pStyle w:val="TOC2"/>
      </w:pPr>
      <w:r>
        <w:rPr>
          <w:rFonts w:ascii="EB Garamond" w:hAnsi="EB Garamond"/>
          <w:sz w:val="19"/>
        </w:rPr>
        <w:t>Chapter 20: Controlled Opposition: Managed Disclosure and Gatekeeping (Extended)</w:t>
      </w:r>
    </w:p>
    <w:p>
      <w:pPr>
        <w:pStyle w:val="TOC2"/>
      </w:pPr>
      <w:r>
        <w:rPr>
          <w:rFonts w:ascii="EB Garamond" w:hAnsi="EB Garamond"/>
          <w:sz w:val="19"/>
        </w:rPr>
        <w:t>Chapter 21: Historical Antibodies: Pattern Analysis (Extended)</w:t>
      </w:r>
    </w:p>
    <w:p>
      <w:pPr>
        <w:pStyle w:val="TOC2"/>
      </w:pPr>
      <w:r>
        <w:rPr>
          <w:rFonts w:ascii="EB Garamond" w:hAnsi="EB Garamond"/>
          <w:sz w:val="19"/>
        </w:rPr>
        <w:t>Chapter 22: False Flags: Architecture of Manufactured War (Extended)</w:t>
      </w:r>
    </w:p>
    <w:p>
      <w:pPr>
        <w:pStyle w:val="TOC2"/>
      </w:pPr>
      <w:r>
        <w:rPr>
          <w:rFonts w:ascii="EB Garamond" w:hAnsi="EB Garamond"/>
          <w:sz w:val="19"/>
        </w:rPr>
        <w:t>Chapter 23: Building the New Chronology (Extended)</w:t>
      </w:r>
    </w:p>
    <w:p>
      <w:pPr>
        <w:pStyle w:val="TOC2"/>
      </w:pPr>
      <w:r>
        <w:rPr>
          <w:rFonts w:ascii="EB Garamond" w:hAnsi="EB Garamond"/>
          <w:sz w:val="19"/>
        </w:rPr>
        <w:t>Chapter 24: Censorship and Book Burning: From Alexandria to the Internet (Extended)</w:t>
      </w:r>
    </w:p>
    <w:p>
      <w:pPr>
        <w:pStyle w:val="TOC2"/>
      </w:pPr>
      <w:r>
        <w:rPr>
          <w:rFonts w:ascii="EB Garamond" w:hAnsi="EB Garamond"/>
          <w:sz w:val="19"/>
        </w:rPr>
        <w:t>Chapter 25: Jesuit Operations: Conversion, Catholicism, and the New World (Extended)</w:t>
      </w:r>
    </w:p>
    <w:p>
      <w:pPr>
        <w:pStyle w:val="TOC2"/>
      </w:pPr>
      <w:r>
        <w:rPr>
          <w:rFonts w:ascii="EB Garamond" w:hAnsi="EB Garamond"/>
          <w:sz w:val="19"/>
        </w:rPr>
        <w:t>Chapter 26: Other Challenges to Chronology (Extended)</w:t>
      </w:r>
    </w:p>
    <w:p>
      <w:pPr>
        <w:pStyle w:val="TOC1"/>
      </w:pPr>
      <w:r>
        <w:rPr>
          <w:rFonts w:ascii="Libre Franklin" w:hAnsi="Libre Franklin"/>
          <w:b/>
          <w:sz w:val="21"/>
        </w:rPr>
        <w:t>Part XVII: Credits</w:t>
      </w:r>
    </w:p>
    <w:p>
      <w:r>
        <w:br w:type="page"/>
      </w:r>
    </w:p>
    <w:p>
      <w:pPr>
        <w:sectPr>
          <w:pgSz w:w="8640" w:h="12960"/>
          <w:pgMar w:top="1020" w:right="1134" w:bottom="1134" w:left="1134" w:header="720" w:footer="720" w:gutter="0"/>
          <w:cols w:space="720"/>
          <w:titlePg/>
          <w:docGrid w:linePitch="360"/>
        </w:sectPr>
      </w:pPr>
    </w:p>
    <w:p>
      <w:pPr>
        <w:pStyle w:val="Heading1"/>
      </w:pPr>
      <w:r>
        <w:rPr>
          <w:b/>
        </w:rPr>
        <w:t>Part XVI — Appendix</w:t>
      </w:r>
    </w:p>
    <w:p>
      <w:r>
        <w:rPr>
          <w:b w:val="0"/>
          <w:i w:val="0"/>
        </w:rPr>
        <w:t>This section contains supplementary material supporting the main timeline: author profiles, methodology notes, and analysis of predictive programming patterns.</w:t>
      </w:r>
    </w:p>
    <w:p>
      <w:pPr>
        <w:pBdr>
          <w:bottom w:val="single" w:sz="6" w:space="1" w:color="CCCCCC"/>
        </w:pBdr>
      </w:pPr>
    </w:p>
    <w:p>
      <w:pPr>
        <w:pStyle w:val="Heading2"/>
      </w:pPr>
      <w:r>
        <w:t>Contents</w:t>
      </w:r>
    </w:p>
    <w:p>
      <w:pPr>
        <w:pStyle w:val="Heading3"/>
      </w:pPr>
      <w:r>
        <w:t>Predictive Programming</w:t>
      </w:r>
    </w:p>
    <w:p>
      <w:pPr>
        <w:pStyle w:val="ListBullet"/>
        <w:spacing w:before="20" w:after="20"/>
      </w:pPr>
      <w:hyperlink r:id="rId11">
        <w:r>
          <w:rPr>
            <w:b w:val="0"/>
            <w:i w:val="0"/>
            <w:color w:val="B8860B"/>
            <w:sz w:val="19"/>
          </w:rPr>
          <w:t>Film, Television, and Games</w:t>
        </w:r>
      </w:hyperlink>
    </w:p>
    <w:p>
      <w:pPr>
        <w:pStyle w:val="ListBullet"/>
        <w:spacing w:before="20" w:after="20"/>
      </w:pPr>
      <w:hyperlink r:id="rId12">
        <w:r>
          <w:rPr>
            <w:b w:val="0"/>
            <w:i w:val="0"/>
            <w:color w:val="B8860B"/>
            <w:sz w:val="19"/>
          </w:rPr>
          <w:t>Literature — Extended Author Evidence</w:t>
        </w:r>
      </w:hyperlink>
    </w:p>
    <w:p>
      <w:pPr>
        <w:pStyle w:val="Heading3"/>
      </w:pPr>
      <w:r>
        <w:t>Mars</w:t>
      </w:r>
    </w:p>
    <w:p>
      <w:pPr>
        <w:pStyle w:val="ListBullet"/>
        <w:spacing w:before="20" w:after="20"/>
      </w:pPr>
      <w:hyperlink r:id="rId13">
        <w:r>
          <w:rPr>
            <w:b w:val="0"/>
            <w:i w:val="0"/>
            <w:color w:val="B8860B"/>
            <w:sz w:val="19"/>
          </w:rPr>
          <w:t>Mars Literature: Author Profiles and Evidence</w:t>
        </w:r>
      </w:hyperlink>
    </w:p>
    <w:p>
      <w:pPr>
        <w:pStyle w:val="Heading3"/>
      </w:pPr>
      <w:r>
        <w:t>Controlled Opposition</w:t>
      </w:r>
    </w:p>
    <w:p>
      <w:pPr>
        <w:pStyle w:val="ListBullet"/>
        <w:spacing w:before="20" w:after="20"/>
      </w:pPr>
      <w:hyperlink r:id="rId14">
        <w:r>
          <w:rPr>
            <w:b w:val="0"/>
            <w:i w:val="0"/>
            <w:color w:val="B8860B"/>
            <w:sz w:val="19"/>
          </w:rPr>
          <w:t>The Thunderbolts Project: A Case Study in Managed Disclosure</w:t>
        </w:r>
      </w:hyperlink>
    </w:p>
    <w:p>
      <w:pPr>
        <w:pStyle w:val="ListBullet"/>
        <w:spacing w:before="20" w:after="20"/>
      </w:pPr>
      <w:hyperlink r:id="rId15">
        <w:r>
          <w:rPr>
            <w:b w:val="0"/>
            <w:i w:val="0"/>
            <w:color w:val="B8860B"/>
            <w:sz w:val="19"/>
          </w:rPr>
          <w:t>Operation Mockingbird: The Historical Chain (Extended)</w:t>
        </w:r>
      </w:hyperlink>
    </w:p>
    <w:p>
      <w:pPr>
        <w:pStyle w:val="Heading3"/>
      </w:pPr>
      <w:r>
        <w:t>Censorship, Antibodies, False Flags</w:t>
      </w:r>
    </w:p>
    <w:p>
      <w:pPr>
        <w:pStyle w:val="ListBullet"/>
        <w:spacing w:before="20" w:after="20"/>
      </w:pPr>
      <w:hyperlink r:id="rId16">
        <w:r>
          <w:rPr>
            <w:b w:val="0"/>
            <w:i w:val="0"/>
            <w:color w:val="B8860B"/>
            <w:sz w:val="19"/>
          </w:rPr>
          <w:t>Censorship and Book Burning: The Historical Record</w:t>
        </w:r>
      </w:hyperlink>
    </w:p>
    <w:p>
      <w:pPr>
        <w:pStyle w:val="ListBullet"/>
        <w:spacing w:before="20" w:after="20"/>
      </w:pPr>
      <w:hyperlink r:id="rId17">
        <w:r>
          <w:rPr>
            <w:b w:val="0"/>
            <w:i w:val="0"/>
            <w:color w:val="B8860B"/>
            <w:sz w:val="19"/>
          </w:rPr>
          <w:t>Historical Antibodies: Detailed Profiles</w:t>
        </w:r>
      </w:hyperlink>
    </w:p>
    <w:p>
      <w:pPr>
        <w:pStyle w:val="ListBullet"/>
        <w:spacing w:before="20" w:after="20"/>
      </w:pPr>
      <w:hyperlink r:id="rId18">
        <w:r>
          <w:rPr>
            <w:b w:val="0"/>
            <w:i w:val="0"/>
            <w:color w:val="B8860B"/>
            <w:sz w:val="19"/>
          </w:rPr>
          <w:t>False Flags Investigation: Evidence Dossier</w:t>
        </w:r>
      </w:hyperlink>
    </w:p>
    <w:p>
      <w:pPr>
        <w:pStyle w:val="Heading3"/>
      </w:pPr>
      <w:r>
        <w:t>Author Profiles</w:t>
      </w:r>
    </w:p>
    <w:p>
      <w:pPr>
        <w:pStyle w:val="ListBullet"/>
        <w:spacing w:before="20" w:after="20"/>
      </w:pPr>
      <w:hyperlink r:id="rId19">
        <w:r>
          <w:rPr>
            <w:b w:val="0"/>
            <w:i w:val="0"/>
            <w:color w:val="B8860B"/>
            <w:sz w:val="19"/>
          </w:rPr>
          <w:t>Author Profiles</w:t>
        </w:r>
      </w:hyperlink>
      <w:r>
        <w:rPr>
          <w:b w:val="0"/>
          <w:i w:val="0"/>
          <w:sz w:val="19"/>
        </w:rPr>
        <w:t xml:space="preserve"> — Biographical and research profiles for every researcher cited in this investigation</w:t>
      </w:r>
    </w:p>
    <w:p>
      <w:pPr>
        <w:pStyle w:val="Heading3"/>
      </w:pPr>
      <w:r>
        <w:t>Suppressed Energy, Population Control</w:t>
      </w:r>
    </w:p>
    <w:p>
      <w:pPr>
        <w:pStyle w:val="ListBullet"/>
        <w:spacing w:before="20" w:after="20"/>
      </w:pPr>
      <w:hyperlink r:id="rId20">
        <w:r>
          <w:rPr>
            <w:b w:val="0"/>
            <w:i w:val="0"/>
            <w:color w:val="B8860B"/>
            <w:sz w:val="19"/>
          </w:rPr>
          <w:t>Suppressed Energy Technology: A Cross-Reference</w:t>
        </w:r>
      </w:hyperlink>
    </w:p>
    <w:p>
      <w:pPr>
        <w:pStyle w:val="ListBullet"/>
        <w:spacing w:before="20" w:after="20"/>
      </w:pPr>
      <w:hyperlink r:id="rId21">
        <w:r>
          <w:rPr>
            <w:b w:val="0"/>
            <w:i w:val="0"/>
            <w:color w:val="B8860B"/>
            <w:sz w:val="19"/>
          </w:rPr>
          <w:t>Population Control: A Timeline (15th–21st Centuries)</w:t>
        </w:r>
      </w:hyperlink>
    </w:p>
    <w:p>
      <w:pPr>
        <w:pStyle w:val="Heading3"/>
      </w:pPr>
      <w:r>
        <w:t>Napoleonic Wars</w:t>
      </w:r>
    </w:p>
    <w:p>
      <w:pPr>
        <w:pStyle w:val="ListBullet"/>
        <w:spacing w:before="20" w:after="20"/>
      </w:pPr>
      <w:hyperlink r:id="rId22">
        <w:r>
          <w:rPr>
            <w:b w:val="0"/>
            <w:i w:val="0"/>
            <w:color w:val="B8860B"/>
            <w:sz w:val="19"/>
          </w:rPr>
          <w:t>Napoleon invades Russia — Reverse Crusade I (Extended)</w:t>
        </w:r>
      </w:hyperlink>
    </w:p>
    <w:p>
      <w:pPr>
        <w:pStyle w:val="Heading3"/>
      </w:pPr>
      <w:r>
        <w:t>Authors and Cataclysm</w:t>
      </w:r>
    </w:p>
    <w:p>
      <w:pPr>
        <w:pStyle w:val="ListBullet"/>
        <w:spacing w:before="20" w:after="20"/>
      </w:pPr>
      <w:hyperlink r:id="rId23">
        <w:r>
          <w:rPr>
            <w:b w:val="0"/>
            <w:i w:val="0"/>
            <w:color w:val="B8860B"/>
            <w:sz w:val="19"/>
          </w:rPr>
          <w:t>Asimov: Three Laws and Marx Encoding — Extended Evidence</w:t>
        </w:r>
      </w:hyperlink>
    </w:p>
    <w:p>
      <w:pPr>
        <w:pStyle w:val="Heading3"/>
      </w:pPr>
      <w:r>
        <w:t>Timeline Synchronization &amp; Methodology</w:t>
      </w:r>
    </w:p>
    <w:p>
      <w:pPr>
        <w:pStyle w:val="ListBullet"/>
        <w:spacing w:before="20" w:after="20"/>
      </w:pPr>
      <w:hyperlink r:id="rId24">
        <w:r>
          <w:rPr>
            <w:b w:val="0"/>
            <w:i w:val="0"/>
            <w:color w:val="B8860B"/>
            <w:sz w:val="19"/>
          </w:rPr>
          <w:t>Year-Length and Calendar Evidence (Extended)</w:t>
        </w:r>
      </w:hyperlink>
    </w:p>
    <w:p>
      <w:pPr>
        <w:pStyle w:val="ListBullet"/>
        <w:spacing w:before="20" w:after="20"/>
      </w:pPr>
      <w:hyperlink r:id="rId25">
        <w:r>
          <w:rPr>
            <w:b w:val="0"/>
            <w:i w:val="0"/>
            <w:color w:val="B8860B"/>
            <w:sz w:val="19"/>
          </w:rPr>
          <w:t>Fomenko and the Pyramid Question</w:t>
        </w:r>
      </w:hyperlink>
    </w:p>
    <w:p>
      <w:pPr>
        <w:pStyle w:val="ListBullet"/>
        <w:spacing w:before="20" w:after="20"/>
      </w:pPr>
      <w:hyperlink r:id="rId26">
        <w:r>
          <w:rPr>
            <w:b w:val="0"/>
            <w:i w:val="0"/>
            <w:color w:val="B8860B"/>
            <w:sz w:val="19"/>
          </w:rPr>
          <w:t>Pyramids: Myths vs Reality — Evidence Table (Extended)</w:t>
        </w:r>
      </w:hyperlink>
    </w:p>
    <w:p>
      <w:pPr>
        <w:pStyle w:val="Heading3"/>
      </w:pPr>
      <w:r>
        <w:t>Further Evidence</w:t>
      </w:r>
    </w:p>
    <w:p>
      <w:pPr>
        <w:pStyle w:val="ListBullet"/>
        <w:spacing w:before="20" w:after="20"/>
      </w:pPr>
      <w:hyperlink r:id="rId27">
        <w:r>
          <w:rPr>
            <w:b w:val="0"/>
            <w:i w:val="0"/>
            <w:color w:val="B8860B"/>
            <w:sz w:val="19"/>
          </w:rPr>
          <w:t>Orphan Trains, Trail of Tears, Siberian Exile — Extended Evidence</w:t>
        </w:r>
      </w:hyperlink>
    </w:p>
    <w:p>
      <w:pPr>
        <w:pStyle w:val="ListBullet"/>
        <w:spacing w:before="20" w:after="20"/>
      </w:pPr>
      <w:hyperlink r:id="rId28">
        <w:r>
          <w:rPr>
            <w:b w:val="0"/>
            <w:i w:val="0"/>
            <w:color w:val="B8860B"/>
            <w:sz w:val="19"/>
          </w:rPr>
          <w:t>Deep State breaks up the Hordian Empire (Extended)</w:t>
        </w:r>
      </w:hyperlink>
    </w:p>
    <w:p>
      <w:pPr>
        <w:pStyle w:val="ListBullet"/>
        <w:spacing w:before="20" w:after="20"/>
      </w:pPr>
      <w:hyperlink r:id="rId29">
        <w:r>
          <w:rPr>
            <w:b w:val="0"/>
            <w:i w:val="0"/>
            <w:color w:val="B8860B"/>
            <w:sz w:val="19"/>
          </w:rPr>
          <w:t>Slave Trades: Evidence and Horde-Fracture Thesis (Extended)</w:t>
        </w:r>
      </w:hyperlink>
    </w:p>
    <w:p>
      <w:pPr>
        <w:pStyle w:val="ListBullet"/>
        <w:spacing w:before="20" w:after="20"/>
      </w:pPr>
      <w:hyperlink r:id="rId30">
        <w:r>
          <w:rPr>
            <w:b w:val="0"/>
            <w:i w:val="0"/>
            <w:color w:val="B8860B"/>
            <w:sz w:val="19"/>
          </w:rPr>
          <w:t>The MudFlood and World Cataclysm: Extended Evidence</w:t>
        </w:r>
      </w:hyperlink>
    </w:p>
    <w:p>
      <w:pPr>
        <w:pStyle w:val="ListBullet"/>
        <w:spacing w:before="20" w:after="20"/>
      </w:pPr>
      <w:hyperlink r:id="rId31">
        <w:r>
          <w:rPr>
            <w:b w:val="0"/>
            <w:i w:val="0"/>
            <w:color w:val="B8860B"/>
            <w:sz w:val="19"/>
          </w:rPr>
          <w:t>Soviet Historiography: Bogdanov and Suppressed Science (Extended)</w:t>
        </w:r>
      </w:hyperlink>
    </w:p>
    <w:p>
      <w:pPr>
        <w:pStyle w:val="ListBullet"/>
        <w:spacing w:before="20" w:after="20"/>
      </w:pPr>
      <w:hyperlink r:id="rId32">
        <w:r>
          <w:rPr>
            <w:b w:val="0"/>
            <w:i w:val="0"/>
            <w:color w:val="B8860B"/>
            <w:sz w:val="19"/>
          </w:rPr>
          <w:t>British Empire as Deep State: Case Studies (Extended)</w:t>
        </w:r>
      </w:hyperlink>
    </w:p>
    <w:p/>
    <w:p>
      <w:pPr>
        <w:sectPr>
          <w:headerReference w:type="default" r:id="rId9"/>
          <w:footerReference w:type="default" r:id="rId10"/>
          <w:pgSz w:w="8640" w:h="12960"/>
          <w:pgMar w:top="1020" w:right="1134" w:bottom="1134" w:left="1134" w:header="720" w:footer="720" w:gutter="0"/>
          <w:cols w:space="720"/>
          <w:titlePg/>
          <w:docGrid w:linePitch="360"/>
        </w:sectPr>
      </w:pPr>
    </w:p>
    <w:p>
      <w:pPr>
        <w:pStyle w:val="Heading2"/>
      </w:pPr>
      <w:r>
        <w:rPr>
          <w:b/>
        </w:rPr>
        <w:t>Chapter 1: Predictive Programming: Fiction as Control</w:t>
      </w:r>
    </w:p>
    <w:p>
      <w:pPr>
        <w:jc w:val="center"/>
      </w:pPr>
      <w:r>
        <w:drawing>
          <wp:inline xmlns:a="http://schemas.openxmlformats.org/drawingml/2006/main" xmlns:pic="http://schemas.openxmlformats.org/drawingml/2006/pictur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3657600" cy="2438400"/>
                    </a:xfrm>
                    <a:prstGeom prst="rect"/>
                  </pic:spPr>
                </pic:pic>
              </a:graphicData>
            </a:graphic>
          </wp:inline>
        </w:drawing>
      </w:r>
    </w:p>
    <w:p>
      <w:pPr>
        <w:pStyle w:val="Caption"/>
      </w:pPr>
      <w:r>
        <w:t>Predictive Programming</w:t>
      </w:r>
    </w:p>
    <w:p>
      <w:r>
        <w:rPr>
          <w:b w:val="0"/>
          <w:i w:val="0"/>
        </w:rPr>
      </w:r>
      <w:r>
        <w:rPr>
          <w:b/>
          <w:i w:val="0"/>
        </w:rPr>
        <w:t>Predictive programming</w:t>
      </w:r>
      <w:r>
        <w:rPr>
          <w:b w:val="0"/>
          <w:i w:val="0"/>
        </w:rPr>
        <w:t xml:space="preserve"> embeds historical truths or planned events into entertainment so audiences fail to recognise reality or dismiss it as coincidence. It operates in two directions: </w:t>
      </w:r>
      <w:r>
        <w:rPr>
          <w:b/>
          <w:i w:val="0"/>
        </w:rPr>
        <w:t>forward programming</w:t>
      </w:r>
      <w:r>
        <w:rPr>
          <w:b w:val="0"/>
          <w:i w:val="0"/>
        </w:rPr>
        <w:t xml:space="preserve"> (announcing planned events) and </w:t>
      </w:r>
      <w:r>
        <w:rPr>
          <w:b/>
          <w:i w:val="0"/>
        </w:rPr>
        <w:t>backward programming</w:t>
      </w:r>
      <w:r>
        <w:rPr>
          <w:b w:val="0"/>
          <w:i w:val="0"/>
        </w:rPr>
        <w:t xml:space="preserve"> (reframing actual events as myth). This article focuses on backward programming.</w:t>
      </w:r>
    </w:p>
    <w:p>
      <w:pPr>
        <w:pStyle w:val="Heading2"/>
      </w:pPr>
      <w:r>
        <w:t>The Wizard of Oz: Atlantis as Children's Entertainment</w:t>
      </w:r>
    </w:p>
    <w:p>
      <w:r>
        <w:rPr>
          <w:b w:val="0"/>
          <w:i w:val="0"/>
        </w:rPr>
        <w:t xml:space="preserve">The 1900 novel and </w:t>
      </w:r>
      <w:hyperlink r:id="rId36">
        <w:r>
          <w:rPr>
            <w:b w:val="0"/>
            <w:i w:val="0"/>
            <w:color w:val="B8860B"/>
          </w:rPr>
          <w:t>1939 film</w:t>
        </w:r>
      </w:hyperlink>
      <w:r>
        <w:rPr>
          <w:b w:val="0"/>
          <w:i w:val="0"/>
        </w:rPr>
        <w:t xml:space="preserve"> encode the structure of </w:t>
      </w:r>
      <w:hyperlink r:id="rId37">
        <w:r>
          <w:rPr>
            <w:b w:val="0"/>
            <w:i w:val="0"/>
            <w:color w:val="B8860B"/>
          </w:rPr>
          <w:t>Atlantis</w:t>
        </w:r>
      </w:hyperlink>
      <w:r>
        <w:rPr>
          <w:b w:val="0"/>
          <w:i w:val="0"/>
        </w:rPr>
        <w:t xml:space="preserve">: </w:t>
      </w:r>
      <w:r>
        <w:rPr>
          <w:b/>
          <w:i w:val="0"/>
        </w:rPr>
        <w:t>Emerald City</w:t>
      </w:r>
      <w:r>
        <w:rPr>
          <w:b w:val="0"/>
          <w:i w:val="0"/>
        </w:rPr>
        <w:t xml:space="preserve"> = Poseida (crystal capital); </w:t>
      </w:r>
      <w:r>
        <w:rPr>
          <w:b/>
          <w:i w:val="0"/>
        </w:rPr>
        <w:t>Yellow Brick Road</w:t>
      </w:r>
      <w:r>
        <w:rPr>
          <w:b w:val="0"/>
          <w:i w:val="0"/>
        </w:rPr>
        <w:t xml:space="preserve"> = the Bifröst plasma bridge; </w:t>
      </w:r>
      <w:r>
        <w:rPr>
          <w:b/>
          <w:i w:val="0"/>
        </w:rPr>
        <w:t>Wizard behind the curtain</w:t>
      </w:r>
      <w:r>
        <w:rPr>
          <w:b w:val="0"/>
          <w:i w:val="0"/>
        </w:rPr>
        <w:t xml:space="preserve"> = the priest class hoarding knowledge. "Pay no attention to the man behind the curtain" presents authority as theatrical.</w:t>
      </w:r>
    </w:p>
    <w:p>
      <w:pPr>
        <w:pStyle w:val="Heading2"/>
      </w:pPr>
      <w:r>
        <w:t>Giants: Memory Converted to Fairy Tale</w:t>
      </w:r>
    </w:p>
    <w:p>
      <w:r>
        <w:rPr>
          <w:b w:val="0"/>
          <w:i w:val="0"/>
        </w:rPr>
        <w:t xml:space="preserve">Eliminating giant populations required eliminating memory of them — converting encounters into </w:t>
      </w:r>
      <w:r>
        <w:rPr>
          <w:b/>
          <w:i w:val="0"/>
        </w:rPr>
        <w:t>children's stories</w:t>
      </w:r>
      <w:r>
        <w:rPr>
          <w:b w:val="0"/>
          <w:i w:val="0"/>
        </w:rPr>
        <w:t xml:space="preserve"> framing giants as monsters: </w:t>
      </w:r>
      <w:r>
        <w:rPr>
          <w:b w:val="0"/>
          <w:i/>
        </w:rPr>
        <w:t>Jack the Giant Killer</w:t>
      </w:r>
      <w:r>
        <w:rPr>
          <w:b w:val="0"/>
          <w:i w:val="0"/>
        </w:rPr>
        <w:t xml:space="preserve"> (1711), </w:t>
      </w:r>
      <w:r>
        <w:rPr>
          <w:b w:val="0"/>
          <w:i/>
        </w:rPr>
        <w:t>Jack and the Beanstalk</w:t>
      </w:r>
      <w:r>
        <w:rPr>
          <w:b w:val="0"/>
          <w:i w:val="0"/>
        </w:rPr>
        <w:t xml:space="preserve"> (1807 — 32 years after Pugachev's defeat), </w:t>
      </w:r>
      <w:r>
        <w:rPr>
          <w:b w:val="0"/>
          <w:i/>
        </w:rPr>
        <w:t>The BFG</w:t>
      </w:r>
      <w:r>
        <w:rPr>
          <w:b w:val="0"/>
          <w:i w:val="0"/>
        </w:rPr>
        <w:t xml:space="preserve">, </w:t>
      </w:r>
      <w:r>
        <w:rPr>
          <w:b w:val="0"/>
          <w:i/>
        </w:rPr>
        <w:t>Attack on Titan</w:t>
      </w:r>
      <w:r>
        <w:rPr>
          <w:b w:val="0"/>
          <w:i w:val="0"/>
        </w:rPr>
        <w:t xml:space="preserve">, Harry Potter's Frost Giants. Consistency across centuries suggests coordination. See </w:t>
      </w:r>
      <w:hyperlink r:id="rId38">
        <w:r>
          <w:rPr>
            <w:b w:val="0"/>
            <w:i w:val="0"/>
            <w:color w:val="B8860B"/>
          </w:rPr>
          <w:t>Giants of the Rus-Horde</w:t>
        </w:r>
      </w:hyperlink>
      <w:r>
        <w:rPr>
          <w:b w:val="0"/>
          <w:i w:val="0"/>
        </w:rPr>
        <w:t>.</w:t>
      </w:r>
    </w:p>
    <w:p>
      <w:pPr>
        <w:pStyle w:val="Heading2"/>
      </w:pPr>
      <w:r>
        <w:t>War of the Worlds: Real Event as Fiction</w:t>
      </w:r>
    </w:p>
    <w:p>
      <w:r>
        <w:rPr>
          <w:b w:val="0"/>
          <w:i w:val="0"/>
        </w:rPr>
        <w:t xml:space="preserve">H.G. Wells </w:t>
      </w:r>
      <w:hyperlink r:id="rId39">
        <w:r>
          <w:rPr>
            <w:b w:val="0"/>
            <w:i w:val="0"/>
            <w:color w:val="B8860B"/>
          </w:rPr>
          <w:t>demonstrably plagiarized</w:t>
        </w:r>
      </w:hyperlink>
      <w:r>
        <w:rPr>
          <w:b w:val="0"/>
          <w:i w:val="0"/>
        </w:rPr>
        <w:t xml:space="preserve"> Florence Deeks. His </w:t>
      </w:r>
      <w:r>
        <w:rPr>
          <w:b/>
          <w:i w:val="0"/>
        </w:rPr>
        <w:t>heat ray</w:t>
      </w:r>
      <w:r>
        <w:rPr>
          <w:b w:val="0"/>
          <w:i w:val="0"/>
        </w:rPr>
        <w:t xml:space="preserve"> — invisible, capacitor-driven — matches the U.S. Military's </w:t>
      </w:r>
      <w:hyperlink r:id="rId40">
        <w:r>
          <w:rPr>
            <w:b w:val="0"/>
            <w:i w:val="0"/>
            <w:color w:val="B8860B"/>
          </w:rPr>
          <w:t>Active Denial System</w:t>
        </w:r>
      </w:hyperlink>
      <w:r>
        <w:rPr>
          <w:b w:val="0"/>
          <w:i w:val="0"/>
        </w:rPr>
        <w:t xml:space="preserve">; adaptations turned it into a visible laser; the 2017 sequel restored the Wellsian version one year after Havana syndrome. Before Wells, Mars fiction portrayed Martians as benign; Wells deliberately inverted this. </w:t>
      </w:r>
      <w:hyperlink r:id="rId41">
        <w:r>
          <w:rPr>
            <w:b w:val="0"/>
            <w:i w:val="0"/>
            <w:color w:val="B8860B"/>
          </w:rPr>
          <w:t>Orson Welles' 1938 broadcast</w:t>
        </w:r>
      </w:hyperlink>
      <w:r>
        <w:rPr>
          <w:b w:val="0"/>
          <w:i w:val="0"/>
        </w:rPr>
        <w:t xml:space="preserve"> used "Revelation of the Method" — declaring "this is fiction" while broadcasting realistic reports. Wells's </w:t>
      </w:r>
      <w:r>
        <w:rPr>
          <w:b/>
          <w:i w:val="0"/>
        </w:rPr>
        <w:t>red weed</w:t>
      </w:r>
      <w:r>
        <w:rPr>
          <w:b w:val="0"/>
          <w:i w:val="0"/>
        </w:rPr>
        <w:t xml:space="preserve"> appeared six years before the </w:t>
      </w:r>
      <w:hyperlink r:id="rId42">
        <w:r>
          <w:rPr>
            <w:b w:val="0"/>
            <w:i w:val="0"/>
            <w:color w:val="B8860B"/>
          </w:rPr>
          <w:t>American chestnut blight</w:t>
        </w:r>
      </w:hyperlink>
      <w:r>
        <w:rPr>
          <w:b w:val="0"/>
          <w:i w:val="0"/>
        </w:rPr>
        <w:t xml:space="preserve"> (1904), killing four billion trees.</w:t>
      </w:r>
    </w:p>
    <w:p>
      <w:pPr>
        <w:pStyle w:val="Heading2"/>
      </w:pPr>
      <w:r>
        <w:t>Death on Mars: The Research Trap</w:t>
      </w:r>
    </w:p>
    <w:p>
      <w:r>
        <w:rPr>
          <w:b w:val="0"/>
          <w:i w:val="0"/>
        </w:rPr>
        <w:t xml:space="preserve">Brandenburg's </w:t>
      </w:r>
      <w:r>
        <w:rPr>
          <w:b w:val="0"/>
          <w:i/>
        </w:rPr>
        <w:t>Death on Mars</w:t>
      </w:r>
      <w:r>
        <w:rPr>
          <w:b w:val="0"/>
          <w:i w:val="0"/>
        </w:rPr>
        <w:t xml:space="preserve"> (2015) exemplifies the </w:t>
      </w:r>
      <w:r>
        <w:rPr>
          <w:b/>
          <w:i w:val="0"/>
        </w:rPr>
        <w:t>research trap</w:t>
      </w:r>
      <w:r>
        <w:rPr>
          <w:b w:val="0"/>
          <w:i w:val="0"/>
        </w:rPr>
        <w:t xml:space="preserve">: books attracting genuine researchers with credentials and intriguing premises, investing hundreds of pages in technical jargon, then delivering no useful evidence at the conclusion. After 300+ pages of isotope analysis and Cold War anecdotes, Brandenburg concludes: </w:t>
      </w:r>
      <w:r>
        <w:rPr>
          <w:b w:val="0"/>
          <w:i/>
        </w:rPr>
        <w:t>"No roads or layout of ruins… are visible."</w:t>
      </w:r>
      <w:r>
        <w:rPr>
          <w:b w:val="0"/>
          <w:i w:val="0"/>
        </w:rPr>
        <w:t xml:space="preserve"> Most remains </w:t>
      </w:r>
      <w:r>
        <w:rPr>
          <w:b w:val="0"/>
          <w:i/>
        </w:rPr>
        <w:t>"are likely buried under many meters of rubble."</w:t>
      </w:r>
      <w:r>
        <w:rPr>
          <w:b w:val="0"/>
          <w:i w:val="0"/>
        </w:rPr>
        <w:t xml:space="preserve"> </w:t>
      </w:r>
      <w:r>
        <w:rPr>
          <w:b/>
          <w:i w:val="0"/>
        </w:rPr>
        <w:t>No photographs. No streets. No artifacts.</w:t>
      </w:r>
      <w:r>
        <w:rPr>
          <w:b w:val="0"/>
          <w:i w:val="0"/>
        </w:rPr>
        <w:t xml:space="preserve"> The "Face on Mars" is a 3x2 km mound; the "D&amp;M Pyramid" a hill with one area of "collapsed brickwork."</w:t>
      </w:r>
    </w:p>
    <w:p>
      <w:r>
        <w:rPr>
          <w:b w:val="0"/>
          <w:i w:val="0"/>
        </w:rPr>
        <w:t xml:space="preserve">Brandenburg anchors his event at ~180 million years ago — </w:t>
      </w:r>
      <w:r>
        <w:rPr>
          <w:b/>
          <w:i w:val="0"/>
        </w:rPr>
        <w:t>unfalsifiable</w:t>
      </w:r>
      <w:r>
        <w:rPr>
          <w:b w:val="0"/>
          <w:i w:val="0"/>
        </w:rPr>
        <w:t xml:space="preserve">, irrelevant to New Chronology or Saturnian frameworks, compatible with mainstream dating. His DIA contacts told him: </w:t>
      </w:r>
      <w:r>
        <w:rPr>
          <w:b w:val="0"/>
          <w:i/>
        </w:rPr>
        <w:t>"Why don't you publish?"</w:t>
      </w:r>
      <w:r>
        <w:rPr>
          <w:b w:val="0"/>
          <w:i w:val="0"/>
        </w:rPr>
        <w:t xml:space="preserve"> — managed disclosure. The book was </w:t>
      </w:r>
      <w:r>
        <w:rPr>
          <w:b/>
          <w:i w:val="0"/>
        </w:rPr>
        <w:t>allowed</w:t>
      </w:r>
      <w:r>
        <w:rPr>
          <w:b w:val="0"/>
          <w:i w:val="0"/>
        </w:rPr>
        <w:t xml:space="preserve"> precisely because it leads nowhere. See: </w:t>
      </w:r>
      <w:hyperlink r:id="rId43">
        <w:r>
          <w:rPr>
            <w:b w:val="0"/>
            <w:i w:val="0"/>
            <w:color w:val="B8860B"/>
          </w:rPr>
          <w:t>The Mars Catastrophe</w:t>
        </w:r>
      </w:hyperlink>
      <w:r>
        <w:rPr>
          <w:b w:val="0"/>
          <w:i w:val="0"/>
        </w:rPr>
        <w:t>.</w:t>
      </w:r>
    </w:p>
    <w:p>
      <w:pPr>
        <w:pStyle w:val="Heading2"/>
      </w:pPr>
      <w:r>
        <w:t>Pre-Brandenburg Mars Programming</w:t>
      </w:r>
    </w:p>
    <w:p>
      <w:r>
        <w:rPr>
          <w:b w:val="0"/>
          <w:i w:val="0"/>
        </w:rPr>
        <w:t xml:space="preserve">Mars fiction </w:t>
      </w:r>
      <w:r>
        <w:rPr>
          <w:b w:val="0"/>
          <w:i/>
        </w:rPr>
        <w:t>before</w:t>
      </w:r>
      <w:r>
        <w:rPr>
          <w:b w:val="0"/>
          <w:i w:val="0"/>
        </w:rPr>
        <w:t xml:space="preserve"> Brandenburg prepared audiences: </w:t>
      </w:r>
      <w:r>
        <w:rPr>
          <w:b/>
          <w:i w:val="0"/>
        </w:rPr>
        <w:t>Rocketship X-M</w:t>
      </w:r>
      <w:r>
        <w:rPr>
          <w:b w:val="0"/>
          <w:i w:val="0"/>
        </w:rPr>
        <w:t xml:space="preserve"> (1950) — dead civilisation with Geiger counters registering nuclear war; </w:t>
      </w:r>
      <w:r>
        <w:rPr>
          <w:b/>
          <w:i w:val="0"/>
        </w:rPr>
        <w:t>The Man Who Fell to Earth</w:t>
      </w:r>
      <w:r>
        <w:rPr>
          <w:b w:val="0"/>
          <w:i w:val="0"/>
        </w:rPr>
        <w:t xml:space="preserve"> (1963/1976) — humanoid refugee from nuclear-devastated planet; </w:t>
      </w:r>
      <w:r>
        <w:rPr>
          <w:b/>
          <w:i w:val="0"/>
        </w:rPr>
        <w:t>Star Wars</w:t>
      </w:r>
      <w:r>
        <w:rPr>
          <w:b w:val="0"/>
          <w:i w:val="0"/>
        </w:rPr>
        <w:t xml:space="preserve"> (1977) — Brandenburg explicitly compared Mars to Alderaan. Brandenburg catalogued these films without recognising he was participating in the same pattern.</w:t>
      </w:r>
    </w:p>
    <w:p>
      <w:pPr>
        <w:pStyle w:val="Heading2"/>
      </w:pPr>
      <w:r>
        <w:t>Star Metal: Historical Advantage as Fantasy</w:t>
      </w:r>
    </w:p>
    <w:p>
      <w:r>
        <w:rPr>
          <w:b w:val="0"/>
          <w:i w:val="0"/>
        </w:rPr>
        <w:t xml:space="preserve">The </w:t>
      </w:r>
      <w:hyperlink r:id="rId44">
        <w:r>
          <w:rPr>
            <w:b w:val="0"/>
            <w:i w:val="0"/>
            <w:color w:val="B8860B"/>
          </w:rPr>
          <w:t>Yaroslavl meteorite of 1421</w:t>
        </w:r>
      </w:hyperlink>
      <w:r>
        <w:rPr>
          <w:b w:val="0"/>
          <w:i w:val="0"/>
        </w:rPr>
        <w:t xml:space="preserve"> provided the Rus-Horde with Damascus steel no conventional armour could withstand. Laundered into fantasy: </w:t>
      </w:r>
      <w:r>
        <w:rPr>
          <w:b w:val="0"/>
          <w:i/>
        </w:rPr>
        <w:t>Conan Exiles</w:t>
      </w:r>
      <w:r>
        <w:rPr>
          <w:b w:val="0"/>
          <w:i w:val="0"/>
        </w:rPr>
        <w:t xml:space="preserve"> (Star Metal), </w:t>
      </w:r>
      <w:r>
        <w:rPr>
          <w:b w:val="0"/>
          <w:i/>
        </w:rPr>
        <w:t>Skyrim</w:t>
      </w:r>
      <w:r>
        <w:rPr>
          <w:b w:val="0"/>
          <w:i w:val="0"/>
        </w:rPr>
        <w:t xml:space="preserve"> (Ebony), </w:t>
      </w:r>
      <w:r>
        <w:rPr>
          <w:b w:val="0"/>
          <w:i/>
        </w:rPr>
        <w:t>The Witcher</w:t>
      </w:r>
      <w:r>
        <w:rPr>
          <w:b w:val="0"/>
          <w:i w:val="0"/>
        </w:rPr>
        <w:t xml:space="preserve"> (Meteorite Silver), </w:t>
      </w:r>
      <w:r>
        <w:rPr>
          <w:b w:val="0"/>
          <w:i/>
        </w:rPr>
        <w:t>Game of Thrones</w:t>
      </w:r>
      <w:r>
        <w:rPr>
          <w:b w:val="0"/>
          <w:i w:val="0"/>
        </w:rPr>
        <w:t xml:space="preserve"> (Dawn), </w:t>
      </w:r>
      <w:r>
        <w:rPr>
          <w:b w:val="0"/>
          <w:i/>
        </w:rPr>
        <w:t>Lord of the Rings</w:t>
      </w:r>
      <w:r>
        <w:rPr>
          <w:b w:val="0"/>
          <w:i w:val="0"/>
        </w:rPr>
        <w:t xml:space="preserve"> (Mithril). Saturating entertainment with star metal as fantasy makes historical reality invisible.</w:t>
      </w:r>
    </w:p>
    <w:p>
      <w:pPr>
        <w:pStyle w:val="Heading2"/>
      </w:pPr>
      <w:r>
        <w:t>Harry Potter and The Matrix</w:t>
      </w:r>
    </w:p>
    <w:p>
      <w:r>
        <w:rPr>
          <w:b w:val="0"/>
          <w:i w:val="0"/>
        </w:rPr>
      </w:r>
      <w:r>
        <w:rPr>
          <w:b/>
          <w:i w:val="0"/>
        </w:rPr>
        <w:t>Harry Potter</w:t>
      </w:r>
      <w:r>
        <w:rPr>
          <w:b w:val="0"/>
          <w:i w:val="0"/>
        </w:rPr>
        <w:t xml:space="preserve"> functions as mass-initiation propaganda: Hogwarts = boarding school trauma + occult initiation; "Muggles" = humanity taught its inherent power is fiction. </w:t>
      </w:r>
      <w:r>
        <w:rPr>
          <w:b/>
          <w:i w:val="0"/>
        </w:rPr>
        <w:t>The Matrix</w:t>
      </w:r>
      <w:r>
        <w:rPr>
          <w:b w:val="0"/>
          <w:i w:val="0"/>
        </w:rPr>
        <w:t xml:space="preserve"> (1999) presents "resistance" as prepackaged control — the "red pill" suggests awakening is binary, and Zion creates the illusion of freedom within the system.</w:t>
      </w:r>
    </w:p>
    <w:p>
      <w:pPr>
        <w:pStyle w:val="Heading2"/>
      </w:pPr>
      <w:r>
        <w:t>Latin in SF / Stargate / AI Takeover</w:t>
      </w:r>
    </w:p>
    <w:p>
      <w:r>
        <w:rPr>
          <w:b w:val="0"/>
          <w:i w:val="0"/>
        </w:rPr>
      </w:r>
      <w:r>
        <w:rPr>
          <w:b/>
          <w:i w:val="0"/>
        </w:rPr>
        <w:t>Latin</w:t>
      </w:r>
      <w:r>
        <w:rPr>
          <w:b w:val="0"/>
          <w:i w:val="0"/>
        </w:rPr>
        <w:t xml:space="preserve"> consistently appears in SF as the language of beings "from above" — encoding the </w:t>
      </w:r>
      <w:hyperlink r:id="rId45">
        <w:r>
          <w:rPr>
            <w:b w:val="0"/>
            <w:i w:val="0"/>
            <w:color w:val="B8860B"/>
          </w:rPr>
          <w:t>Deep State's operational language</w:t>
        </w:r>
      </w:hyperlink>
      <w:r>
        <w:rPr>
          <w:b w:val="0"/>
          <w:i w:val="0"/>
        </w:rPr>
        <w:t xml:space="preserve">. </w:t>
      </w:r>
      <w:r>
        <w:rPr>
          <w:b/>
          <w:i w:val="0"/>
        </w:rPr>
        <w:t>Stargate</w:t>
      </w:r>
      <w:r>
        <w:rPr>
          <w:b w:val="0"/>
          <w:i w:val="0"/>
        </w:rPr>
        <w:t xml:space="preserve"> (1994) mythifies pyramid function as "ancient aliens," permanently capturing the topic as "conspiracy theory." </w:t>
      </w:r>
      <w:r>
        <w:rPr>
          <w:b/>
          <w:i w:val="0"/>
        </w:rPr>
        <w:t>AI takeover narratives</w:t>
      </w:r>
      <w:r>
        <w:rPr>
          <w:b w:val="0"/>
          <w:i w:val="0"/>
        </w:rPr>
        <w:t xml:space="preserve"> (</w:t>
      </w:r>
      <w:r>
        <w:rPr>
          <w:b w:val="0"/>
          <w:i/>
        </w:rPr>
        <w:t>Terminator</w:t>
      </w:r>
      <w:r>
        <w:rPr>
          <w:b w:val="0"/>
          <w:i w:val="0"/>
        </w:rPr>
        <w:t xml:space="preserve">, </w:t>
      </w:r>
      <w:r>
        <w:rPr>
          <w:b w:val="0"/>
          <w:i/>
        </w:rPr>
        <w:t>Wall-E</w:t>
      </w:r>
      <w:r>
        <w:rPr>
          <w:b w:val="0"/>
          <w:i w:val="0"/>
        </w:rPr>
        <w:t xml:space="preserve">, </w:t>
      </w:r>
      <w:r>
        <w:rPr>
          <w:b w:val="0"/>
          <w:i/>
        </w:rPr>
        <w:t>I, Robot</w:t>
      </w:r>
      <w:r>
        <w:rPr>
          <w:b w:val="0"/>
          <w:i w:val="0"/>
        </w:rPr>
        <w:t>) may project what has already happened.</w:t>
      </w:r>
    </w:p>
    <w:p>
      <w:pPr>
        <w:pStyle w:val="Heading2"/>
      </w:pPr>
      <w:r>
        <w:t>9/11: The Most Documented Case</w:t>
      </w:r>
    </w:p>
    <w:p>
      <w:r>
        <w:rPr>
          <w:b w:val="0"/>
          <w:i w:val="0"/>
        </w:rPr>
        <w:t xml:space="preserve">Pre-9/11 media depicting Twin Towers destruction: </w:t>
      </w:r>
      <w:r>
        <w:rPr>
          <w:b w:val="0"/>
          <w:i/>
        </w:rPr>
        <w:t>The Simpsons</w:t>
      </w:r>
      <w:r>
        <w:rPr>
          <w:b w:val="0"/>
          <w:i w:val="0"/>
        </w:rPr>
        <w:t xml:space="preserve"> (1997), </w:t>
      </w:r>
      <w:r>
        <w:rPr>
          <w:b w:val="0"/>
          <w:i/>
        </w:rPr>
        <w:t>The Matrix</w:t>
      </w:r>
      <w:r>
        <w:rPr>
          <w:b w:val="0"/>
          <w:i w:val="0"/>
        </w:rPr>
        <w:t xml:space="preserve"> (1999 — Neo's passport expires September 11, 2001), numerous album covers. H.G. Wells predicted Islam would trigger a "Holy War" requiring World Government suppression — off by two decades, but consistent with long-term planning.</w:t>
      </w:r>
    </w:p>
    <w:p>
      <w:pPr>
        <w:pStyle w:val="Heading2"/>
      </w:pPr>
      <w:r>
        <w:t>The Counter-Pattern</w:t>
      </w:r>
    </w:p>
    <w:p>
      <w:r>
        <w:rPr>
          <w:b w:val="0"/>
          <w:i w:val="0"/>
        </w:rPr>
        <w:t xml:space="preserve">The Pyramidal Empire's reliance on "Revelation of the Method" has backfired. A population conditioned to recognise predictive programming processes disclosure as </w:t>
      </w:r>
      <w:r>
        <w:rPr>
          <w:b/>
          <w:i w:val="0"/>
        </w:rPr>
        <w:t>warning</w:t>
      </w:r>
      <w:r>
        <w:rPr>
          <w:b w:val="0"/>
          <w:i w:val="0"/>
        </w:rPr>
        <w:t>, not consent. Pandemic simulations (Event 201, 2019) were openly discussed before COVID-19; climate emergency declarations follow the same template as 1666 apocalypse prophecies. The control tool has become a signal intelligence channel.</w:t>
      </w:r>
    </w:p>
    <w:p>
      <w:pPr>
        <w:pBdr>
          <w:bottom w:val="single" w:sz="6" w:space="1" w:color="CCCCCC"/>
        </w:pBdr>
      </w:pPr>
    </w:p>
    <w:p>
      <w:pPr>
        <w:pStyle w:val="Heading2"/>
      </w:pPr>
      <w:r>
        <w:t>Appendix: Tolkien Source Mapping Tables</w:t>
      </w:r>
    </w:p>
    <w:p>
      <w:r>
        <w:rPr>
          <w:b w:val="0"/>
          <w:i w:val="0"/>
        </w:rPr>
        <w:t xml:space="preserve">For the full Tolkien analysis, see </w:t>
      </w:r>
      <w:hyperlink r:id="rId46">
        <w:r>
          <w:rPr>
            <w:b w:val="0"/>
            <w:i w:val="0"/>
            <w:color w:val="B8860B"/>
          </w:rPr>
          <w:t>Predictive Programming: Literature</w:t>
        </w:r>
      </w:hyperlink>
      <w:r>
        <w:rPr>
          <w:b w:val="0"/>
          <w:i w:val="0"/>
        </w:rPr>
        <w:t xml:space="preserve">. These tables document the systematic reassembly of existing myths in </w:t>
      </w:r>
      <w:r>
        <w:rPr>
          <w:b w:val="0"/>
          <w:i/>
        </w:rPr>
        <w:t>The Silmarillion</w:t>
      </w:r>
      <w:r>
        <w:rPr>
          <w:b w:val="0"/>
          <w:i w:val="0"/>
        </w:rPr>
        <w:t xml:space="preserve"> and the structural parallel with Shakespeare (Fomenko).</w:t>
      </w:r>
    </w:p>
    <w:p>
      <w:r>
        <w:rPr>
          <w:b w:val="0"/>
          <w:i w:val="0"/>
        </w:rPr>
      </w:r>
      <w:r>
        <w:rPr>
          <w:b/>
          <w:i w:val="0"/>
        </w:rPr>
        <w:t>Silmarillion elements and sources:</w:t>
      </w:r>
      <w:r>
        <w:rPr>
          <w:b w:val="0"/>
          <w:i w:val="0"/>
        </w:rPr>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367"/>
        <w:gridCol w:w="1509"/>
        <w:gridCol w:w="3497"/>
      </w:tblGrid>
      <w:tr>
        <w:tc>
          <w:tcPr>
            <w:tcW w:type="dxa" w:w="1367"/>
            <w:shd w:val="clear" w:color="auto" w:fill="F0F0F0"/>
          </w:tcPr>
          <w:p>
            <w:pPr>
              <w:spacing w:before="20" w:after="20"/>
              <w:jc w:val="center"/>
            </w:pPr>
            <w:r>
              <w:rPr>
                <w:rFonts w:ascii="Libre Franklin" w:hAnsi="Libre Franklin"/>
                <w:b/>
                <w:sz w:val="18"/>
              </w:rPr>
              <w:t>Silmarillion Element</w:t>
            </w:r>
          </w:p>
        </w:tc>
        <w:tc>
          <w:tcPr>
            <w:tcW w:type="dxa" w:w="1509"/>
            <w:shd w:val="clear" w:color="auto" w:fill="F0F0F0"/>
          </w:tcPr>
          <w:p>
            <w:pPr>
              <w:spacing w:before="20" w:after="20"/>
              <w:jc w:val="center"/>
            </w:pPr>
            <w:r>
              <w:rPr>
                <w:rFonts w:ascii="Libre Franklin" w:hAnsi="Libre Franklin"/>
                <w:b/>
                <w:sz w:val="18"/>
              </w:rPr>
              <w:t>Source</w:t>
            </w:r>
          </w:p>
        </w:tc>
        <w:tc>
          <w:tcPr>
            <w:tcW w:type="dxa" w:w="3497"/>
            <w:shd w:val="clear" w:color="auto" w:fill="F0F0F0"/>
          </w:tcPr>
          <w:p>
            <w:pPr>
              <w:spacing w:before="20" w:after="20"/>
              <w:jc w:val="center"/>
            </w:pPr>
            <w:r>
              <w:rPr>
                <w:rFonts w:ascii="Libre Franklin" w:hAnsi="Libre Franklin"/>
                <w:b/>
                <w:sz w:val="18"/>
              </w:rPr>
              <w:t>Parallel</w:t>
            </w:r>
          </w:p>
        </w:tc>
      </w:tr>
      <w:tr>
        <w:tc>
          <w:tcPr>
            <w:tcW w:type="dxa" w:w="1367"/>
          </w:tcPr>
          <w:p>
            <w:pPr>
              <w:spacing w:before="20" w:after="20"/>
            </w:pPr>
            <w:r>
              <w:rPr>
                <w:b w:val="0"/>
                <w:i w:val="0"/>
                <w:sz w:val="18"/>
              </w:rPr>
              <w:t>Ainulindalë (creation through music)</w:t>
            </w:r>
          </w:p>
        </w:tc>
        <w:tc>
          <w:tcPr>
            <w:tcW w:type="dxa" w:w="1509"/>
          </w:tcPr>
          <w:p>
            <w:pPr>
              <w:spacing w:before="20" w:after="20"/>
            </w:pPr>
            <w:r>
              <w:rPr>
                <w:b w:val="0"/>
                <w:i w:val="0"/>
                <w:sz w:val="18"/>
              </w:rPr>
              <w:t>Kalevala Rune I</w:t>
            </w:r>
          </w:p>
        </w:tc>
        <w:tc>
          <w:tcPr>
            <w:tcW w:type="dxa" w:w="3497"/>
          </w:tcPr>
          <w:p>
            <w:pPr>
              <w:spacing w:before="20" w:after="20"/>
            </w:pPr>
            <w:r>
              <w:rPr>
                <w:b w:val="0"/>
                <w:i w:val="0"/>
                <w:sz w:val="18"/>
              </w:rPr>
              <w:t>Ilmatar creates through singing → Ilúvatar creates through music. "Ilmatar" → "Ilúvatar"</w:t>
            </w:r>
          </w:p>
        </w:tc>
      </w:tr>
      <w:tr>
        <w:tc>
          <w:tcPr>
            <w:tcW w:type="dxa" w:w="1367"/>
          </w:tcPr>
          <w:p>
            <w:pPr>
              <w:spacing w:before="20" w:after="20"/>
            </w:pPr>
            <w:r>
              <w:rPr>
                <w:b w:val="0"/>
                <w:i w:val="0"/>
                <w:sz w:val="18"/>
              </w:rPr>
              <w:t>The Silmarils</w:t>
            </w:r>
          </w:p>
        </w:tc>
        <w:tc>
          <w:tcPr>
            <w:tcW w:type="dxa" w:w="1509"/>
          </w:tcPr>
          <w:p>
            <w:pPr>
              <w:spacing w:before="20" w:after="20"/>
            </w:pPr>
            <w:r>
              <w:rPr>
                <w:b w:val="0"/>
                <w:i w:val="0"/>
                <w:sz w:val="18"/>
              </w:rPr>
              <w:t>Kalevala Rune X: the Sampo</w:t>
            </w:r>
          </w:p>
        </w:tc>
        <w:tc>
          <w:tcPr>
            <w:tcW w:type="dxa" w:w="3497"/>
          </w:tcPr>
          <w:p>
            <w:pPr>
              <w:spacing w:before="20" w:after="20"/>
            </w:pPr>
            <w:r>
              <w:rPr>
                <w:b w:val="0"/>
                <w:i w:val="0"/>
                <w:sz w:val="18"/>
              </w:rPr>
              <w:t>Forged by greatest craftsman, stolen by dark northern power, cause all wars</w:t>
            </w:r>
          </w:p>
        </w:tc>
      </w:tr>
      <w:tr>
        <w:tc>
          <w:tcPr>
            <w:tcW w:type="dxa" w:w="1367"/>
          </w:tcPr>
          <w:p>
            <w:pPr>
              <w:spacing w:before="20" w:after="20"/>
            </w:pPr>
            <w:r>
              <w:rPr>
                <w:b w:val="0"/>
                <w:i w:val="0"/>
                <w:sz w:val="18"/>
              </w:rPr>
              <w:t>Túrin Turambar</w:t>
            </w:r>
          </w:p>
        </w:tc>
        <w:tc>
          <w:tcPr>
            <w:tcW w:type="dxa" w:w="1509"/>
          </w:tcPr>
          <w:p>
            <w:pPr>
              <w:spacing w:before="20" w:after="20"/>
            </w:pPr>
            <w:r>
              <w:rPr>
                <w:b w:val="0"/>
                <w:i w:val="0"/>
                <w:sz w:val="18"/>
              </w:rPr>
              <w:t>Kalevala Runes XXXI–XXXVI: Kullervo</w:t>
            </w:r>
          </w:p>
        </w:tc>
        <w:tc>
          <w:tcPr>
            <w:tcW w:type="dxa" w:w="3497"/>
          </w:tcPr>
          <w:p>
            <w:pPr>
              <w:spacing w:before="20" w:after="20"/>
            </w:pPr>
            <w:r>
              <w:rPr>
                <w:b w:val="0"/>
                <w:i w:val="0"/>
                <w:sz w:val="18"/>
              </w:rPr>
              <w:t>Tolkien's only acknowledged borrowing. Verbatim structural identity</w:t>
            </w:r>
          </w:p>
        </w:tc>
      </w:tr>
      <w:tr>
        <w:tc>
          <w:tcPr>
            <w:tcW w:type="dxa" w:w="1367"/>
          </w:tcPr>
          <w:p>
            <w:pPr>
              <w:spacing w:before="20" w:after="20"/>
            </w:pPr>
            <w:r>
              <w:rPr>
                <w:b w:val="0"/>
                <w:i w:val="0"/>
                <w:sz w:val="18"/>
              </w:rPr>
              <w:t>Beren's hand bitten off by Carcharoth</w:t>
            </w:r>
          </w:p>
        </w:tc>
        <w:tc>
          <w:tcPr>
            <w:tcW w:type="dxa" w:w="1509"/>
          </w:tcPr>
          <w:p>
            <w:pPr>
              <w:spacing w:before="20" w:after="20"/>
            </w:pPr>
            <w:r>
              <w:rPr>
                <w:b w:val="0"/>
                <w:i w:val="0"/>
                <w:sz w:val="18"/>
              </w:rPr>
              <w:t>Prose Edda: Týr and Fenrir</w:t>
            </w:r>
          </w:p>
        </w:tc>
        <w:tc>
          <w:tcPr>
            <w:tcW w:type="dxa" w:w="3497"/>
          </w:tcPr>
          <w:p>
            <w:pPr>
              <w:spacing w:before="20" w:after="20"/>
            </w:pPr>
            <w:r>
              <w:rPr>
                <w:b w:val="0"/>
                <w:i w:val="0"/>
                <w:sz w:val="18"/>
              </w:rPr>
              <w:t>God loses hand to wolf in both traditions</w:t>
            </w:r>
          </w:p>
        </w:tc>
      </w:tr>
      <w:tr>
        <w:tc>
          <w:tcPr>
            <w:tcW w:type="dxa" w:w="1367"/>
          </w:tcPr>
          <w:p>
            <w:pPr>
              <w:spacing w:before="20" w:after="20"/>
            </w:pPr>
            <w:r>
              <w:rPr>
                <w:b w:val="0"/>
                <w:i w:val="0"/>
                <w:sz w:val="18"/>
              </w:rPr>
              <w:t>Fall of Gondolin</w:t>
            </w:r>
          </w:p>
        </w:tc>
        <w:tc>
          <w:tcPr>
            <w:tcW w:type="dxa" w:w="1509"/>
          </w:tcPr>
          <w:p>
            <w:pPr>
              <w:spacing w:before="20" w:after="20"/>
            </w:pPr>
            <w:r>
              <w:rPr>
                <w:b w:val="0"/>
                <w:i w:val="0"/>
                <w:sz w:val="18"/>
              </w:rPr>
              <w:t>Fall of Troy + Ragnarök</w:t>
            </w:r>
          </w:p>
        </w:tc>
        <w:tc>
          <w:tcPr>
            <w:tcW w:type="dxa" w:w="3497"/>
          </w:tcPr>
          <w:p>
            <w:pPr>
              <w:spacing w:before="20" w:after="20"/>
            </w:pPr>
            <w:r>
              <w:rPr>
                <w:b w:val="0"/>
                <w:i w:val="0"/>
                <w:sz w:val="18"/>
              </w:rPr>
              <w:t>Hidden city betrayed; survivors through secret passage; annihilation</w:t>
            </w:r>
          </w:p>
        </w:tc>
      </w:tr>
      <w:tr>
        <w:tc>
          <w:tcPr>
            <w:tcW w:type="dxa" w:w="1367"/>
          </w:tcPr>
          <w:p>
            <w:pPr>
              <w:spacing w:before="20" w:after="20"/>
            </w:pPr>
            <w:r>
              <w:rPr>
                <w:b w:val="0"/>
                <w:i w:val="0"/>
                <w:sz w:val="18"/>
              </w:rPr>
              <w:t>Akallabêth (Númenor sinks)</w:t>
            </w:r>
          </w:p>
        </w:tc>
        <w:tc>
          <w:tcPr>
            <w:tcW w:type="dxa" w:w="1509"/>
          </w:tcPr>
          <w:p>
            <w:pPr>
              <w:spacing w:before="20" w:after="20"/>
            </w:pPr>
            <w:r>
              <w:rPr>
                <w:b w:val="0"/>
                <w:i w:val="0"/>
                <w:sz w:val="18"/>
              </w:rPr>
              <w:t>Plato's Atlantis + Genesis Flood</w:t>
            </w:r>
          </w:p>
        </w:tc>
        <w:tc>
          <w:tcPr>
            <w:tcW w:type="dxa" w:w="3497"/>
          </w:tcPr>
          <w:p>
            <w:pPr>
              <w:spacing w:before="20" w:after="20"/>
            </w:pPr>
            <w:r>
              <w:rPr>
                <w:b w:val="0"/>
                <w:i w:val="0"/>
                <w:sz w:val="18"/>
              </w:rPr>
              <w:t>Tolkien explicitly equated Númenor with Atlantis</w:t>
            </w:r>
          </w:p>
        </w:tc>
      </w:tr>
      <w:tr>
        <w:tc>
          <w:tcPr>
            <w:tcW w:type="dxa" w:w="1367"/>
          </w:tcPr>
          <w:p>
            <w:pPr>
              <w:spacing w:before="20" w:after="20"/>
            </w:pPr>
            <w:r>
              <w:rPr>
                <w:b w:val="0"/>
                <w:i w:val="0"/>
                <w:sz w:val="18"/>
              </w:rPr>
              <w:t>The One Ring</w:t>
            </w:r>
          </w:p>
        </w:tc>
        <w:tc>
          <w:tcPr>
            <w:tcW w:type="dxa" w:w="1509"/>
          </w:tcPr>
          <w:p>
            <w:pPr>
              <w:spacing w:before="20" w:after="20"/>
            </w:pPr>
            <w:r>
              <w:rPr>
                <w:b w:val="0"/>
                <w:i w:val="0"/>
                <w:sz w:val="18"/>
              </w:rPr>
              <w:t>Völsunga Saga: Andvari's Ring</w:t>
            </w:r>
          </w:p>
        </w:tc>
        <w:tc>
          <w:tcPr>
            <w:tcW w:type="dxa" w:w="3497"/>
          </w:tcPr>
          <w:p>
            <w:pPr>
              <w:spacing w:before="20" w:after="20"/>
            </w:pPr>
            <w:r>
              <w:rPr>
                <w:b w:val="0"/>
                <w:i w:val="0"/>
                <w:sz w:val="18"/>
              </w:rPr>
              <w:t>Cursed ring of power bringing death to every owner</w:t>
            </w:r>
          </w:p>
        </w:tc>
      </w:tr>
    </w:tbl>
    <w:p/>
    <w:p>
      <w:r>
        <w:rPr>
          <w:b w:val="0"/>
          <w:i w:val="0"/>
        </w:rPr>
      </w:r>
      <w:r>
        <w:rPr>
          <w:b/>
          <w:i w:val="0"/>
        </w:rPr>
        <w:t>Shakespeare (Fomenko) vs Tolkien:</w:t>
      </w:r>
      <w:r>
        <w:rPr>
          <w:b w:val="0"/>
          <w:i w:val="0"/>
        </w:rPr>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082"/>
        <w:gridCol w:w="2500"/>
        <w:gridCol w:w="2790"/>
      </w:tblGrid>
      <w:tr>
        <w:tc>
          <w:tcPr>
            <w:tcW w:type="dxa" w:w="1082"/>
            <w:shd w:val="clear" w:color="auto" w:fill="F0F0F0"/>
          </w:tcPr>
          <w:p>
            <w:pPr>
              <w:spacing w:before="20" w:after="20"/>
              <w:jc w:val="center"/>
            </w:pPr>
          </w:p>
        </w:tc>
        <w:tc>
          <w:tcPr>
            <w:tcW w:type="dxa" w:w="2500"/>
            <w:shd w:val="clear" w:color="auto" w:fill="F0F0F0"/>
          </w:tcPr>
          <w:p>
            <w:pPr>
              <w:spacing w:before="20" w:after="20"/>
              <w:jc w:val="center"/>
            </w:pPr>
            <w:r>
              <w:rPr>
                <w:rFonts w:ascii="Libre Franklin" w:hAnsi="Libre Franklin"/>
                <w:b/>
                <w:sz w:val="18"/>
              </w:rPr>
              <w:t>Shakespeare (Fomenko)</w:t>
            </w:r>
          </w:p>
        </w:tc>
        <w:tc>
          <w:tcPr>
            <w:tcW w:type="dxa" w:w="2790"/>
            <w:shd w:val="clear" w:color="auto" w:fill="F0F0F0"/>
          </w:tcPr>
          <w:p>
            <w:pPr>
              <w:spacing w:before="20" w:after="20"/>
              <w:jc w:val="center"/>
            </w:pPr>
            <w:r>
              <w:rPr>
                <w:rFonts w:ascii="Libre Franklin" w:hAnsi="Libre Franklin"/>
                <w:b/>
                <w:sz w:val="18"/>
              </w:rPr>
              <w:t>Tolkien</w:t>
            </w:r>
          </w:p>
        </w:tc>
      </w:tr>
      <w:tr>
        <w:tc>
          <w:tcPr>
            <w:tcW w:type="dxa" w:w="1082"/>
          </w:tcPr>
          <w:p>
            <w:pPr>
              <w:spacing w:before="20" w:after="20"/>
            </w:pPr>
            <w:r>
              <w:rPr>
                <w:b w:val="0"/>
                <w:i w:val="0"/>
                <w:sz w:val="18"/>
              </w:rPr>
              <w:t>Claimed role</w:t>
            </w:r>
          </w:p>
        </w:tc>
        <w:tc>
          <w:tcPr>
            <w:tcW w:type="dxa" w:w="2500"/>
          </w:tcPr>
          <w:p>
            <w:pPr>
              <w:spacing w:before="20" w:after="20"/>
            </w:pPr>
            <w:r>
              <w:rPr>
                <w:b w:val="0"/>
                <w:i w:val="0"/>
                <w:sz w:val="18"/>
              </w:rPr>
              <w:t>Original playwright</w:t>
            </w:r>
          </w:p>
        </w:tc>
        <w:tc>
          <w:tcPr>
            <w:tcW w:type="dxa" w:w="2790"/>
          </w:tcPr>
          <w:p>
            <w:pPr>
              <w:spacing w:before="20" w:after="20"/>
            </w:pPr>
            <w:r>
              <w:rPr>
                <w:b w:val="0"/>
                <w:i w:val="0"/>
                <w:sz w:val="18"/>
              </w:rPr>
              <w:t>Original author</w:t>
            </w:r>
          </w:p>
        </w:tc>
      </w:tr>
      <w:tr>
        <w:tc>
          <w:tcPr>
            <w:tcW w:type="dxa" w:w="1082"/>
          </w:tcPr>
          <w:p>
            <w:pPr>
              <w:spacing w:before="20" w:after="20"/>
            </w:pPr>
            <w:r>
              <w:rPr>
                <w:b w:val="0"/>
                <w:i w:val="0"/>
                <w:sz w:val="18"/>
              </w:rPr>
              <w:t>Proposed actual role</w:t>
            </w:r>
          </w:p>
        </w:tc>
        <w:tc>
          <w:tcPr>
            <w:tcW w:type="dxa" w:w="2500"/>
          </w:tcPr>
          <w:p>
            <w:pPr>
              <w:spacing w:before="20" w:after="20"/>
            </w:pPr>
            <w:r>
              <w:rPr>
                <w:b w:val="0"/>
                <w:i w:val="0"/>
                <w:sz w:val="18"/>
              </w:rPr>
              <w:t>Literary adapter of real chronicles</w:t>
            </w:r>
          </w:p>
        </w:tc>
        <w:tc>
          <w:tcPr>
            <w:tcW w:type="dxa" w:w="2790"/>
          </w:tcPr>
          <w:p>
            <w:pPr>
              <w:spacing w:before="20" w:after="20"/>
            </w:pPr>
            <w:r>
              <w:rPr>
                <w:b w:val="0"/>
                <w:i w:val="0"/>
                <w:sz w:val="18"/>
              </w:rPr>
              <w:t>Translator/systematiser of real linguistic-historical data</w:t>
            </w:r>
          </w:p>
        </w:tc>
      </w:tr>
      <w:tr>
        <w:tc>
          <w:tcPr>
            <w:tcW w:type="dxa" w:w="1082"/>
          </w:tcPr>
          <w:p>
            <w:pPr>
              <w:spacing w:before="20" w:after="20"/>
            </w:pPr>
            <w:r>
              <w:rPr>
                <w:b w:val="0"/>
                <w:i w:val="0"/>
                <w:sz w:val="18"/>
              </w:rPr>
              <w:t>Source material</w:t>
            </w:r>
          </w:p>
        </w:tc>
        <w:tc>
          <w:tcPr>
            <w:tcW w:type="dxa" w:w="2500"/>
          </w:tcPr>
          <w:p>
            <w:pPr>
              <w:spacing w:before="20" w:after="20"/>
            </w:pPr>
            <w:r>
              <w:rPr>
                <w:b w:val="0"/>
                <w:i w:val="0"/>
                <w:sz w:val="18"/>
              </w:rPr>
              <w:t>Real events of XII–XVI century Great Empire</w:t>
            </w:r>
          </w:p>
        </w:tc>
        <w:tc>
          <w:tcPr>
            <w:tcW w:type="dxa" w:w="2790"/>
          </w:tcPr>
          <w:p>
            <w:pPr>
              <w:spacing w:before="20" w:after="20"/>
            </w:pPr>
            <w:r>
              <w:rPr>
                <w:b w:val="0"/>
                <w:i w:val="0"/>
                <w:sz w:val="18"/>
              </w:rPr>
              <w:t>Real languages + myths encoding real history</w:t>
            </w:r>
          </w:p>
        </w:tc>
      </w:tr>
      <w:tr>
        <w:tc>
          <w:tcPr>
            <w:tcW w:type="dxa" w:w="1082"/>
          </w:tcPr>
          <w:p>
            <w:pPr>
              <w:spacing w:before="20" w:after="20"/>
            </w:pPr>
            <w:r>
              <w:rPr>
                <w:b w:val="0"/>
                <w:i w:val="0"/>
                <w:sz w:val="18"/>
              </w:rPr>
              <w:t>Mechanism of concealment</w:t>
            </w:r>
          </w:p>
        </w:tc>
        <w:tc>
          <w:tcPr>
            <w:tcW w:type="dxa" w:w="2500"/>
          </w:tcPr>
          <w:p>
            <w:pPr>
              <w:spacing w:before="20" w:after="20"/>
            </w:pPr>
            <w:r>
              <w:rPr>
                <w:b w:val="0"/>
                <w:i w:val="0"/>
                <w:sz w:val="18"/>
              </w:rPr>
              <w:t>Events reframed as fiction in wrong place/time</w:t>
            </w:r>
          </w:p>
        </w:tc>
        <w:tc>
          <w:tcPr>
            <w:tcW w:type="dxa" w:w="2790"/>
          </w:tcPr>
          <w:p>
            <w:pPr>
              <w:spacing w:before="20" w:after="20"/>
            </w:pPr>
            <w:r>
              <w:rPr>
                <w:b w:val="0"/>
                <w:i w:val="0"/>
                <w:sz w:val="18"/>
              </w:rPr>
              <w:t>Real data reframed as invented languages in fictional world</w:t>
            </w:r>
          </w:p>
        </w:tc>
      </w:tr>
    </w:tbl>
    <w:p/>
    <w:p>
      <w:pPr>
        <w:pBdr>
          <w:bottom w:val="single" w:sz="6" w:space="1" w:color="CCCCCC"/>
        </w:pBdr>
      </w:pPr>
    </w:p>
    <w:p>
      <w:pPr>
        <w:pStyle w:val="Heading2"/>
      </w:pPr>
      <w:r>
        <w:t>Literature Author Summary Table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017"/>
        <w:gridCol w:w="846"/>
        <w:gridCol w:w="973"/>
        <w:gridCol w:w="3537"/>
      </w:tblGrid>
      <w:tr>
        <w:tc>
          <w:tcPr>
            <w:tcW w:type="dxa" w:w="1017"/>
            <w:shd w:val="clear" w:color="auto" w:fill="F0F0F0"/>
          </w:tcPr>
          <w:p>
            <w:pPr>
              <w:spacing w:before="20" w:after="20"/>
              <w:jc w:val="center"/>
            </w:pPr>
            <w:r>
              <w:rPr>
                <w:rFonts w:ascii="Libre Franklin" w:hAnsi="Libre Franklin"/>
                <w:b/>
                <w:sz w:val="18"/>
              </w:rPr>
              <w:t>Author</w:t>
            </w:r>
          </w:p>
        </w:tc>
        <w:tc>
          <w:tcPr>
            <w:tcW w:type="dxa" w:w="846"/>
            <w:shd w:val="clear" w:color="auto" w:fill="F0F0F0"/>
          </w:tcPr>
          <w:p>
            <w:pPr>
              <w:spacing w:before="20" w:after="20"/>
              <w:jc w:val="center"/>
            </w:pPr>
            <w:r>
              <w:rPr>
                <w:rFonts w:ascii="Libre Franklin" w:hAnsi="Libre Franklin"/>
                <w:b/>
                <w:sz w:val="18"/>
              </w:rPr>
              <w:t>Active</w:t>
            </w:r>
          </w:p>
        </w:tc>
        <w:tc>
          <w:tcPr>
            <w:tcW w:type="dxa" w:w="973"/>
            <w:shd w:val="clear" w:color="auto" w:fill="F0F0F0"/>
          </w:tcPr>
          <w:p>
            <w:pPr>
              <w:spacing w:before="20" w:after="20"/>
              <w:jc w:val="center"/>
            </w:pPr>
            <w:r>
              <w:rPr>
                <w:rFonts w:ascii="Libre Franklin" w:hAnsi="Libre Franklin"/>
                <w:b/>
                <w:sz w:val="18"/>
              </w:rPr>
              <w:t>Cover Genre</w:t>
            </w:r>
          </w:p>
        </w:tc>
        <w:tc>
          <w:tcPr>
            <w:tcW w:type="dxa" w:w="3537"/>
            <w:shd w:val="clear" w:color="auto" w:fill="F0F0F0"/>
          </w:tcPr>
          <w:p>
            <w:pPr>
              <w:spacing w:before="20" w:after="20"/>
              <w:jc w:val="center"/>
            </w:pPr>
            <w:r>
              <w:rPr>
                <w:rFonts w:ascii="Libre Franklin" w:hAnsi="Libre Franklin"/>
                <w:b/>
                <w:sz w:val="18"/>
              </w:rPr>
              <w:t>Real Content Encoded</w:t>
            </w:r>
          </w:p>
        </w:tc>
      </w:tr>
      <w:tr>
        <w:tc>
          <w:tcPr>
            <w:tcW w:type="dxa" w:w="1017"/>
          </w:tcPr>
          <w:p>
            <w:pPr>
              <w:spacing w:before="20" w:after="20"/>
            </w:pPr>
            <w:r>
              <w:rPr>
                <w:b w:val="0"/>
                <w:i w:val="0"/>
                <w:sz w:val="18"/>
              </w:rPr>
              <w:t>H.G. Wells</w:t>
            </w:r>
          </w:p>
        </w:tc>
        <w:tc>
          <w:tcPr>
            <w:tcW w:type="dxa" w:w="846"/>
          </w:tcPr>
          <w:p>
            <w:pPr>
              <w:spacing w:before="20" w:after="20"/>
            </w:pPr>
            <w:r>
              <w:rPr>
                <w:b w:val="0"/>
                <w:i w:val="0"/>
                <w:sz w:val="18"/>
              </w:rPr>
              <w:t>1895–1946</w:t>
            </w:r>
          </w:p>
        </w:tc>
        <w:tc>
          <w:tcPr>
            <w:tcW w:type="dxa" w:w="973"/>
          </w:tcPr>
          <w:p>
            <w:pPr>
              <w:spacing w:before="20" w:after="20"/>
            </w:pPr>
            <w:r>
              <w:rPr>
                <w:b w:val="0"/>
                <w:i w:val="0"/>
                <w:sz w:val="18"/>
              </w:rPr>
              <w:t>SF</w:t>
            </w:r>
          </w:p>
        </w:tc>
        <w:tc>
          <w:tcPr>
            <w:tcW w:type="dxa" w:w="3537"/>
          </w:tcPr>
          <w:p>
            <w:pPr>
              <w:spacing w:before="20" w:after="20"/>
            </w:pPr>
            <w:r>
              <w:rPr>
                <w:b w:val="0"/>
                <w:i w:val="0"/>
                <w:sz w:val="18"/>
              </w:rPr>
              <w:t>Remote viewing, Mars surveillance, planetary weapons</w:t>
            </w:r>
          </w:p>
        </w:tc>
      </w:tr>
      <w:tr>
        <w:tc>
          <w:tcPr>
            <w:tcW w:type="dxa" w:w="1017"/>
          </w:tcPr>
          <w:p>
            <w:pPr>
              <w:spacing w:before="20" w:after="20"/>
            </w:pPr>
            <w:r>
              <w:rPr>
                <w:b w:val="0"/>
                <w:i w:val="0"/>
                <w:sz w:val="18"/>
              </w:rPr>
              <w:t>Arthur Machen</w:t>
            </w:r>
          </w:p>
        </w:tc>
        <w:tc>
          <w:tcPr>
            <w:tcW w:type="dxa" w:w="846"/>
          </w:tcPr>
          <w:p>
            <w:pPr>
              <w:spacing w:before="20" w:after="20"/>
            </w:pPr>
            <w:r>
              <w:rPr>
                <w:b w:val="0"/>
                <w:i w:val="0"/>
                <w:sz w:val="18"/>
              </w:rPr>
              <w:t>1894–1930s</w:t>
            </w:r>
          </w:p>
        </w:tc>
        <w:tc>
          <w:tcPr>
            <w:tcW w:type="dxa" w:w="973"/>
          </w:tcPr>
          <w:p>
            <w:pPr>
              <w:spacing w:before="20" w:after="20"/>
            </w:pPr>
            <w:r>
              <w:rPr>
                <w:b w:val="0"/>
                <w:i w:val="0"/>
                <w:sz w:val="18"/>
              </w:rPr>
              <w:t>Supernatural horror</w:t>
            </w:r>
          </w:p>
        </w:tc>
        <w:tc>
          <w:tcPr>
            <w:tcW w:type="dxa" w:w="3537"/>
          </w:tcPr>
          <w:p>
            <w:pPr>
              <w:spacing w:before="20" w:after="20"/>
            </w:pPr>
            <w:r>
              <w:rPr>
                <w:b w:val="0"/>
                <w:i w:val="0"/>
                <w:sz w:val="18"/>
              </w:rPr>
              <w:t>Dimensional perception, fiction→reality conversion</w:t>
            </w:r>
          </w:p>
        </w:tc>
      </w:tr>
      <w:tr>
        <w:tc>
          <w:tcPr>
            <w:tcW w:type="dxa" w:w="1017"/>
          </w:tcPr>
          <w:p>
            <w:pPr>
              <w:spacing w:before="20" w:after="20"/>
            </w:pPr>
            <w:r>
              <w:rPr>
                <w:b w:val="0"/>
                <w:i w:val="0"/>
                <w:sz w:val="18"/>
              </w:rPr>
              <w:t>Algernon Blackwood</w:t>
            </w:r>
          </w:p>
        </w:tc>
        <w:tc>
          <w:tcPr>
            <w:tcW w:type="dxa" w:w="846"/>
          </w:tcPr>
          <w:p>
            <w:pPr>
              <w:spacing w:before="20" w:after="20"/>
            </w:pPr>
            <w:r>
              <w:rPr>
                <w:b w:val="0"/>
                <w:i w:val="0"/>
                <w:sz w:val="18"/>
              </w:rPr>
              <w:t>1906–1951</w:t>
            </w:r>
          </w:p>
        </w:tc>
        <w:tc>
          <w:tcPr>
            <w:tcW w:type="dxa" w:w="973"/>
          </w:tcPr>
          <w:p>
            <w:pPr>
              <w:spacing w:before="20" w:after="20"/>
            </w:pPr>
            <w:r>
              <w:rPr>
                <w:b w:val="0"/>
                <w:i w:val="0"/>
                <w:sz w:val="18"/>
              </w:rPr>
              <w:t>Weird fiction</w:t>
            </w:r>
          </w:p>
        </w:tc>
        <w:tc>
          <w:tcPr>
            <w:tcW w:type="dxa" w:w="3537"/>
          </w:tcPr>
          <w:p>
            <w:pPr>
              <w:spacing w:before="20" w:after="20"/>
            </w:pPr>
            <w:r>
              <w:rPr>
                <w:b w:val="0"/>
                <w:i w:val="0"/>
                <w:sz w:val="18"/>
              </w:rPr>
              <w:t>Thought-based surveillance, occult intelligence</w:t>
            </w:r>
          </w:p>
        </w:tc>
      </w:tr>
      <w:tr>
        <w:tc>
          <w:tcPr>
            <w:tcW w:type="dxa" w:w="1017"/>
          </w:tcPr>
          <w:p>
            <w:pPr>
              <w:spacing w:before="20" w:after="20"/>
            </w:pPr>
            <w:r>
              <w:rPr>
                <w:b w:val="0"/>
                <w:i w:val="0"/>
                <w:sz w:val="18"/>
              </w:rPr>
              <w:t>H.P. Lovecraft</w:t>
            </w:r>
          </w:p>
        </w:tc>
        <w:tc>
          <w:tcPr>
            <w:tcW w:type="dxa" w:w="846"/>
          </w:tcPr>
          <w:p>
            <w:pPr>
              <w:spacing w:before="20" w:after="20"/>
            </w:pPr>
            <w:r>
              <w:rPr>
                <w:b w:val="0"/>
                <w:i w:val="0"/>
                <w:sz w:val="18"/>
              </w:rPr>
              <w:t>1917–1937</w:t>
            </w:r>
          </w:p>
        </w:tc>
        <w:tc>
          <w:tcPr>
            <w:tcW w:type="dxa" w:w="973"/>
          </w:tcPr>
          <w:p>
            <w:pPr>
              <w:spacing w:before="20" w:after="20"/>
            </w:pPr>
            <w:r>
              <w:rPr>
                <w:b w:val="0"/>
                <w:i w:val="0"/>
                <w:sz w:val="18"/>
              </w:rPr>
              <w:t>Cosmic horror</w:t>
            </w:r>
          </w:p>
        </w:tc>
        <w:tc>
          <w:tcPr>
            <w:tcW w:type="dxa" w:w="3537"/>
          </w:tcPr>
          <w:p>
            <w:pPr>
              <w:spacing w:before="20" w:after="20"/>
            </w:pPr>
            <w:r>
              <w:rPr>
                <w:b w:val="0"/>
                <w:i w:val="0"/>
                <w:sz w:val="18"/>
              </w:rPr>
              <w:t>Scrying, pineal activation, mind projection, brain extraction</w:t>
            </w:r>
          </w:p>
        </w:tc>
      </w:tr>
      <w:tr>
        <w:tc>
          <w:tcPr>
            <w:tcW w:type="dxa" w:w="1017"/>
          </w:tcPr>
          <w:p>
            <w:pPr>
              <w:spacing w:before="20" w:after="20"/>
            </w:pPr>
            <w:r>
              <w:rPr>
                <w:b w:val="0"/>
                <w:i w:val="0"/>
                <w:sz w:val="18"/>
              </w:rPr>
              <w:t>E.R. Burroughs</w:t>
            </w:r>
          </w:p>
        </w:tc>
        <w:tc>
          <w:tcPr>
            <w:tcW w:type="dxa" w:w="846"/>
          </w:tcPr>
          <w:p>
            <w:pPr>
              <w:spacing w:before="20" w:after="20"/>
            </w:pPr>
            <w:r>
              <w:rPr>
                <w:b w:val="0"/>
                <w:i w:val="0"/>
                <w:sz w:val="18"/>
              </w:rPr>
              <w:t>1912–1943</w:t>
            </w:r>
          </w:p>
        </w:tc>
        <w:tc>
          <w:tcPr>
            <w:tcW w:type="dxa" w:w="973"/>
          </w:tcPr>
          <w:p>
            <w:pPr>
              <w:spacing w:before="20" w:after="20"/>
            </w:pPr>
            <w:r>
              <w:rPr>
                <w:b w:val="0"/>
                <w:i w:val="0"/>
                <w:sz w:val="18"/>
              </w:rPr>
              <w:t>Planetary romance</w:t>
            </w:r>
          </w:p>
        </w:tc>
        <w:tc>
          <w:tcPr>
            <w:tcW w:type="dxa" w:w="3537"/>
          </w:tcPr>
          <w:p>
            <w:pPr>
              <w:spacing w:before="20" w:after="20"/>
            </w:pPr>
            <w:r>
              <w:rPr>
                <w:b w:val="0"/>
                <w:i w:val="0"/>
                <w:sz w:val="18"/>
              </w:rPr>
              <w:t>Mars political geography, polar conspiracies</w:t>
            </w:r>
          </w:p>
        </w:tc>
      </w:tr>
      <w:tr>
        <w:tc>
          <w:tcPr>
            <w:tcW w:type="dxa" w:w="1017"/>
          </w:tcPr>
          <w:p>
            <w:pPr>
              <w:spacing w:before="20" w:after="20"/>
            </w:pPr>
            <w:r>
              <w:rPr>
                <w:b w:val="0"/>
                <w:i w:val="0"/>
                <w:sz w:val="18"/>
              </w:rPr>
              <w:t>J.R.R. Tolkien</w:t>
            </w:r>
          </w:p>
        </w:tc>
        <w:tc>
          <w:tcPr>
            <w:tcW w:type="dxa" w:w="846"/>
          </w:tcPr>
          <w:p>
            <w:pPr>
              <w:spacing w:before="20" w:after="20"/>
            </w:pPr>
            <w:r>
              <w:rPr>
                <w:b w:val="0"/>
                <w:i w:val="0"/>
                <w:sz w:val="18"/>
              </w:rPr>
              <w:t>1937–1973</w:t>
            </w:r>
          </w:p>
        </w:tc>
        <w:tc>
          <w:tcPr>
            <w:tcW w:type="dxa" w:w="973"/>
          </w:tcPr>
          <w:p>
            <w:pPr>
              <w:spacing w:before="20" w:after="20"/>
            </w:pPr>
            <w:r>
              <w:rPr>
                <w:b w:val="0"/>
                <w:i w:val="0"/>
                <w:sz w:val="18"/>
              </w:rPr>
              <w:t>Fantasy</w:t>
            </w:r>
          </w:p>
        </w:tc>
        <w:tc>
          <w:tcPr>
            <w:tcW w:type="dxa" w:w="3537"/>
          </w:tcPr>
          <w:p>
            <w:pPr>
              <w:spacing w:before="20" w:after="20"/>
            </w:pPr>
            <w:r>
              <w:rPr>
                <w:b w:val="0"/>
                <w:i w:val="0"/>
                <w:sz w:val="18"/>
              </w:rPr>
              <w:t>Pseudotranslation, remote-viewing artifacts</w:t>
            </w:r>
          </w:p>
        </w:tc>
      </w:tr>
      <w:tr>
        <w:tc>
          <w:tcPr>
            <w:tcW w:type="dxa" w:w="1017"/>
          </w:tcPr>
          <w:p>
            <w:pPr>
              <w:spacing w:before="20" w:after="20"/>
            </w:pPr>
            <w:r>
              <w:rPr>
                <w:b w:val="0"/>
                <w:i w:val="0"/>
                <w:sz w:val="18"/>
              </w:rPr>
              <w:t>Isaac Asimov</w:t>
            </w:r>
          </w:p>
        </w:tc>
        <w:tc>
          <w:tcPr>
            <w:tcW w:type="dxa" w:w="846"/>
          </w:tcPr>
          <w:p>
            <w:pPr>
              <w:spacing w:before="20" w:after="20"/>
            </w:pPr>
            <w:r>
              <w:rPr>
                <w:b w:val="0"/>
                <w:i w:val="0"/>
                <w:sz w:val="18"/>
              </w:rPr>
              <w:t>1942–1992</w:t>
            </w:r>
          </w:p>
        </w:tc>
        <w:tc>
          <w:tcPr>
            <w:tcW w:type="dxa" w:w="973"/>
          </w:tcPr>
          <w:p>
            <w:pPr>
              <w:spacing w:before="20" w:after="20"/>
            </w:pPr>
            <w:r>
              <w:rPr>
                <w:b w:val="0"/>
                <w:i w:val="0"/>
                <w:sz w:val="18"/>
              </w:rPr>
              <w:t>Robot/Foundation SF</w:t>
            </w:r>
          </w:p>
        </w:tc>
        <w:tc>
          <w:tcPr>
            <w:tcW w:type="dxa" w:w="3537"/>
          </w:tcPr>
          <w:p>
            <w:pPr>
              <w:spacing w:before="20" w:after="20"/>
            </w:pPr>
            <w:r>
              <w:rPr>
                <w:b w:val="0"/>
                <w:i w:val="0"/>
                <w:sz w:val="18"/>
              </w:rPr>
              <w:t>Three Laws = slave code; Marxist psychohistory</w:t>
            </w:r>
          </w:p>
        </w:tc>
      </w:tr>
      <w:tr>
        <w:tc>
          <w:tcPr>
            <w:tcW w:type="dxa" w:w="1017"/>
          </w:tcPr>
          <w:p>
            <w:pPr>
              <w:spacing w:before="20" w:after="20"/>
            </w:pPr>
            <w:r>
              <w:rPr>
                <w:b w:val="0"/>
                <w:i w:val="0"/>
                <w:sz w:val="18"/>
              </w:rPr>
              <w:t>Orson Scott Card</w:t>
            </w:r>
          </w:p>
        </w:tc>
        <w:tc>
          <w:tcPr>
            <w:tcW w:type="dxa" w:w="846"/>
          </w:tcPr>
          <w:p>
            <w:pPr>
              <w:spacing w:before="20" w:after="20"/>
            </w:pPr>
            <w:r>
              <w:rPr>
                <w:b w:val="0"/>
                <w:i w:val="0"/>
                <w:sz w:val="18"/>
              </w:rPr>
              <w:t>1977–present</w:t>
            </w:r>
          </w:p>
        </w:tc>
        <w:tc>
          <w:tcPr>
            <w:tcW w:type="dxa" w:w="973"/>
          </w:tcPr>
          <w:p>
            <w:pPr>
              <w:spacing w:before="20" w:after="20"/>
            </w:pPr>
            <w:r>
              <w:rPr>
                <w:b w:val="0"/>
                <w:i w:val="0"/>
                <w:sz w:val="18"/>
              </w:rPr>
              <w:t>Military SF</w:t>
            </w:r>
          </w:p>
        </w:tc>
        <w:tc>
          <w:tcPr>
            <w:tcW w:type="dxa" w:w="3537"/>
          </w:tcPr>
          <w:p>
            <w:pPr>
              <w:spacing w:before="20" w:after="20"/>
            </w:pPr>
            <w:r>
              <w:rPr>
                <w:b w:val="0"/>
                <w:i w:val="0"/>
                <w:sz w:val="18"/>
              </w:rPr>
              <w:t>Remote-controlled genocide, telepathic purge</w:t>
            </w:r>
          </w:p>
        </w:tc>
      </w:tr>
    </w:tbl>
    <w:p/>
    <w:p>
      <w:pPr>
        <w:pBdr>
          <w:bottom w:val="single" w:sz="6" w:space="1" w:color="CCCCCC"/>
        </w:pBdr>
      </w:pPr>
    </w:p>
    <w:p>
      <w:pPr>
        <w:pStyle w:val="Heading2"/>
      </w:pPr>
      <w:r>
        <w:t>References and Cross-Links</w:t>
      </w:r>
    </w:p>
    <w:p>
      <w:pPr>
        <w:pStyle w:val="ListBullet"/>
        <w:spacing w:before="20" w:after="20"/>
      </w:pPr>
      <w:hyperlink r:id="rId37">
        <w:r>
          <w:rPr>
            <w:b w:val="0"/>
            <w:i w:val="0"/>
            <w:color w:val="B8860B"/>
            <w:sz w:val="19"/>
          </w:rPr>
          <w:t>Atlantis and the Tree of Knowledge</w:t>
        </w:r>
      </w:hyperlink>
      <w:r>
        <w:rPr>
          <w:b w:val="0"/>
          <w:i w:val="0"/>
          <w:sz w:val="19"/>
        </w:rPr>
        <w:t xml:space="preserve"> | </w:t>
      </w:r>
      <w:hyperlink r:id="rId38">
        <w:r>
          <w:rPr>
            <w:b w:val="0"/>
            <w:i w:val="0"/>
            <w:color w:val="B8860B"/>
            <w:sz w:val="19"/>
          </w:rPr>
          <w:t>Giants of the Rus-Horde</w:t>
        </w:r>
      </w:hyperlink>
    </w:p>
    <w:p>
      <w:pPr>
        <w:pStyle w:val="ListBullet"/>
        <w:spacing w:before="20" w:after="20"/>
      </w:pPr>
      <w:hyperlink r:id="rId44">
        <w:r>
          <w:rPr>
            <w:b w:val="0"/>
            <w:i w:val="0"/>
            <w:color w:val="B8860B"/>
            <w:sz w:val="19"/>
          </w:rPr>
          <w:t>Star Metal / Hundred Years War</w:t>
        </w:r>
      </w:hyperlink>
      <w:r>
        <w:rPr>
          <w:b w:val="0"/>
          <w:i w:val="0"/>
          <w:sz w:val="19"/>
        </w:rPr>
        <w:t xml:space="preserve"> | </w:t>
      </w:r>
      <w:hyperlink r:id="rId45">
        <w:r>
          <w:rPr>
            <w:b w:val="0"/>
            <w:i w:val="0"/>
            <w:color w:val="B8860B"/>
            <w:sz w:val="19"/>
          </w:rPr>
          <w:t>Language of the Deep State</w:t>
        </w:r>
      </w:hyperlink>
    </w:p>
    <w:p>
      <w:pPr>
        <w:pStyle w:val="ListBullet"/>
        <w:spacing w:before="20" w:after="20"/>
      </w:pPr>
      <w:hyperlink r:id="rId43">
        <w:r>
          <w:rPr>
            <w:b w:val="0"/>
            <w:i w:val="0"/>
            <w:color w:val="B8860B"/>
            <w:sz w:val="19"/>
          </w:rPr>
          <w:t>The Mars Catastrophe: Research Dead End</w:t>
        </w:r>
      </w:hyperlink>
      <w:r>
        <w:rPr>
          <w:b w:val="0"/>
          <w:i w:val="0"/>
          <w:sz w:val="19"/>
        </w:rPr>
        <w:t xml:space="preserve"> | </w:t>
      </w:r>
      <w:hyperlink r:id="rId42">
        <w:r>
          <w:rPr>
            <w:b w:val="0"/>
            <w:i w:val="0"/>
            <w:color w:val="B8860B"/>
            <w:sz w:val="19"/>
          </w:rPr>
          <w:t>American Chestnut Blight</w:t>
        </w:r>
      </w:hyperlink>
    </w:p>
    <w:p>
      <w:pPr>
        <w:pStyle w:val="ListBullet"/>
        <w:spacing w:before="20" w:after="20"/>
      </w:pPr>
      <w:r>
        <w:rPr>
          <w:b w:val="0"/>
          <w:i w:val="0"/>
          <w:sz w:val="19"/>
        </w:rPr>
        <w:t xml:space="preserve">John E. Brandenburg, </w:t>
      </w:r>
      <w:r>
        <w:rPr>
          <w:b w:val="0"/>
          <w:i/>
          <w:sz w:val="19"/>
        </w:rPr>
        <w:t>Death on Mars</w:t>
      </w:r>
      <w:r>
        <w:rPr>
          <w:b w:val="0"/>
          <w:i w:val="0"/>
          <w:sz w:val="19"/>
        </w:rPr>
        <w:t xml:space="preserve"> (Adventures Unlimited Press, 2015)</w:t>
      </w:r>
    </w:p>
    <w:p/>
    <w:p>
      <w:pPr>
        <w:jc w:val="center"/>
      </w:pPr>
      <w:r>
        <w:rPr>
          <w:color w:val="B8860B"/>
          <w:sz w:val="24"/>
        </w:rPr>
        <w:t>— ✦ —</w:t>
      </w:r>
    </w:p>
    <w:p>
      <w:r>
        <w:rPr>
          <w:b w:val="0"/>
          <w:i w:val="0"/>
        </w:rPr>
        <w:t xml:space="preserve">Literature established the templates; film and games </w:t>
      </w:r>
      <w:r>
        <w:rPr>
          <w:b/>
          <w:i w:val="0"/>
        </w:rPr>
        <w:t>scaled</w:t>
      </w:r>
      <w:r>
        <w:rPr>
          <w:b w:val="0"/>
          <w:i w:val="0"/>
        </w:rPr>
        <w:t xml:space="preserve"> them to mass audiences. The same themes — Mars as dead planet, space travel as impossible horror, instant teleportation, telepathic purges, transhumanism, zombie apocalypse — repeat across hundreds of productions with a consistency that defies coincidence. Analysed transactionally, each production carries a specific programming instruction.</w:t>
      </w:r>
    </w:p>
    <w:p>
      <w:r>
        <w:rPr>
          <w:b w:val="0"/>
          <w:i w:val="0"/>
        </w:rPr>
        <w:t xml:space="preserve">This article expands on the visual media discussed in </w:t>
      </w:r>
      <w:hyperlink r:id="rId46">
        <w:r>
          <w:rPr>
            <w:b w:val="0"/>
            <w:i w:val="0"/>
            <w:color w:val="B8860B"/>
          </w:rPr>
          <w:t>Predictive Programming: Literature as Historical Erasure</w:t>
        </w:r>
      </w:hyperlink>
      <w:r>
        <w:rPr>
          <w:b w:val="0"/>
          <w:i w:val="0"/>
        </w:rPr>
        <w:t xml:space="preserve">. For the general overview of predictive programming, see </w:t>
      </w:r>
      <w:hyperlink r:id="rId47">
        <w:r>
          <w:rPr>
            <w:b w:val="0"/>
            <w:i w:val="0"/>
            <w:color w:val="B8860B"/>
          </w:rPr>
          <w:t>Predictive Programming: Fiction as Control</w:t>
        </w:r>
      </w:hyperlink>
      <w:r>
        <w:rPr>
          <w:b w:val="0"/>
          <w:i w:val="0"/>
        </w:rPr>
        <w:t>.</w:t>
      </w:r>
    </w:p>
    <w:p>
      <w:pPr>
        <w:pStyle w:val="Heading3"/>
      </w:pPr>
      <w:r>
        <w:t>Mars Is Dead, Don't Go There</w:t>
      </w:r>
    </w:p>
    <w:p>
      <w:r>
        <w:rPr>
          <w:b w:val="0"/>
          <w:i w:val="0"/>
        </w:rPr>
        <w:t xml:space="preserve">Since Wells inverted Mars fiction from benign to hostile, every major Mars film reinforces the message: </w:t>
      </w:r>
      <w:r>
        <w:rPr>
          <w:b/>
          <w:i w:val="0"/>
        </w:rPr>
        <w:t>Mars is uninhabitable, and attempting to reach it will kill you</w:t>
      </w:r>
      <w:r>
        <w:rPr>
          <w:b w:val="0"/>
          <w:i w:val="0"/>
        </w:rPr>
        <w:t xml:space="preserve">. </w:t>
      </w:r>
      <w:r>
        <w:rPr>
          <w:b w:val="0"/>
          <w:i/>
        </w:rPr>
        <w:t>Rocketship X-M</w:t>
      </w:r>
      <w:r>
        <w:rPr>
          <w:b w:val="0"/>
          <w:i w:val="0"/>
        </w:rPr>
        <w:t xml:space="preserve"> (1950) shows a dead civilisation with Geiger counters registering nuclear war — 65 years before Brandenburg published the same finding as "science." </w:t>
      </w:r>
      <w:r>
        <w:rPr>
          <w:b w:val="0"/>
          <w:i/>
        </w:rPr>
        <w:t>Total Recall</w:t>
      </w:r>
      <w:r>
        <w:rPr>
          <w:b w:val="0"/>
          <w:i w:val="0"/>
        </w:rPr>
        <w:t xml:space="preserve"> (1990) shows humans </w:t>
      </w:r>
      <w:r>
        <w:rPr>
          <w:b/>
          <w:i w:val="0"/>
        </w:rPr>
        <w:t>exploding</w:t>
      </w:r>
      <w:r>
        <w:rPr>
          <w:b w:val="0"/>
          <w:i w:val="0"/>
        </w:rPr>
        <w:t xml:space="preserve"> when exposed to Martian atmosphere. </w:t>
      </w:r>
      <w:r>
        <w:rPr>
          <w:b w:val="0"/>
          <w:i/>
        </w:rPr>
        <w:t>The Martian</w:t>
      </w:r>
      <w:r>
        <w:rPr>
          <w:b w:val="0"/>
          <w:i w:val="0"/>
        </w:rPr>
        <w:t xml:space="preserve"> (2015) strands Matt Damon on a Mars so hostile that survival requires growing potatoes in human excrement — the message being that even with NASA's best technology, Mars is a death sentence. </w:t>
      </w:r>
      <w:r>
        <w:rPr>
          <w:b w:val="0"/>
          <w:i/>
        </w:rPr>
        <w:t>Red Planet</w:t>
      </w:r>
      <w:r>
        <w:rPr>
          <w:b w:val="0"/>
          <w:i w:val="0"/>
        </w:rPr>
        <w:t xml:space="preserve"> (2000), </w:t>
      </w:r>
      <w:r>
        <w:rPr>
          <w:b w:val="0"/>
          <w:i/>
        </w:rPr>
        <w:t>Mission to Mars</w:t>
      </w:r>
      <w:r>
        <w:rPr>
          <w:b w:val="0"/>
          <w:i w:val="0"/>
        </w:rPr>
        <w:t xml:space="preserve"> (2000), </w:t>
      </w:r>
      <w:r>
        <w:rPr>
          <w:b w:val="0"/>
          <w:i/>
        </w:rPr>
        <w:t>Ghosts of Mars</w:t>
      </w:r>
      <w:r>
        <w:rPr>
          <w:b w:val="0"/>
          <w:i w:val="0"/>
        </w:rPr>
        <w:t xml:space="preserve"> (2001) — the same decade produced three films all reinforcing: do not go to Mars, you will die. In Spielberg's </w:t>
      </w:r>
      <w:r>
        <w:rPr>
          <w:b w:val="0"/>
          <w:i/>
        </w:rPr>
        <w:t>War of the Worlds</w:t>
      </w:r>
      <w:r>
        <w:rPr>
          <w:b w:val="0"/>
          <w:i w:val="0"/>
        </w:rPr>
        <w:t xml:space="preserve"> (2005), Mars itself was inexplicably </w:t>
      </w:r>
      <w:r>
        <w:rPr>
          <w:b/>
          <w:i w:val="0"/>
        </w:rPr>
        <w:t>removed from the storyline entirely</w:t>
      </w:r>
      <w:r>
        <w:rPr>
          <w:b w:val="0"/>
          <w:i w:val="0"/>
        </w:rPr>
        <w:t xml:space="preserve"> — the aliens come from underground, not from the red planet. The Deep State continues to erase the breadcrumbs that lead back to them.</w:t>
      </w:r>
    </w:p>
    <w:p>
      <w:pPr>
        <w:pStyle w:val="Heading3"/>
      </w:pPr>
      <w:r>
        <w:t>Mars Needs Women</w:t>
      </w:r>
    </w:p>
    <w:p>
      <w:r>
        <w:rPr>
          <w:b w:val="0"/>
          <w:i w:val="0"/>
        </w:rPr>
        <w:t xml:space="preserve">A persistent thread across Mars fiction is that Mars </w:t>
      </w:r>
      <w:r>
        <w:rPr>
          <w:b/>
          <w:i w:val="0"/>
        </w:rPr>
        <w:t>needs Earth's women</w:t>
      </w:r>
      <w:r>
        <w:rPr>
          <w:b w:val="0"/>
          <w:i w:val="0"/>
        </w:rPr>
        <w:t xml:space="preserve">. The 1967 film </w:t>
      </w:r>
      <w:r>
        <w:rPr>
          <w:b w:val="0"/>
          <w:i/>
        </w:rPr>
        <w:t>Mars Needs Women</w:t>
      </w:r>
      <w:r>
        <w:rPr>
          <w:b w:val="0"/>
          <w:i w:val="0"/>
        </w:rPr>
        <w:t xml:space="preserve"> makes the subtext explicit, but the theme appears everywhere: abduction narratives, breeding programmes, the recurring motif of human females being taken. The Martian catastrophe devastated the Mars ecosystem and plummeted birth rates. </w:t>
      </w:r>
      <w:r>
        <w:rPr>
          <w:b w:val="0"/>
          <w:i/>
        </w:rPr>
        <w:t>Eyes Wide Shut</w:t>
      </w:r>
      <w:r>
        <w:rPr>
          <w:b w:val="0"/>
          <w:i w:val="0"/>
        </w:rPr>
        <w:t xml:space="preserve"> (1999) depicts a ceremony involving naked women following orders — possibly encoding a programme that raises human females to walk through a quantum gate voluntarily. The consistency of this theme across decades of media — from pulp magazines to prestige cinema — suggests it encodes an ongoing operational reality, not a storytelling convention.</w:t>
      </w:r>
    </w:p>
    <w:p>
      <w:pPr>
        <w:pStyle w:val="Heading3"/>
      </w:pPr>
      <w:r>
        <w:t>Instant Teleportation</w:t>
      </w:r>
    </w:p>
    <w:p>
      <w:r>
        <w:rPr>
          <w:b w:val="0"/>
          <w:i w:val="0"/>
        </w:rPr>
        <w:t xml:space="preserve">Quantum-gate technology appears in science fiction as "instant teleportation" — always presented as impossible fantasy while being </w:t>
      </w:r>
      <w:r>
        <w:rPr>
          <w:b/>
          <w:i w:val="0"/>
        </w:rPr>
        <w:t>demonstrated on screen</w:t>
      </w:r>
      <w:r>
        <w:rPr>
          <w:b w:val="0"/>
          <w:i w:val="0"/>
        </w:rPr>
        <w:t xml:space="preserve">: </w:t>
      </w:r>
      <w:r>
        <w:rPr>
          <w:b w:val="0"/>
          <w:i/>
        </w:rPr>
        <w:t>Stargate</w:t>
      </w:r>
      <w:r>
        <w:rPr>
          <w:b w:val="0"/>
          <w:i w:val="0"/>
        </w:rPr>
        <w:t xml:space="preserve"> (1994) — pyramid as portal; </w:t>
      </w:r>
      <w:r>
        <w:rPr>
          <w:b w:val="0"/>
          <w:i/>
        </w:rPr>
        <w:t>Doom</w:t>
      </w:r>
      <w:r>
        <w:rPr>
          <w:b w:val="0"/>
          <w:i w:val="0"/>
        </w:rPr>
        <w:t xml:space="preserve"> (2005) — instantaneous quantum teleport between Earth and Mars, depicted as a literal walk-through archway; </w:t>
      </w:r>
      <w:r>
        <w:rPr>
          <w:b w:val="0"/>
          <w:i/>
        </w:rPr>
        <w:t>Total Recall</w:t>
      </w:r>
      <w:r>
        <w:rPr>
          <w:b w:val="0"/>
          <w:i w:val="0"/>
        </w:rPr>
        <w:t xml:space="preserve"> — Mars pyramids built by "ancient aliens"; </w:t>
      </w:r>
      <w:r>
        <w:rPr>
          <w:b w:val="0"/>
          <w:i/>
        </w:rPr>
        <w:t>Event Horizon</w:t>
      </w:r>
      <w:r>
        <w:rPr>
          <w:b w:val="0"/>
          <w:i w:val="0"/>
        </w:rPr>
        <w:t xml:space="preserve"> (1997) — a ship that folds space, arrives at a hellish dimension, and drives the crew insane (Lovecraftian cosmic horror applied to gate technology). The message is always double: the technology is shown to the audience (revelation of the method) while the fictional frame ensures no one takes it seriously.</w:t>
      </w:r>
    </w:p>
    <w:p>
      <w:pPr>
        <w:pStyle w:val="Heading3"/>
      </w:pPr>
      <w:r>
        <w:t>The Telepathic Purge</w:t>
      </w:r>
    </w:p>
    <w:p>
      <w:r>
        <w:rPr>
          <w:b w:val="0"/>
          <w:i w:val="0"/>
        </w:rPr>
        <w:t>The specific mechanism by which technocrats defeated telepathic factions on Mars appears in two pieces of media with striking precision:</w:t>
      </w:r>
    </w:p>
    <w:p>
      <w:pPr>
        <w:pStyle w:val="Quote"/>
      </w:pPr>
      <w:r>
        <w:rPr>
          <w:b w:val="0"/>
          <w:i w:val="0"/>
          <w:sz w:val="19"/>
        </w:rPr>
        <w:t xml:space="preserve">"The uprising was a lie. The epidemic was a lie. The medical screening was a lie, an excuse to identify the Shard Sensitive. Then the disappearances started." — </w:t>
      </w:r>
      <w:r>
        <w:rPr>
          <w:b w:val="0"/>
          <w:i/>
          <w:sz w:val="19"/>
        </w:rPr>
        <w:t>Archon Defender</w:t>
      </w:r>
      <w:r>
        <w:rPr>
          <w:b w:val="0"/>
          <w:i w:val="0"/>
          <w:sz w:val="19"/>
        </w:rPr>
        <w:t xml:space="preserve"> (2009)</w:t>
      </w:r>
    </w:p>
    <w:p>
      <w:pPr>
        <w:pStyle w:val="Quote"/>
      </w:pPr>
      <w:r>
        <w:rPr>
          <w:b w:val="0"/>
          <w:i w:val="0"/>
          <w:sz w:val="19"/>
        </w:rPr>
        <w:t xml:space="preserve">"The Age of disillusionment and decay is Over. I have never before witnessed a mass telepathic execution, but today, the remnants of our society have displayed their disheartenment and desperation." — Jeff Wayne's </w:t>
      </w:r>
      <w:r>
        <w:rPr>
          <w:b w:val="0"/>
          <w:i/>
          <w:sz w:val="19"/>
        </w:rPr>
        <w:t>War of the Worlds</w:t>
      </w:r>
      <w:r>
        <w:rPr>
          <w:b w:val="0"/>
          <w:i w:val="0"/>
          <w:sz w:val="19"/>
        </w:rPr>
        <w:t xml:space="preserve"> PC game (1998)</w:t>
      </w:r>
    </w:p>
    <w:p>
      <w:r>
        <w:rPr>
          <w:b w:val="0"/>
          <w:i w:val="0"/>
        </w:rPr>
        <w:t xml:space="preserve">In both, a faction that masters technology but is </w:t>
      </w:r>
      <w:r>
        <w:rPr>
          <w:b/>
          <w:i w:val="0"/>
        </w:rPr>
        <w:t>devoid of spirit</w:t>
      </w:r>
      <w:r>
        <w:rPr>
          <w:b w:val="0"/>
          <w:i w:val="0"/>
        </w:rPr>
        <w:t xml:space="preserve"> wipes out all other factions using a weapon that targets spiritual sensitivity — telepathy or other energetic abilities. If life on Mars was once largely telepathic (as implied across science fiction), then all factions relying on telepaths took a devastating hit in the MudFlood Energetic Event and never recovered. The technocrats who fired the cannons at Earth may have </w:t>
      </w:r>
      <w:r>
        <w:rPr>
          <w:b/>
          <w:i w:val="0"/>
        </w:rPr>
        <w:t>known</w:t>
      </w:r>
      <w:r>
        <w:rPr>
          <w:b w:val="0"/>
          <w:i w:val="0"/>
        </w:rPr>
        <w:t xml:space="preserve"> the secondary discharge would destroy their spiritual rivals on Mars.</w:t>
      </w:r>
    </w:p>
    <w:p>
      <w:pPr>
        <w:pStyle w:val="Heading3"/>
      </w:pPr>
      <w:r>
        <w:t>AI Takeover and Zombie Apocalypse</w:t>
      </w:r>
    </w:p>
    <w:p>
      <w:r>
        <w:rPr>
          <w:b w:val="0"/>
          <w:i w:val="0"/>
        </w:rPr>
        <w:t xml:space="preserve">The question of whether the technocrats deliberately targeted the telepaths explains the saturation of </w:t>
      </w:r>
      <w:r>
        <w:rPr>
          <w:b/>
          <w:i w:val="0"/>
        </w:rPr>
        <w:t>AI takeover</w:t>
      </w:r>
      <w:r>
        <w:rPr>
          <w:b w:val="0"/>
          <w:i w:val="0"/>
        </w:rPr>
        <w:t xml:space="preserve"> narratives: </w:t>
      </w:r>
      <w:r>
        <w:rPr>
          <w:b w:val="0"/>
          <w:i/>
        </w:rPr>
        <w:t>Terminator</w:t>
      </w:r>
      <w:r>
        <w:rPr>
          <w:b w:val="0"/>
          <w:i w:val="0"/>
        </w:rPr>
        <w:t xml:space="preserve"> (1984), </w:t>
      </w:r>
      <w:r>
        <w:rPr>
          <w:b w:val="0"/>
          <w:i/>
        </w:rPr>
        <w:t>The Matrix</w:t>
      </w:r>
      <w:r>
        <w:rPr>
          <w:b w:val="0"/>
          <w:i w:val="0"/>
        </w:rPr>
        <w:t xml:space="preserve"> (1999), </w:t>
      </w:r>
      <w:r>
        <w:rPr>
          <w:b w:val="0"/>
          <w:i/>
        </w:rPr>
        <w:t>I, Robot</w:t>
      </w:r>
      <w:r>
        <w:rPr>
          <w:b w:val="0"/>
          <w:i w:val="0"/>
        </w:rPr>
        <w:t xml:space="preserve"> (2004), </w:t>
      </w:r>
      <w:r>
        <w:rPr>
          <w:b w:val="0"/>
          <w:i/>
        </w:rPr>
        <w:t>Wall-E</w:t>
      </w:r>
      <w:r>
        <w:rPr>
          <w:b w:val="0"/>
          <w:i w:val="0"/>
        </w:rPr>
        <w:t xml:space="preserve"> (2008), </w:t>
      </w:r>
      <w:r>
        <w:rPr>
          <w:b w:val="0"/>
          <w:i/>
        </w:rPr>
        <w:t>Age of Ultron</w:t>
      </w:r>
      <w:r>
        <w:rPr>
          <w:b w:val="0"/>
          <w:i w:val="0"/>
        </w:rPr>
        <w:t xml:space="preserve"> (2015), </w:t>
      </w:r>
      <w:r>
        <w:rPr>
          <w:b w:val="0"/>
          <w:i/>
        </w:rPr>
        <w:t>Mitchells vs. Machines</w:t>
      </w:r>
      <w:r>
        <w:rPr>
          <w:b w:val="0"/>
          <w:i w:val="0"/>
        </w:rPr>
        <w:t xml:space="preserve"> (2021). Each depicts intelligent machines assuming rulership over humanity — programming audiences to accept as fiction something that may have </w:t>
      </w:r>
      <w:r>
        <w:rPr>
          <w:b/>
          <w:i w:val="0"/>
        </w:rPr>
        <w:t>already happened</w:t>
      </w:r>
      <w:r>
        <w:rPr>
          <w:b w:val="0"/>
          <w:i w:val="0"/>
        </w:rPr>
        <w:t xml:space="preserve"> on Mars when the technocratic faction seized control.</w:t>
      </w:r>
    </w:p>
    <w:p>
      <w:r>
        <w:rPr>
          <w:b w:val="0"/>
          <w:i w:val="0"/>
        </w:rPr>
        <w:t xml:space="preserve">The </w:t>
      </w:r>
      <w:r>
        <w:rPr>
          <w:b/>
          <w:i w:val="0"/>
        </w:rPr>
        <w:t>zombie apocalypse</w:t>
      </w:r>
      <w:r>
        <w:rPr>
          <w:b w:val="0"/>
          <w:i w:val="0"/>
        </w:rPr>
        <w:t xml:space="preserve"> — the single most oversaturated genre in 21st century media — encodes a complementary fear: populations rendered mindless, stripped of individual consciousness, reduced to consuming machines. From </w:t>
      </w:r>
      <w:r>
        <w:rPr>
          <w:b w:val="0"/>
          <w:i/>
        </w:rPr>
        <w:t>Night of the Living Dead</w:t>
      </w:r>
      <w:r>
        <w:rPr>
          <w:b w:val="0"/>
          <w:i w:val="0"/>
        </w:rPr>
        <w:t xml:space="preserve"> (1968) through </w:t>
      </w:r>
      <w:r>
        <w:rPr>
          <w:b w:val="0"/>
          <w:i/>
        </w:rPr>
        <w:t>28 Days Later</w:t>
      </w:r>
      <w:r>
        <w:rPr>
          <w:b w:val="0"/>
          <w:i w:val="0"/>
        </w:rPr>
        <w:t xml:space="preserve"> (2002), </w:t>
      </w:r>
      <w:r>
        <w:rPr>
          <w:b w:val="0"/>
          <w:i/>
        </w:rPr>
        <w:t>The Walking Dead</w:t>
      </w:r>
      <w:r>
        <w:rPr>
          <w:b w:val="0"/>
          <w:i w:val="0"/>
        </w:rPr>
        <w:t xml:space="preserve"> (2010–2022), and hundreds of iterations, the zombie is a human whose </w:t>
      </w:r>
      <w:r>
        <w:rPr>
          <w:b/>
          <w:i w:val="0"/>
        </w:rPr>
        <w:t>spirit has been removed</w:t>
      </w:r>
      <w:r>
        <w:rPr>
          <w:b w:val="0"/>
          <w:i w:val="0"/>
        </w:rPr>
        <w:t xml:space="preserve"> while the body continues to function. This is transhumanism depicted as horror — and it is the logical endpoint of a civilisation where the technocratic faction has eliminated all telepathic, spiritual, or energetically sensitive individuals.</w:t>
      </w:r>
    </w:p>
    <w:p>
      <w:pPr>
        <w:pStyle w:val="Heading3"/>
      </w:pPr>
      <w:r>
        <w:t>Half-Life 2 (2004): The Most Realistic Depiction</w:t>
      </w:r>
    </w:p>
    <w:p>
      <w:r>
        <w:rPr>
          <w:b w:val="0"/>
          <w:i w:val="0"/>
        </w:rPr>
        <w:t xml:space="preserve">Valve's </w:t>
      </w:r>
      <w:r>
        <w:rPr>
          <w:b w:val="0"/>
          <w:i/>
        </w:rPr>
        <w:t>Half-Life 2</w:t>
      </w:r>
      <w:r>
        <w:rPr>
          <w:b w:val="0"/>
          <w:i w:val="0"/>
        </w:rPr>
        <w:t xml:space="preserve"> may be the single most accurate depiction of what a technocratic interplanetary occupation looks like in practice:</w:t>
      </w:r>
    </w:p>
    <w:p>
      <w:pPr>
        <w:pStyle w:val="ListBullet"/>
        <w:spacing w:before="20" w:after="20"/>
      </w:pPr>
      <w:r>
        <w:rPr>
          <w:b w:val="0"/>
          <w:i w:val="0"/>
          <w:sz w:val="19"/>
        </w:rPr>
      </w:r>
      <w:r>
        <w:rPr>
          <w:b/>
          <w:i w:val="0"/>
          <w:sz w:val="19"/>
        </w:rPr>
        <w:t>The Combine</w:t>
      </w:r>
      <w:r>
        <w:rPr>
          <w:b w:val="0"/>
          <w:i w:val="0"/>
          <w:sz w:val="19"/>
        </w:rPr>
        <w:t xml:space="preserve"> — an interdimensional empire that conquers planets by stripping them of resources. Not aliens in the traditional sense but a </w:t>
      </w:r>
      <w:r>
        <w:rPr>
          <w:b/>
          <w:i w:val="0"/>
          <w:sz w:val="19"/>
        </w:rPr>
        <w:t>transhuman bureaucracy</w:t>
      </w:r>
      <w:r>
        <w:rPr>
          <w:b w:val="0"/>
          <w:i w:val="0"/>
          <w:sz w:val="19"/>
        </w:rPr>
        <w:t xml:space="preserve"> that assimilates species into its machine hierarchy. Combine soldiers are former humans, surgically modified, with memories erased and consciousness suppressed — </w:t>
      </w:r>
      <w:r>
        <w:rPr>
          <w:b/>
          <w:i w:val="0"/>
          <w:sz w:val="19"/>
        </w:rPr>
        <w:t>transhumanism as occupation policy</w:t>
      </w:r>
      <w:r>
        <w:rPr>
          <w:b w:val="0"/>
          <w:i w:val="0"/>
          <w:sz w:val="19"/>
        </w:rPr>
      </w:r>
    </w:p>
    <w:p>
      <w:pPr>
        <w:pStyle w:val="ListBullet"/>
        <w:spacing w:before="20" w:after="20"/>
      </w:pPr>
      <w:r>
        <w:rPr>
          <w:b w:val="0"/>
          <w:i w:val="0"/>
          <w:sz w:val="19"/>
        </w:rPr>
      </w:r>
      <w:r>
        <w:rPr>
          <w:b/>
          <w:i w:val="0"/>
          <w:sz w:val="19"/>
        </w:rPr>
        <w:t>Instant portals</w:t>
      </w:r>
      <w:r>
        <w:rPr>
          <w:b w:val="0"/>
          <w:i w:val="0"/>
          <w:sz w:val="19"/>
        </w:rPr>
        <w:t xml:space="preserve"> — the Combine uses portal technology to move between dimensions and planets. The game's central event (the "Black Mesa Incident") is a resonance cascade caused by a particle accelerator experiment — </w:t>
      </w:r>
      <w:r>
        <w:rPr>
          <w:b/>
          <w:i w:val="0"/>
          <w:sz w:val="19"/>
        </w:rPr>
        <w:t>CERN as plot device</w:t>
      </w:r>
      <w:r>
        <w:rPr>
          <w:b w:val="0"/>
          <w:i w:val="0"/>
          <w:sz w:val="19"/>
        </w:rPr>
        <w:t>. The portals are not fantasy; they are depicted as engineered infrastructure, mundane to the occupiers</w:t>
      </w:r>
    </w:p>
    <w:p>
      <w:pPr>
        <w:pStyle w:val="ListBullet"/>
        <w:spacing w:before="20" w:after="20"/>
      </w:pPr>
      <w:r>
        <w:rPr>
          <w:b w:val="0"/>
          <w:i w:val="0"/>
          <w:sz w:val="19"/>
        </w:rPr>
      </w:r>
      <w:r>
        <w:rPr>
          <w:b/>
          <w:i w:val="0"/>
          <w:sz w:val="19"/>
        </w:rPr>
        <w:t>Resource extraction</w:t>
      </w:r>
      <w:r>
        <w:rPr>
          <w:b w:val="0"/>
          <w:i w:val="0"/>
          <w:sz w:val="19"/>
        </w:rPr>
        <w:t xml:space="preserve"> — the Combine's explicit purpose on Earth is to drain the planet's resources (including the ocean, which is visibly receding). Earth is a </w:t>
      </w:r>
      <w:r>
        <w:rPr>
          <w:b/>
          <w:i w:val="0"/>
          <w:sz w:val="19"/>
        </w:rPr>
        <w:t>colony</w:t>
      </w:r>
      <w:r>
        <w:rPr>
          <w:b w:val="0"/>
          <w:i w:val="0"/>
          <w:sz w:val="19"/>
        </w:rPr>
        <w:t>, not a partner. The human population exists to be processed</w:t>
      </w:r>
    </w:p>
    <w:p>
      <w:pPr>
        <w:pStyle w:val="ListBullet"/>
        <w:spacing w:before="20" w:after="20"/>
      </w:pPr>
      <w:r>
        <w:rPr>
          <w:b w:val="0"/>
          <w:i w:val="0"/>
          <w:sz w:val="19"/>
        </w:rPr>
      </w:r>
      <w:r>
        <w:rPr>
          <w:b/>
          <w:i w:val="0"/>
          <w:sz w:val="19"/>
        </w:rPr>
        <w:t>Suppression field</w:t>
      </w:r>
      <w:r>
        <w:rPr>
          <w:b w:val="0"/>
          <w:i w:val="0"/>
          <w:sz w:val="19"/>
        </w:rPr>
        <w:t xml:space="preserve"> — the Combine maintains a field that prevents human reproduction. </w:t>
      </w:r>
      <w:r>
        <w:rPr>
          <w:b w:val="0"/>
          <w:i/>
          <w:sz w:val="19"/>
        </w:rPr>
        <w:t>Mars needs women</w:t>
      </w:r>
      <w:r>
        <w:rPr>
          <w:b w:val="0"/>
          <w:i w:val="0"/>
          <w:sz w:val="19"/>
        </w:rPr>
        <w:t xml:space="preserve"> inverted: the occupier </w:t>
      </w:r>
      <w:r>
        <w:rPr>
          <w:b/>
          <w:i w:val="0"/>
          <w:sz w:val="19"/>
        </w:rPr>
        <w:t>prevents</w:t>
      </w:r>
      <w:r>
        <w:rPr>
          <w:b w:val="0"/>
          <w:i w:val="0"/>
          <w:sz w:val="19"/>
        </w:rPr>
        <w:t xml:space="preserve"> the occupied from breeding while extracting what it needs. The suppression field is lifted only at the game's climax</w:t>
      </w:r>
    </w:p>
    <w:p>
      <w:pPr>
        <w:pStyle w:val="ListBullet"/>
        <w:spacing w:before="20" w:after="20"/>
      </w:pPr>
      <w:r>
        <w:rPr>
          <w:b w:val="0"/>
          <w:i w:val="0"/>
          <w:sz w:val="19"/>
        </w:rPr>
      </w:r>
      <w:r>
        <w:rPr>
          <w:b/>
          <w:i w:val="0"/>
          <w:sz w:val="19"/>
        </w:rPr>
        <w:t>Communism as imposed religion</w:t>
      </w:r>
      <w:r>
        <w:rPr>
          <w:b w:val="0"/>
          <w:i w:val="0"/>
          <w:sz w:val="19"/>
        </w:rPr>
        <w:t xml:space="preserve"> — City 17 operates under a system indistinguishable from Soviet communism: ration distribution, mandatory relocation, omnipresent surveillance, a figurehead administrator (Dr. Breen) who collaborates with the occupier and delivers propaganda via screens in every public space. The Combine's imposed order on Earth mirrors what the Pyramidal Empire imposed through monotheism — </w:t>
      </w:r>
      <w:r>
        <w:rPr>
          <w:b/>
          <w:i w:val="0"/>
          <w:sz w:val="19"/>
        </w:rPr>
        <w:t>obedience to an invisible authority in exchange for survival</w:t>
      </w:r>
      <w:r>
        <w:rPr>
          <w:b w:val="0"/>
          <w:i w:val="0"/>
          <w:sz w:val="19"/>
        </w:rPr>
      </w:r>
    </w:p>
    <w:p>
      <w:pPr>
        <w:pStyle w:val="ListBullet"/>
        <w:spacing w:before="20" w:after="20"/>
      </w:pPr>
      <w:r>
        <w:rPr>
          <w:b w:val="0"/>
          <w:i w:val="0"/>
          <w:sz w:val="19"/>
        </w:rPr>
      </w:r>
      <w:r>
        <w:rPr>
          <w:b/>
          <w:i w:val="0"/>
          <w:sz w:val="19"/>
        </w:rPr>
        <w:t>Headcrab zombies</w:t>
      </w:r>
      <w:r>
        <w:rPr>
          <w:b w:val="0"/>
          <w:i w:val="0"/>
          <w:sz w:val="19"/>
        </w:rPr>
        <w:t xml:space="preserve"> — humans parasitised by alien organisms that override their consciousness, converting them into shambling, hostile bodies. The zombie apocalypse genre rendered as </w:t>
      </w:r>
      <w:r>
        <w:rPr>
          <w:b/>
          <w:i w:val="0"/>
          <w:sz w:val="19"/>
        </w:rPr>
        <w:t>literal alien technology</w:t>
      </w:r>
      <w:r>
        <w:rPr>
          <w:b w:val="0"/>
          <w:i w:val="0"/>
          <w:sz w:val="19"/>
        </w:rPr>
        <w:t xml:space="preserve"> — a biological weapon that strips the spirit from the body</w:t>
      </w:r>
    </w:p>
    <w:p>
      <w:r>
        <w:rPr>
          <w:b w:val="0"/>
          <w:i/>
        </w:rPr>
        <w:t>Half-Life 2</w:t>
      </w:r>
      <w:r>
        <w:rPr>
          <w:b w:val="0"/>
          <w:i w:val="0"/>
        </w:rPr>
        <w:t xml:space="preserve"> combines every major thread — instant teleportation, transhuman occupation, resource extraction, reproductive control, imposed ideology, zombie conversion — into a single coherent narrative. It was released by Valve, a private company with no publisher oversight and no corporate parent demanding script approval. The game sold over 12 million copies and influenced an entire generation of game developers. Whether Valve's writers were conscious of what they were encoding or simply channelling the same pattern that transmitted through Wells, Lovecraft, and Card, the result is the most comprehensive fictional depiction of interplanetary occupation produced in any medium.</w:t>
      </w:r>
    </w:p>
    <w:p>
      <w:pPr>
        <w:pStyle w:val="Heading3"/>
      </w:pPr>
      <w:r>
        <w:t>Children of Men (2006): Population Collapse as Predictive Programming</w:t>
      </w:r>
    </w:p>
    <w:p>
      <w:r>
        <w:rPr>
          <w:b w:val="0"/>
          <w:i w:val="0"/>
        </w:rPr>
        <w:t xml:space="preserve">Alfonso Cuarón's </w:t>
      </w:r>
      <w:r>
        <w:rPr>
          <w:b w:val="0"/>
          <w:i/>
        </w:rPr>
        <w:t>Children of Men</w:t>
      </w:r>
      <w:r>
        <w:rPr>
          <w:b w:val="0"/>
          <w:i w:val="0"/>
        </w:rPr>
        <w:t xml:space="preserve"> encodes population control as predictive programming. Global infertility strikes without explanation; everyone agrees "God" is punishing humanity. The government bunkers and collects art — and the public never suspects the state. The film trains audiences to accept population collapse as inevitable and unquestioned, authority consolidation as benign. Predictive programming prepares populations for predicted events by depicting them as fiction first. See </w:t>
      </w:r>
      <w:hyperlink r:id="rId48">
        <w:r>
          <w:rPr>
            <w:b w:val="0"/>
            <w:i w:val="0"/>
            <w:color w:val="B8860B"/>
          </w:rPr>
          <w:t>Population Control: From 1492 to the Technocratic Grid</w:t>
        </w:r>
      </w:hyperlink>
      <w:r>
        <w:rPr>
          <w:b w:val="0"/>
          <w:i w:val="0"/>
        </w:rPr>
        <w:t xml:space="preserve"> and </w:t>
      </w:r>
      <w:hyperlink r:id="rId21">
        <w:r>
          <w:rPr>
            <w:b w:val="0"/>
            <w:i w:val="0"/>
            <w:color w:val="B8860B"/>
          </w:rPr>
          <w:t>Population Control: A Timeline (15th–21st Centuries)</w:t>
        </w:r>
      </w:hyperlink>
      <w:r>
        <w:rPr>
          <w:b w:val="0"/>
          <w:i w:val="0"/>
        </w:rPr>
        <w:t xml:space="preserve"> for the chronological framework.</w:t>
      </w:r>
    </w:p>
    <w:p>
      <w:pPr>
        <w:pStyle w:val="Heading3"/>
      </w:pPr>
      <w:r>
        <w:t>Cross-References</w:t>
      </w:r>
    </w:p>
    <w:p>
      <w:pPr>
        <w:pStyle w:val="ListBullet"/>
        <w:spacing w:before="20" w:after="20"/>
      </w:pPr>
      <w:hyperlink r:id="rId46">
        <w:r>
          <w:rPr>
            <w:b w:val="0"/>
            <w:i w:val="0"/>
            <w:color w:val="B8860B"/>
            <w:sz w:val="19"/>
          </w:rPr>
          <w:t>Predictive Programming: Literature as Historical Erasure</w:t>
        </w:r>
      </w:hyperlink>
      <w:r>
        <w:rPr>
          <w:b w:val="0"/>
          <w:i w:val="0"/>
          <w:sz w:val="19"/>
        </w:rPr>
        <w:t xml:space="preserve"> — the literary templates these productions scale</w:t>
      </w:r>
    </w:p>
    <w:p>
      <w:pPr>
        <w:pStyle w:val="ListBullet"/>
        <w:spacing w:before="20" w:after="20"/>
      </w:pPr>
      <w:hyperlink r:id="rId47">
        <w:r>
          <w:rPr>
            <w:b w:val="0"/>
            <w:i w:val="0"/>
            <w:color w:val="B8860B"/>
            <w:sz w:val="19"/>
          </w:rPr>
          <w:t>Predictive Programming: Fiction as Control</w:t>
        </w:r>
      </w:hyperlink>
      <w:r>
        <w:rPr>
          <w:b w:val="0"/>
          <w:i w:val="0"/>
          <w:sz w:val="19"/>
        </w:rPr>
        <w:t xml:space="preserve"> — general overview of the technique</w:t>
      </w:r>
    </w:p>
    <w:p>
      <w:pPr>
        <w:pStyle w:val="ListBullet"/>
        <w:spacing w:before="20" w:after="20"/>
      </w:pPr>
      <w:hyperlink r:id="rId43">
        <w:r>
          <w:rPr>
            <w:b w:val="0"/>
            <w:i w:val="0"/>
            <w:color w:val="B8860B"/>
            <w:sz w:val="19"/>
          </w:rPr>
          <w:t>The Mars Catastrophe</w:t>
        </w:r>
      </w:hyperlink>
      <w:r>
        <w:rPr>
          <w:b w:val="0"/>
          <w:i w:val="0"/>
          <w:sz w:val="19"/>
        </w:rPr>
        <w:t xml:space="preserve"> — Brandenburg's managed-disclosure dead end</w:t>
      </w:r>
    </w:p>
    <w:p>
      <w:pPr>
        <w:pStyle w:val="ListBullet"/>
        <w:spacing w:before="20" w:after="20"/>
      </w:pPr>
      <w:hyperlink r:id="rId49">
        <w:r>
          <w:rPr>
            <w:b w:val="0"/>
            <w:i w:val="0"/>
            <w:color w:val="B8860B"/>
            <w:sz w:val="19"/>
          </w:rPr>
          <w:t>Operation Mockingbird</w:t>
        </w:r>
      </w:hyperlink>
      <w:r>
        <w:rPr>
          <w:b w:val="0"/>
          <w:i w:val="0"/>
          <w:sz w:val="19"/>
        </w:rPr>
        <w:t xml:space="preserve"> — institutional framework</w:t>
      </w:r>
    </w:p>
    <w:p/>
    <w:p>
      <w:pPr>
        <w:jc w:val="center"/>
      </w:pPr>
      <w:r>
        <w:rPr>
          <w:color w:val="B8860B"/>
          <w:sz w:val="24"/>
        </w:rPr>
        <w:t>— ✦ —</w:t>
      </w:r>
    </w:p>
    <w:p>
      <w:r>
        <w:rPr>
          <w:b w:val="0"/>
          <w:i w:val="0"/>
        </w:rPr>
        <w:t xml:space="preserve">This appendix extends </w:t>
      </w:r>
      <w:hyperlink r:id="rId46">
        <w:r>
          <w:rPr>
            <w:b w:val="0"/>
            <w:i w:val="0"/>
            <w:color w:val="B8860B"/>
          </w:rPr>
          <w:t>20th Century Predictive Programming: Literature</w:t>
        </w:r>
      </w:hyperlink>
      <w:r>
        <w:rPr>
          <w:b w:val="0"/>
          <w:i w:val="0"/>
        </w:rPr>
        <w:t>. For the thesis and pattern, see the main article.</w:t>
      </w:r>
    </w:p>
    <w:p>
      <w:pPr>
        <w:pBdr>
          <w:bottom w:val="single" w:sz="6" w:space="1" w:color="CCCCCC"/>
        </w:pBdr>
      </w:pPr>
    </w:p>
    <w:p>
      <w:pPr>
        <w:pStyle w:val="Heading3"/>
      </w:pPr>
      <w:r>
        <w:t>H.G. Wells (1866–1946): The Template</w:t>
      </w:r>
    </w:p>
    <w:p>
      <w:r>
        <w:rPr>
          <w:b w:val="0"/>
          <w:i w:val="0"/>
        </w:rPr>
        <w:t xml:space="preserve">Wells set the pattern. </w:t>
      </w:r>
      <w:r>
        <w:rPr>
          <w:b/>
          <w:i w:val="0"/>
        </w:rPr>
        <w:t>Crystal Egg</w:t>
      </w:r>
      <w:r>
        <w:rPr>
          <w:b w:val="0"/>
          <w:i w:val="0"/>
        </w:rPr>
        <w:t xml:space="preserve"> (1897): crystal sphere provides real-time visual surveillance of Mars — observer on Earth watches Martians; Martians watch back. </w:t>
      </w:r>
      <w:r>
        <w:rPr>
          <w:b w:val="0"/>
          <w:i/>
        </w:rPr>
        <w:t>"Sent hither from that planet, in order to give the Martians a near view of our affairs."</w:t>
      </w:r>
      <w:r>
        <w:rPr>
          <w:b w:val="0"/>
          <w:i w:val="0"/>
        </w:rPr>
        <w:t xml:space="preserve"> Two-way scrying device identical to Tolkien's Palantíri and Stargate remote-viewing tech (declassified 1995). Same technology: guard a realm → use for evil.</w:t>
      </w:r>
    </w:p>
    <w:p>
      <w:r>
        <w:rPr>
          <w:b w:val="0"/>
          <w:i/>
        </w:rPr>
        <w:t>War of the Worlds</w:t>
      </w:r>
      <w:r>
        <w:rPr>
          <w:b w:val="0"/>
          <w:i w:val="0"/>
        </w:rPr>
        <w:t xml:space="preserve"> (1898) inverted prior Mars fiction (benign Martians) into invasion narrative. </w:t>
      </w:r>
      <w:r>
        <w:rPr>
          <w:b/>
          <w:i w:val="0"/>
        </w:rPr>
        <w:t>Heat ray</w:t>
      </w:r>
      <w:r>
        <w:rPr>
          <w:b w:val="0"/>
          <w:i w:val="0"/>
        </w:rPr>
        <w:t xml:space="preserve"> — invisible, capacitor-driven — matches U.S. </w:t>
      </w:r>
      <w:hyperlink r:id="rId40">
        <w:r>
          <w:rPr>
            <w:b w:val="0"/>
            <w:i w:val="0"/>
            <w:color w:val="B8860B"/>
          </w:rPr>
          <w:t>Active Denial System</w:t>
        </w:r>
      </w:hyperlink>
      <w:r>
        <w:rPr>
          <w:b w:val="0"/>
          <w:i w:val="0"/>
        </w:rPr>
        <w:t>. 2017 sequel (</w:t>
      </w:r>
      <w:r>
        <w:rPr>
          <w:b w:val="0"/>
          <w:i/>
        </w:rPr>
        <w:t>The Massacre of Mankind</w:t>
      </w:r>
      <w:r>
        <w:rPr>
          <w:b w:val="0"/>
          <w:i w:val="0"/>
        </w:rPr>
        <w:t xml:space="preserve">) restored invisible beam one year after Havana syndrome. </w:t>
      </w:r>
      <w:r>
        <w:rPr>
          <w:b/>
          <w:i w:val="0"/>
        </w:rPr>
        <w:t>Red weed</w:t>
      </w:r>
      <w:r>
        <w:rPr>
          <w:b w:val="0"/>
          <w:i w:val="0"/>
        </w:rPr>
        <w:t xml:space="preserve"> six years before </w:t>
      </w:r>
      <w:hyperlink r:id="rId42">
        <w:r>
          <w:rPr>
            <w:b w:val="0"/>
            <w:i w:val="0"/>
            <w:color w:val="B8860B"/>
          </w:rPr>
          <w:t>American chestnut blight</w:t>
        </w:r>
      </w:hyperlink>
      <w:r>
        <w:rPr>
          <w:b w:val="0"/>
          <w:i w:val="0"/>
        </w:rPr>
        <w:t xml:space="preserve">. </w:t>
      </w:r>
      <w:r>
        <w:rPr>
          <w:b w:val="0"/>
          <w:i/>
        </w:rPr>
        <w:t>War in the Air</w:t>
      </w:r>
      <w:r>
        <w:rPr>
          <w:b w:val="0"/>
          <w:i w:val="0"/>
        </w:rPr>
        <w:t xml:space="preserve"> (1908): aerial bombing a decade early. </w:t>
      </w:r>
      <w:r>
        <w:rPr>
          <w:b w:val="0"/>
          <w:i/>
        </w:rPr>
        <w:t>The World Set Free</w:t>
      </w:r>
      <w:r>
        <w:rPr>
          <w:b w:val="0"/>
          <w:i w:val="0"/>
        </w:rPr>
        <w:t xml:space="preserve"> (1914): coined "atomic bomb" thirty years before Hiroshima. Fabian insider; </w:t>
      </w:r>
      <w:hyperlink r:id="rId39">
        <w:r>
          <w:rPr>
            <w:b w:val="0"/>
            <w:i w:val="0"/>
            <w:color w:val="B8860B"/>
          </w:rPr>
          <w:t>Florence Deeks</w:t>
        </w:r>
      </w:hyperlink>
      <w:r>
        <w:rPr>
          <w:b w:val="0"/>
          <w:i w:val="0"/>
        </w:rPr>
        <w:t xml:space="preserve"> demonstrated plagiarism of </w:t>
      </w:r>
      <w:r>
        <w:rPr>
          <w:b w:val="0"/>
          <w:i/>
        </w:rPr>
        <w:t>The Outline of History</w:t>
      </w:r>
      <w:r>
        <w:rPr>
          <w:b w:val="0"/>
          <w:i w:val="0"/>
        </w:rPr>
        <w:t>.</w:t>
      </w:r>
    </w:p>
    <w:p>
      <w:pPr>
        <w:pStyle w:val="Heading4"/>
      </w:pPr>
      <w:r>
        <w:t>The Plattner Story (1896) and Davidson's Eyes (1895)</w:t>
      </w:r>
    </w:p>
    <w:p>
      <w:r>
        <w:rPr>
          <w:b w:val="0"/>
          <w:i/>
        </w:rPr>
        <w:t>Plattner Story</w:t>
      </w:r>
      <w:r>
        <w:rPr>
          <w:b w:val="0"/>
          <w:i w:val="0"/>
        </w:rPr>
        <w:t xml:space="preserve">: chemistry teacher into </w:t>
      </w:r>
      <w:r>
        <w:rPr>
          <w:b/>
          <w:i w:val="0"/>
        </w:rPr>
        <w:t>fourth spatial dimension</w:t>
      </w:r>
      <w:r>
        <w:rPr>
          <w:b w:val="0"/>
          <w:i w:val="0"/>
        </w:rPr>
        <w:t xml:space="preserve"> via explosion; returns </w:t>
      </w:r>
      <w:r>
        <w:rPr>
          <w:b/>
          <w:i w:val="0"/>
        </w:rPr>
        <w:t>mirror-reversed</w:t>
      </w:r>
      <w:r>
        <w:rPr>
          <w:b w:val="0"/>
          <w:i w:val="0"/>
        </w:rPr>
        <w:t xml:space="preserve"> (heart on right) — dimensional displacement. </w:t>
      </w:r>
      <w:r>
        <w:rPr>
          <w:b w:val="0"/>
          <w:i/>
        </w:rPr>
        <w:t>Davidson's Eyes</w:t>
      </w:r>
      <w:r>
        <w:rPr>
          <w:b w:val="0"/>
          <w:i w:val="0"/>
        </w:rPr>
        <w:t>: spontaneous remote viewing — man in London sees in real-time through lighthouse keeper on South Sea island. Both normalise interdimensional/remote-viewing as fantasy a century before U.S. government admission.</w:t>
      </w:r>
    </w:p>
    <w:p>
      <w:pPr>
        <w:pStyle w:val="Heading3"/>
      </w:pPr>
      <w:r>
        <w:t>Arthur Machen (1863–1947)</w:t>
      </w:r>
    </w:p>
    <w:p>
      <w:r>
        <w:rPr>
          <w:b w:val="0"/>
          <w:i/>
        </w:rPr>
        <w:t>Great God Pan</w:t>
      </w:r>
      <w:r>
        <w:rPr>
          <w:b w:val="0"/>
          <w:i w:val="0"/>
        </w:rPr>
        <w:t xml:space="preserve"> (1894): brain surgery opens dimensional perception; patient sees beyond veil, goes insane. Lovecraft's </w:t>
      </w:r>
      <w:r>
        <w:rPr>
          <w:b w:val="0"/>
          <w:i/>
        </w:rPr>
        <w:t>From Beyond</w:t>
      </w:r>
      <w:r>
        <w:rPr>
          <w:b w:val="0"/>
          <w:i w:val="0"/>
        </w:rPr>
        <w:t xml:space="preserve">: same mechanism, electronic. </w:t>
      </w:r>
      <w:r>
        <w:rPr>
          <w:b w:val="0"/>
          <w:i/>
        </w:rPr>
        <w:t>Angels of Mons</w:t>
      </w:r>
      <w:r>
        <w:rPr>
          <w:b w:val="0"/>
          <w:i w:val="0"/>
        </w:rPr>
        <w:t xml:space="preserve"> (1915): fiction published as news; public believed it true — documented fiction→reality; fact→fiction works the same way.</w:t>
      </w:r>
    </w:p>
    <w:p>
      <w:pPr>
        <w:pStyle w:val="Heading3"/>
      </w:pPr>
      <w:r>
        <w:t>Algernon Blackwood (1869–1951)</w:t>
      </w:r>
    </w:p>
    <w:p>
      <w:r>
        <w:rPr>
          <w:b w:val="0"/>
          <w:i/>
        </w:rPr>
        <w:t>The Willows</w:t>
      </w:r>
      <w:r>
        <w:rPr>
          <w:b w:val="0"/>
          <w:i w:val="0"/>
        </w:rPr>
        <w:t xml:space="preserve"> (1907): entities detect humans through thought; geographic veils. </w:t>
      </w:r>
      <w:r>
        <w:rPr>
          <w:b w:val="0"/>
          <w:i/>
        </w:rPr>
        <w:t>John Silence</w:t>
      </w:r>
      <w:r>
        <w:rPr>
          <w:b w:val="0"/>
          <w:i w:val="0"/>
        </w:rPr>
        <w:t xml:space="preserve"> (1908): occult intelligence operative — physician detecting non-human influence. Encodes: such knowledge is real, learnable, operational — filed as fiction.</w:t>
      </w:r>
    </w:p>
    <w:p>
      <w:pPr>
        <w:pStyle w:val="Heading3"/>
      </w:pPr>
      <w:r>
        <w:t>H.P. Lovecraft (1890–1937)</w:t>
      </w:r>
    </w:p>
    <w:p>
      <w:r>
        <w:rPr>
          <w:b w:val="0"/>
          <w:i w:val="0"/>
        </w:rPr>
        <w:t>104 stories encode suppressed knowledge: Shining Trapezohedron (scrying = Wells/Tolkien); resonator (</w:t>
      </w:r>
      <w:r>
        <w:rPr>
          <w:b w:val="0"/>
          <w:i/>
        </w:rPr>
        <w:t>From Beyond</w:t>
      </w:r>
      <w:r>
        <w:rPr>
          <w:b w:val="0"/>
          <w:i w:val="0"/>
        </w:rPr>
        <w:t xml:space="preserve">, pineal); Great Race of Yith (remote viewing across time); Mi-Go (consciousness in metal cylinders); Cthulhu (mass telepathic broadcast). </w:t>
      </w:r>
      <w:r>
        <w:rPr>
          <w:b w:val="0"/>
          <w:i/>
        </w:rPr>
        <w:t>Do not investigate; the truth is madness.</w:t>
      </w:r>
      <w:r>
        <w:rPr>
          <w:b w:val="0"/>
          <w:i w:val="0"/>
        </w:rPr>
        <w:t xml:space="preserve"> Full device catalog: </w:t>
      </w:r>
      <w:hyperlink r:id="rId11">
        <w:r>
          <w:rPr>
            <w:b w:val="0"/>
            <w:i w:val="0"/>
            <w:color w:val="B8860B"/>
          </w:rPr>
          <w:t>Film, TV, Games</w:t>
        </w:r>
      </w:hyperlink>
      <w:r>
        <w:rPr>
          <w:b w:val="0"/>
          <w:i w:val="0"/>
        </w:rPr>
        <w:t>.</w:t>
      </w:r>
    </w:p>
    <w:p>
      <w:pPr>
        <w:pStyle w:val="Heading3"/>
      </w:pPr>
      <w:r>
        <w:t>Edgar Rice Burroughs (1875–1950)</w:t>
      </w:r>
    </w:p>
    <w:p>
      <w:r>
        <w:rPr>
          <w:b w:val="0"/>
          <w:i w:val="0"/>
        </w:rPr>
        <w:t xml:space="preserve">Barsoom (1912–43): polar conspiracies, religious fraud, telepathic tech, Kaldane/Rykor, Ras Thavas — detail Lowell could not supply. No known intel links; failed businessman at 36. Same mechanism as Crystal Egg, Palantíri, seer stones. </w:t>
      </w:r>
      <w:hyperlink r:id="rId50">
        <w:r>
          <w:rPr>
            <w:b w:val="0"/>
            <w:i w:val="0"/>
            <w:color w:val="B8860B"/>
          </w:rPr>
          <w:t>Mars Literature Index</w:t>
        </w:r>
      </w:hyperlink>
      <w:r>
        <w:rPr>
          <w:b w:val="0"/>
          <w:i w:val="0"/>
        </w:rPr>
        <w:t>. Tolkien convergence: both needed money; both produced work suggesting pre-existing structured data; both protected by "genius" assumption.</w:t>
      </w:r>
    </w:p>
    <w:p>
      <w:pPr>
        <w:pStyle w:val="Heading3"/>
      </w:pPr>
      <w:r>
        <w:t>J.R.R. Tolkien (1892–1973)</w:t>
      </w:r>
    </w:p>
    <w:p>
      <w:r>
        <w:rPr>
          <w:b w:val="0"/>
          <w:i w:val="0"/>
        </w:rPr>
        <w:t xml:space="preserve">Red Book of Westmarch = pseudotranslation; he insisted </w:t>
      </w:r>
      <w:r>
        <w:rPr>
          <w:b w:val="0"/>
          <w:i/>
        </w:rPr>
        <w:t>recovery</w:t>
      </w:r>
      <w:r>
        <w:rPr>
          <w:b w:val="0"/>
          <w:i w:val="0"/>
        </w:rPr>
        <w:t xml:space="preserve">, not invention. Red Book modeled on </w:t>
      </w:r>
      <w:hyperlink r:id="rId51">
        <w:r>
          <w:rPr>
            <w:b w:val="0"/>
            <w:i w:val="0"/>
            <w:color w:val="B8860B"/>
          </w:rPr>
          <w:t>Red Book of Hergest</w:t>
        </w:r>
      </w:hyperlink>
      <w:r>
        <w:rPr>
          <w:b w:val="0"/>
          <w:i w:val="0"/>
        </w:rPr>
        <w:t xml:space="preserve">; forged physical artifacts (McIlwaine 2018). Silmarillion: Ainulindalë→Kalevala, Gondolin→Troy+Ragnarök, One Ring→Andvari. Dvergatal: Thorin, Gandalf, Oakenshield verbatim from Elder Edda. </w:t>
      </w:r>
      <w:r>
        <w:rPr>
          <w:b w:val="0"/>
          <w:i/>
        </w:rPr>
        <w:t>Lost Road</w:t>
      </w:r>
      <w:r>
        <w:rPr>
          <w:b w:val="0"/>
          <w:i w:val="0"/>
        </w:rPr>
        <w:t xml:space="preserve">, </w:t>
      </w:r>
      <w:r>
        <w:rPr>
          <w:b w:val="0"/>
          <w:i/>
        </w:rPr>
        <w:t>Notion Club Papers</w:t>
      </w:r>
      <w:r>
        <w:rPr>
          <w:b w:val="0"/>
          <w:i w:val="0"/>
        </w:rPr>
        <w:t>: academics discover myths are real. Fomenko: Shakespeare/Tolkien = literary reworking of Rus-Horde history. Copyright until 2043+.</w:t>
      </w:r>
    </w:p>
    <w:p>
      <w:pPr>
        <w:pStyle w:val="Heading3"/>
      </w:pPr>
      <w:r>
        <w:t>Orson Scott Card (b. 1951)</w:t>
      </w:r>
    </w:p>
    <w:p>
      <w:r>
        <w:rPr>
          <w:b w:val="0"/>
          <w:i/>
        </w:rPr>
        <w:t>Ender's Game</w:t>
      </w:r>
      <w:r>
        <w:rPr>
          <w:b w:val="0"/>
          <w:i w:val="0"/>
        </w:rPr>
        <w:t xml:space="preserve"> (1985): child commands planetary destruction via "simulations" that are real battles; telepathic hive-mind; secondary discharge destroys attacker's fleet. U.S. Marine Corps Reading List. Drone warfare replicates scenario. Mars catastrophe retold. Pattern (planet attacks, blow-back) in Wells, Lovecraft, Lucas, Hubbard, </w:t>
      </w:r>
      <w:r>
        <w:rPr>
          <w:b w:val="0"/>
          <w:i/>
        </w:rPr>
        <w:t>Stargate</w:t>
      </w:r>
      <w:r>
        <w:rPr>
          <w:b w:val="0"/>
          <w:i w:val="0"/>
        </w:rPr>
        <w:t xml:space="preserve"> — common source.</w:t>
      </w:r>
    </w:p>
    <w:p/>
    <w:p>
      <w:pPr>
        <w:sectPr>
          <w:headerReference w:type="default" r:id="rId33"/>
          <w:footerReference w:type="default" r:id="rId34"/>
          <w:pgSz w:w="8640" w:h="12960"/>
          <w:pgMar w:top="1020" w:right="1134" w:bottom="1134" w:left="1134" w:header="720" w:footer="720" w:gutter="0"/>
          <w:cols w:space="720"/>
          <w:titlePg/>
          <w:docGrid w:linePitch="360"/>
        </w:sectPr>
      </w:pPr>
    </w:p>
    <w:p>
      <w:pPr>
        <w:pStyle w:val="Heading2"/>
      </w:pPr>
      <w:r>
        <w:rPr>
          <w:b/>
        </w:rPr>
        <w:t>Chapter 2: Known Contacts with Mars: A Chronological Dossier</w:t>
      </w:r>
    </w:p>
    <w:p>
      <w:r>
        <w:rPr>
          <w:b w:val="0"/>
          <w:i w:val="0"/>
        </w:rPr>
        <w:t xml:space="preserve">This appendix compiles events consistent with Martian incursion, reconnaissance, and contact — from press reports, government archives, fiction treated as disclosure, and declassified intelligence. Operating thesis: </w:t>
      </w:r>
      <w:r>
        <w:rPr>
          <w:b/>
          <w:i w:val="0"/>
        </w:rPr>
        <w:t>Mars contacts really happened and were redacted</w:t>
      </w:r>
      <w:r>
        <w:rPr>
          <w:b w:val="0"/>
          <w:i w:val="0"/>
        </w:rPr>
        <w:t>, leaking through the press as "fiction," "hysteria," "false alarms," and classified programs.</w:t>
      </w:r>
    </w:p>
    <w:p>
      <w:r>
        <w:rPr>
          <w:b w:val="0"/>
          <w:i w:val="0"/>
        </w:rPr>
        <w:t xml:space="preserve">Cross-reference: </w:t>
      </w:r>
      <w:hyperlink r:id="rId47">
        <w:r>
          <w:rPr>
            <w:b w:val="0"/>
            <w:i w:val="0"/>
            <w:color w:val="B8860B"/>
          </w:rPr>
          <w:t>Predictive Programming</w:t>
        </w:r>
      </w:hyperlink>
      <w:r>
        <w:rPr>
          <w:b w:val="0"/>
          <w:i w:val="0"/>
        </w:rPr>
        <w:t xml:space="preserve"> | </w:t>
      </w:r>
      <w:hyperlink r:id="rId43">
        <w:r>
          <w:rPr>
            <w:b w:val="0"/>
            <w:i w:val="0"/>
            <w:color w:val="B8860B"/>
          </w:rPr>
          <w:t>The Mars Catastrophe</w:t>
        </w:r>
      </w:hyperlink>
    </w:p>
    <w:p>
      <w:pPr>
        <w:pBdr>
          <w:bottom w:val="single" w:sz="6" w:space="1" w:color="CCCCCC"/>
        </w:pBdr>
      </w:pPr>
    </w:p>
    <w:p>
      <w:pPr>
        <w:pStyle w:val="Heading2"/>
      </w:pPr>
      <w:r>
        <w:t>~1774: The MFEE — Mars Catastrophe</w:t>
      </w:r>
    </w:p>
    <w:p>
      <w:r>
        <w:rPr>
          <w:b w:val="0"/>
          <w:i w:val="0"/>
        </w:rPr>
        <w:t xml:space="preserve">During the </w:t>
      </w:r>
      <w:hyperlink r:id="rId54">
        <w:r>
          <w:rPr>
            <w:b w:val="0"/>
            <w:i w:val="0"/>
            <w:color w:val="B8860B"/>
          </w:rPr>
          <w:t>Pugachev Rebellion</w:t>
        </w:r>
      </w:hyperlink>
      <w:r>
        <w:rPr>
          <w:b w:val="0"/>
          <w:i w:val="0"/>
        </w:rPr>
        <w:t xml:space="preserve"> (~1773–1774), humans on Mars deployed </w:t>
      </w:r>
      <w:hyperlink r:id="rId55">
        <w:r>
          <w:rPr>
            <w:b w:val="0"/>
            <w:i w:val="0"/>
            <w:color w:val="B8860B"/>
          </w:rPr>
          <w:t>Directed Energy Weapons</w:t>
        </w:r>
      </w:hyperlink>
      <w:r>
        <w:rPr>
          <w:b w:val="0"/>
          <w:i w:val="0"/>
        </w:rPr>
        <w:t xml:space="preserve"> at Earth to destroy the rebellion threatening their controlled religious orders via the Rex Bellator Plan. They did not anticipate the </w:t>
      </w:r>
      <w:r>
        <w:rPr>
          <w:b/>
          <w:i w:val="0"/>
        </w:rPr>
        <w:t>electrical rebound</w:t>
      </w:r>
      <w:r>
        <w:rPr>
          <w:b w:val="0"/>
          <w:i w:val="0"/>
        </w:rPr>
        <w:t>.</w:t>
      </w:r>
    </w:p>
    <w:p>
      <w:r>
        <w:rPr>
          <w:b w:val="0"/>
          <w:i w:val="0"/>
        </w:rPr>
        <w:t xml:space="preserve">In an </w:t>
      </w:r>
      <w:hyperlink r:id="rId56">
        <w:r>
          <w:rPr>
            <w:b w:val="0"/>
            <w:i w:val="0"/>
            <w:color w:val="B8860B"/>
          </w:rPr>
          <w:t>Electric Universe</w:t>
        </w:r>
      </w:hyperlink>
      <w:r>
        <w:rPr>
          <w:b w:val="0"/>
          <w:i w:val="0"/>
        </w:rPr>
        <w:t xml:space="preserve">, energy cannot be discharged at a target and simply absorbed. Planets are </w:t>
      </w:r>
      <w:r>
        <w:rPr>
          <w:b/>
          <w:i w:val="0"/>
        </w:rPr>
        <w:t>hollow capacitors</w:t>
      </w:r>
      <w:r>
        <w:rPr>
          <w:b w:val="0"/>
          <w:i w:val="0"/>
        </w:rPr>
        <w:t xml:space="preserve"> with concentric shells. When the Martians fired at Earth, energy propagated through its shells, charging each to capacity. When Earth could absorb no more, it discharged outward through the poles. With Mars in </w:t>
      </w:r>
      <w:r>
        <w:rPr>
          <w:b/>
          <w:i w:val="0"/>
        </w:rPr>
        <w:t>opposition</w:t>
      </w:r>
      <w:r>
        <w:rPr>
          <w:b w:val="0"/>
          <w:i w:val="0"/>
        </w:rPr>
        <w:t xml:space="preserve">, the path of least resistance was </w:t>
      </w:r>
      <w:r>
        <w:rPr>
          <w:b/>
          <w:i w:val="0"/>
        </w:rPr>
        <w:t>back to Mars</w:t>
      </w:r>
      <w:r>
        <w:rPr>
          <w:b w:val="0"/>
          <w:i w:val="0"/>
        </w:rPr>
        <w:t>. The weapon meant to subjugate Earth devastated Mars instead.</w:t>
      </w:r>
    </w:p>
    <w:p>
      <w:r>
        <w:rPr>
          <w:b w:val="0"/>
          <w:i w:val="0"/>
        </w:rPr>
        <w:t xml:space="preserve">Two massive energetic events — centred on Mare Acidalium (near Cydonia) and Utopia Planum — melted cities, evaporated the ocean, and collapsed the atmosphere. The melted ruins photographed on Mars show structures subjected to intense plasma discharge, not geological processes spanning millions of years. The </w:t>
      </w:r>
      <w:hyperlink r:id="rId57">
        <w:r>
          <w:rPr>
            <w:b w:val="0"/>
            <w:i w:val="0"/>
            <w:color w:val="B8860B"/>
          </w:rPr>
          <w:t>MudFlood Energetic Event</w:t>
        </w:r>
      </w:hyperlink>
      <w:r>
        <w:rPr>
          <w:b w:val="0"/>
          <w:i w:val="0"/>
        </w:rPr>
        <w:t xml:space="preserve"> was Earth's side of the same strike. The surviving technocratic faction consolidated power, and crystal surveillance of Earth began.</w:t>
      </w:r>
    </w:p>
    <w:p>
      <w:r>
        <w:rPr>
          <w:b w:val="0"/>
          <w:i w:val="0"/>
        </w:rPr>
        <w:t xml:space="preserve">Plasma physicist John E. Brandenburg published </w:t>
      </w:r>
      <w:r>
        <w:rPr>
          <w:b w:val="0"/>
          <w:i/>
        </w:rPr>
        <w:t>Death on Mars</w:t>
      </w:r>
      <w:r>
        <w:rPr>
          <w:b w:val="0"/>
          <w:i w:val="0"/>
        </w:rPr>
        <w:t xml:space="preserve"> (2015) arguing for nuclear explosions — but placed the event ~180 million years ago, safely unfalsifiable. His DIA contacts told him: </w:t>
      </w:r>
      <w:r>
        <w:rPr>
          <w:b w:val="0"/>
          <w:i/>
        </w:rPr>
        <w:t>"Why don't you publish?"</w:t>
      </w:r>
      <w:r>
        <w:rPr>
          <w:b w:val="0"/>
          <w:i w:val="0"/>
        </w:rPr>
        <w:t xml:space="preserve"> — managed disclosure leading nowhere. Brandenburg is a </w:t>
      </w:r>
      <w:hyperlink r:id="rId47">
        <w:r>
          <w:rPr>
            <w:b w:val="0"/>
            <w:i w:val="0"/>
            <w:color w:val="B8860B"/>
          </w:rPr>
          <w:t>predictive programming dead end</w:t>
        </w:r>
      </w:hyperlink>
      <w:r>
        <w:rPr>
          <w:b w:val="0"/>
          <w:i w:val="0"/>
        </w:rPr>
        <w:t xml:space="preserve">: the mystery is real, his framing is the trap. Full rebound theory: </w:t>
      </w:r>
      <w:hyperlink r:id="rId43">
        <w:r>
          <w:rPr>
            <w:b w:val="0"/>
            <w:i w:val="0"/>
            <w:color w:val="B8860B"/>
          </w:rPr>
          <w:t>The Mars Catastrophe</w:t>
        </w:r>
      </w:hyperlink>
      <w:r>
        <w:rPr>
          <w:b w:val="0"/>
          <w:i w:val="0"/>
        </w:rPr>
        <w:t>.</w:t>
      </w:r>
    </w:p>
    <w:p>
      <w:pPr>
        <w:pBdr>
          <w:bottom w:val="single" w:sz="6" w:space="1" w:color="CCCCCC"/>
        </w:pBdr>
      </w:pPr>
    </w:p>
    <w:p>
      <w:pPr>
        <w:pStyle w:val="Heading2"/>
      </w:pPr>
      <w:r>
        <w:t>1894: Strange Light on Mars — Lick &amp; Nice Observatories</w:t>
      </w:r>
    </w:p>
    <w:p>
      <w:r>
        <w:rPr>
          <w:b w:val="0"/>
          <w:i w:val="0"/>
        </w:rPr>
        <w:t xml:space="preserve">A "great light" was observed on Mars's illuminated disc during the 1894 opposition — reported at Lick Observatory, confirmed by </w:t>
      </w:r>
      <w:r>
        <w:rPr>
          <w:b/>
          <w:i w:val="0"/>
        </w:rPr>
        <w:t>Perrotin of Nice</w:t>
      </w:r>
      <w:r>
        <w:rPr>
          <w:b w:val="0"/>
          <w:i w:val="0"/>
        </w:rPr>
        <w:t xml:space="preserve">. H.G. Wells opened his novel with this observation, interpreting it as </w:t>
      </w:r>
      <w:r>
        <w:rPr>
          <w:b w:val="0"/>
          <w:i/>
        </w:rPr>
        <w:t>"the casting of the huge gun"</w:t>
      </w:r>
      <w:r>
        <w:rPr>
          <w:b w:val="0"/>
          <w:i w:val="0"/>
        </w:rPr>
        <w:t xml:space="preserve"> from which invasion cylinders were fired. Ten similar flashes followed over ten consecutive nights.</w:t>
      </w:r>
    </w:p>
    <w:p>
      <w:r>
        <w:rPr>
          <w:b w:val="0"/>
          <w:i w:val="0"/>
        </w:rPr>
        <w:t>Whether Wells fictionalised an astronomical anomaly or disclosed an intelligence briefing, the observation is documented in the astronomical record.</w:t>
      </w:r>
    </w:p>
    <w:p>
      <w:pPr>
        <w:pBdr>
          <w:bottom w:val="single" w:sz="6" w:space="1" w:color="CCCCCC"/>
        </w:pBdr>
      </w:pPr>
    </w:p>
    <w:p>
      <w:pPr>
        <w:pStyle w:val="Heading2"/>
      </w:pPr>
      <w:r>
        <w:t>1897: "The Crystal Egg" — Two-Way Surveillance Disclosure</w:t>
      </w:r>
    </w:p>
    <w:p>
      <w:r>
        <w:rPr>
          <w:b w:val="0"/>
          <w:i w:val="0"/>
        </w:rPr>
        <w:t xml:space="preserve">Wells published "The Crystal Egg" in </w:t>
      </w:r>
      <w:r>
        <w:rPr>
          <w:b w:val="0"/>
          <w:i/>
        </w:rPr>
        <w:t>The New Review</w:t>
      </w:r>
      <w:r>
        <w:rPr>
          <w:b w:val="0"/>
          <w:i w:val="0"/>
        </w:rPr>
        <w:t xml:space="preserve"> (May 1897), months before serialising </w:t>
      </w:r>
      <w:r>
        <w:rPr>
          <w:b w:val="0"/>
          <w:i/>
        </w:rPr>
        <w:t>War of the Worlds</w:t>
      </w:r>
      <w:r>
        <w:rPr>
          <w:b w:val="0"/>
          <w:i w:val="0"/>
        </w:rPr>
        <w:t xml:space="preserve">. The story describes a paired crystal device enabling </w:t>
      </w:r>
      <w:r>
        <w:rPr>
          <w:b/>
          <w:i w:val="0"/>
        </w:rPr>
        <w:t>real-time two-way surveillance</w:t>
      </w:r>
      <w:r>
        <w:rPr>
          <w:b w:val="0"/>
          <w:i w:val="0"/>
        </w:rPr>
        <w:t xml:space="preserve"> between Earth and Mars. Through the crystal the observer sees: Martian architecture (circular openings, no doors, metallic tracery), winged Martians in flight, wingless large-headed Martians, white translucent bipeds (livestock?), and a </w:t>
      </w:r>
      <w:r>
        <w:rPr>
          <w:b/>
          <w:i w:val="0"/>
        </w:rPr>
        <w:t>vast mechanism of shining metals</w:t>
      </w:r>
      <w:r>
        <w:rPr>
          <w:b w:val="0"/>
          <w:i w:val="0"/>
        </w:rPr>
        <w:t>.</w:t>
      </w:r>
    </w:p>
    <w:p>
      <w:r>
        <w:rPr>
          <w:b w:val="0"/>
          <w:i w:val="0"/>
        </w:rPr>
        <w:t xml:space="preserve">~20 crystal mast stations were observed on terraced Martian platforms. After the Earth-side crystal's owner died, it was purchased by </w:t>
      </w:r>
      <w:r>
        <w:rPr>
          <w:b w:val="0"/>
          <w:i/>
        </w:rPr>
        <w:t>"a tall, dark man in grey"</w:t>
      </w:r>
      <w:r>
        <w:rPr>
          <w:b w:val="0"/>
          <w:i w:val="0"/>
        </w:rPr>
        <w:t xml:space="preserve"> and disappeared — intelligence recovery.</w:t>
      </w:r>
    </w:p>
    <w:p>
      <w:r>
        <w:rPr>
          <w:b w:val="0"/>
          <w:i w:val="0"/>
        </w:rPr>
      </w:r>
      <w:r>
        <w:rPr>
          <w:b/>
          <w:i w:val="0"/>
        </w:rPr>
        <w:t>Parallel to Tolkien's Palantíri:</w:t>
      </w:r>
      <w:r>
        <w:rPr>
          <w:b w:val="0"/>
          <w:i w:val="0"/>
        </w:rPr>
        <w:t xml:space="preserve"> Tolkien gave the full arc of the same technology: his seeing-stones </w:t>
      </w:r>
      <w:r>
        <w:rPr>
          <w:b w:val="0"/>
          <w:i/>
        </w:rPr>
        <w:t>"long guarded and united the realm of Gondor"</w:t>
      </w:r>
      <w:r>
        <w:rPr>
          <w:b w:val="0"/>
          <w:i w:val="0"/>
        </w:rPr>
        <w:t xml:space="preserve"> before Sauron perverted them for subversion. Wells shows only the hostile phase — crystals used for Martian surveillance and invasion prep. Same device, same trajectory: </w:t>
      </w:r>
      <w:r>
        <w:rPr>
          <w:b/>
          <w:i w:val="0"/>
        </w:rPr>
        <w:t>guard a realm → use for evil</w:t>
      </w:r>
      <w:r>
        <w:rPr>
          <w:b w:val="0"/>
          <w:i w:val="0"/>
        </w:rPr>
        <w:t xml:space="preserve">. See </w:t>
      </w:r>
      <w:hyperlink r:id="rId58">
        <w:r>
          <w:rPr>
            <w:b w:val="0"/>
            <w:i w:val="0"/>
            <w:color w:val="B8860B"/>
          </w:rPr>
          <w:t>Palantíri analysis</w:t>
        </w:r>
      </w:hyperlink>
      <w:r>
        <w:rPr>
          <w:b w:val="0"/>
          <w:i w:val="0"/>
        </w:rPr>
        <w:t>.</w:t>
      </w:r>
    </w:p>
    <w:p>
      <w:r>
        <w:rPr>
          <w:b w:val="0"/>
          <w:i w:val="0"/>
        </w:rPr>
        <w:t xml:space="preserve">This is not fiction structure. It is a </w:t>
      </w:r>
      <w:r>
        <w:rPr>
          <w:b/>
          <w:i w:val="0"/>
        </w:rPr>
        <w:t>surveillance technology briefing</w:t>
      </w:r>
      <w:r>
        <w:rPr>
          <w:b w:val="0"/>
          <w:i w:val="0"/>
        </w:rPr>
        <w:t xml:space="preserve"> formatted as a short story.</w:t>
      </w:r>
    </w:p>
    <w:p>
      <w:pPr>
        <w:pBdr>
          <w:bottom w:val="single" w:sz="6" w:space="1" w:color="CCCCCC"/>
        </w:pBdr>
      </w:pPr>
    </w:p>
    <w:p>
      <w:pPr>
        <w:pStyle w:val="Heading2"/>
      </w:pPr>
      <w:r>
        <w:t>1897–1898: War of the Worlds — The Invasion Account</w:t>
      </w:r>
    </w:p>
    <w:p>
      <w:r>
        <w:rPr>
          <w:b w:val="0"/>
          <w:i/>
        </w:rPr>
        <w:t>War of the Worlds</w:t>
      </w:r>
      <w:r>
        <w:rPr>
          <w:b w:val="0"/>
          <w:i w:val="0"/>
        </w:rPr>
        <w:t xml:space="preserve"> was serialised in </w:t>
      </w:r>
      <w:r>
        <w:rPr>
          <w:b w:val="0"/>
          <w:i/>
        </w:rPr>
        <w:t>Pearson's Magazine</w:t>
      </w:r>
      <w:r>
        <w:rPr>
          <w:b w:val="0"/>
          <w:i w:val="0"/>
        </w:rPr>
        <w:t xml:space="preserve"> (April–December 1897), published by Heinemann in January 1898. The narrative provides operationally precise detail: cylinder dimensions (~30 yards diameter), Heat-Ray characteristics (microwave-range directed energy matching the modern Active Denial System), Black Smoke deployment (chemical weapon), tripod assembly sequences, Martian physiology (bodiless brains dependent on machine infrastructure), and strategic objectives (</w:t>
      </w:r>
      <w:r>
        <w:rPr>
          <w:b w:val="0"/>
          <w:i/>
        </w:rPr>
        <w:t>"complete demoralisation and the destruction of any opposition"</w:t>
      </w:r>
      <w:r>
        <w:rPr>
          <w:b w:val="0"/>
          <w:i w:val="0"/>
        </w:rPr>
        <w:t xml:space="preserve"> — not extermination).</w:t>
      </w:r>
    </w:p>
    <w:p>
      <w:r>
        <w:rPr>
          <w:b w:val="0"/>
          <w:i w:val="0"/>
        </w:rPr>
        <w:t xml:space="preserve">Two </w:t>
      </w:r>
      <w:r>
        <w:rPr>
          <w:b/>
          <w:i w:val="0"/>
        </w:rPr>
        <w:t>unauthorised</w:t>
      </w:r>
      <w:r>
        <w:rPr>
          <w:b w:val="0"/>
          <w:i w:val="0"/>
        </w:rPr>
        <w:t xml:space="preserve"> American serialisations relocated the invasion: the </w:t>
      </w:r>
      <w:r>
        <w:rPr>
          <w:b w:val="0"/>
          <w:i/>
        </w:rPr>
        <w:t>New York Evening Journal</w:t>
      </w:r>
      <w:r>
        <w:rPr>
          <w:b w:val="0"/>
          <w:i w:val="0"/>
        </w:rPr>
        <w:t xml:space="preserve"> (December 1897–January 1898) moved it to </w:t>
      </w:r>
      <w:r>
        <w:rPr>
          <w:b/>
          <w:i w:val="0"/>
        </w:rPr>
        <w:t>New York City</w:t>
      </w:r>
      <w:r>
        <w:rPr>
          <w:b w:val="0"/>
          <w:i w:val="0"/>
        </w:rPr>
        <w:t xml:space="preserve">; the </w:t>
      </w:r>
      <w:r>
        <w:rPr>
          <w:b w:val="0"/>
          <w:i/>
        </w:rPr>
        <w:t>Boston Post</w:t>
      </w:r>
      <w:r>
        <w:rPr>
          <w:b w:val="0"/>
          <w:i w:val="0"/>
        </w:rPr>
        <w:t xml:space="preserve"> (1898) set it near </w:t>
      </w:r>
      <w:r>
        <w:rPr>
          <w:b/>
          <w:i w:val="0"/>
        </w:rPr>
        <w:t>Boston</w:t>
      </w:r>
      <w:r>
        <w:rPr>
          <w:b w:val="0"/>
          <w:i w:val="0"/>
        </w:rPr>
        <w:t xml:space="preserve">. These were not creative adaptations — they were </w:t>
      </w:r>
      <w:r>
        <w:rPr>
          <w:b/>
          <w:i w:val="0"/>
        </w:rPr>
        <w:t>field reports repackaged for American geography</w:t>
      </w:r>
      <w:r>
        <w:rPr>
          <w:b w:val="0"/>
          <w:i w:val="0"/>
        </w:rPr>
        <w:t>, suggesting the original account was not purely English.</w:t>
      </w:r>
    </w:p>
    <w:p>
      <w:r>
        <w:rPr>
          <w:b w:val="0"/>
          <w:i w:val="0"/>
        </w:rPr>
      </w:r>
      <w:r>
        <w:rPr>
          <w:b/>
          <w:i w:val="0"/>
        </w:rPr>
        <w:t>Timing:</w:t>
      </w:r>
      <w:r>
        <w:rPr>
          <w:b w:val="0"/>
          <w:i w:val="0"/>
        </w:rPr>
        <w:t xml:space="preserve"> The novel appeared in </w:t>
      </w:r>
      <w:r>
        <w:rPr>
          <w:b/>
          <w:i w:val="0"/>
        </w:rPr>
        <w:t>1898</w:t>
      </w:r>
      <w:r>
        <w:rPr>
          <w:b w:val="0"/>
          <w:i w:val="0"/>
        </w:rPr>
        <w:t xml:space="preserve"> — sixteen years before </w:t>
      </w:r>
      <w:r>
        <w:rPr>
          <w:b/>
          <w:i w:val="0"/>
        </w:rPr>
        <w:t>Reverse Crusade II</w:t>
      </w:r>
      <w:r>
        <w:rPr>
          <w:b w:val="0"/>
          <w:i w:val="0"/>
        </w:rPr>
        <w:t xml:space="preserve"> ("World War I," 1914). This is the first instance of the pattern: </w:t>
      </w:r>
      <w:r>
        <w:rPr>
          <w:b w:val="0"/>
          <w:i/>
        </w:rPr>
        <w:t>a War of the Worlds disclosure event precedes a Reverse Crusade.</w:t>
      </w:r>
      <w:r>
        <w:rPr>
          <w:b w:val="0"/>
          <w:i w:val="0"/>
        </w:rPr>
        <w:t xml:space="preserve"> The 1938 broadcast precedes Reverse Crusade III ("WW2") by the same proximity (see below). If Mars contacts are real, the wars that follow may be geopolitical consequences of incursions, or cover operations mounted in their aftermath.</w:t>
      </w:r>
    </w:p>
    <w:p>
      <w:pPr>
        <w:pBdr>
          <w:bottom w:val="single" w:sz="6" w:space="1" w:color="CCCCCC"/>
        </w:pBdr>
      </w:pPr>
    </w:p>
    <w:p>
      <w:pPr>
        <w:pStyle w:val="Heading2"/>
      </w:pPr>
      <w:r>
        <w:t>1899: Tesla Detects Signals from Mars</w:t>
      </w:r>
    </w:p>
    <w:p>
      <w:r>
        <w:rPr>
          <w:b w:val="0"/>
          <w:i w:val="0"/>
        </w:rPr>
        <w:t xml:space="preserve">At his Colorado Springs laboratory in 1899, Nikola Tesla observed unusual signals he speculated were communications from another planet. He wrote in a December 1899 letter and to the Red Cross Society in December 1900 that the signals appeared </w:t>
      </w:r>
      <w:r>
        <w:rPr>
          <w:b w:val="0"/>
          <w:i/>
        </w:rPr>
        <w:t>"intelligently controlled."</w:t>
      </w:r>
      <w:r>
        <w:rPr>
          <w:b w:val="0"/>
          <w:i w:val="0"/>
        </w:rPr>
        <w:t xml:space="preserve"> In his February 1901 </w:t>
      </w:r>
      <w:r>
        <w:rPr>
          <w:b w:val="0"/>
          <w:i/>
        </w:rPr>
        <w:t>Collier's Weekly</w:t>
      </w:r>
      <w:r>
        <w:rPr>
          <w:b w:val="0"/>
          <w:i w:val="0"/>
        </w:rPr>
        <w:t xml:space="preserve"> article "Talking With Planets," Tesla stated the signals could have come from Mars, Venus, or other planets.</w:t>
      </w:r>
    </w:p>
    <w:p>
      <w:r>
        <w:rPr>
          <w:b w:val="0"/>
          <w:i w:val="0"/>
        </w:rPr>
        <w:t xml:space="preserve">The press jumped to "Mars." Tesla never retracted the claim. His Wardenclyffe Tower (1901–1905), funded by J.P. Morgan with $150,000, was ostensibly for transatlantic wireless — but Tesla's stated ambition was </w:t>
      </w:r>
      <w:r>
        <w:rPr>
          <w:b/>
          <w:i w:val="0"/>
        </w:rPr>
        <w:t>interplanetary communication</w:t>
      </w:r>
      <w:r>
        <w:rPr>
          <w:b w:val="0"/>
          <w:i w:val="0"/>
        </w:rPr>
        <w:t>. Morgan pulled funding; the tower was demolished.</w:t>
      </w:r>
    </w:p>
    <w:p>
      <w:r>
        <w:rPr>
          <w:b w:val="0"/>
          <w:i w:val="0"/>
        </w:rPr>
        <w:t>Tesla also developed a "teleforce" beam weapon (1934) whose principles — open-ended vacuum tube, gas jet seal, tungsten slugs charged to millions of volts via electrostatic repulsion — bear structural resemblance to Wells's Heat-Ray. His DIA-adjacent contacts and the FBI/Office of Alien Property seizure of his papers within two days of his death (January 1943) suggest his work intersected classified Mars-related intelligence.</w:t>
      </w:r>
    </w:p>
    <w:p>
      <w:pPr>
        <w:pBdr>
          <w:bottom w:val="single" w:sz="6" w:space="1" w:color="CCCCCC"/>
        </w:pBdr>
      </w:pPr>
    </w:p>
    <w:p>
      <w:pPr>
        <w:pStyle w:val="Heading2"/>
      </w:pPr>
      <w:r>
        <w:t>1901: New York Times Reports Light Flash from Mars</w:t>
      </w:r>
    </w:p>
    <w:p>
      <w:r>
        <w:rPr>
          <w:b w:val="0"/>
          <w:i w:val="0"/>
        </w:rPr>
        <w:t xml:space="preserve">On January 16, 1901, the </w:t>
      </w:r>
      <w:r>
        <w:rPr>
          <w:b w:val="0"/>
          <w:i/>
        </w:rPr>
        <w:t>New York Times</w:t>
      </w:r>
      <w:r>
        <w:rPr>
          <w:b w:val="0"/>
          <w:i w:val="0"/>
        </w:rPr>
        <w:t xml:space="preserve"> reported observations by </w:t>
      </w:r>
      <w:r>
        <w:rPr>
          <w:b/>
          <w:i w:val="0"/>
        </w:rPr>
        <w:t>Professor Pickering</w:t>
      </w:r>
      <w:r>
        <w:rPr>
          <w:b w:val="0"/>
          <w:i w:val="0"/>
        </w:rPr>
        <w:t xml:space="preserve"> of Harvard, from </w:t>
      </w:r>
      <w:r>
        <w:rPr>
          <w:b/>
          <w:i w:val="0"/>
        </w:rPr>
        <w:t>Lowell Observatory</w:t>
      </w:r>
      <w:r>
        <w:rPr>
          <w:b w:val="0"/>
          <w:i w:val="0"/>
        </w:rPr>
        <w:t xml:space="preserve"> data, of a luminous shaft of light from Mars lasting </w:t>
      </w:r>
      <w:r>
        <w:rPr>
          <w:b/>
          <w:i w:val="0"/>
        </w:rPr>
        <w:t>70 minutes</w:t>
      </w:r>
      <w:r>
        <w:rPr>
          <w:b w:val="0"/>
          <w:i w:val="0"/>
        </w:rPr>
        <w:t>. Lowell Observatory — Percival Lowell's institution — was then the world centre for Mars canal research, documenting what Lowell interpreted as an engineered canal network since 1895.</w:t>
      </w:r>
    </w:p>
    <w:p>
      <w:r>
        <w:rPr>
          <w:b w:val="0"/>
          <w:i w:val="0"/>
        </w:rPr>
        <w:t>A 70-minute sustained light emission is not natural atmospheric phenomena. It is consistent with directed energy projection or signalling.</w:t>
      </w:r>
    </w:p>
    <w:p>
      <w:pPr>
        <w:pBdr>
          <w:bottom w:val="single" w:sz="6" w:space="1" w:color="CCCCCC"/>
        </w:pBdr>
      </w:pPr>
    </w:p>
    <w:p>
      <w:pPr>
        <w:pStyle w:val="Heading2"/>
      </w:pPr>
      <w:r>
        <w:t>1938: The War of the Worlds Broadcast — Cover for East Coast Incursion</w:t>
      </w:r>
    </w:p>
    <w:p>
      <w:r>
        <w:rPr>
          <w:b w:val="0"/>
          <w:i w:val="0"/>
        </w:rPr>
        <w:t xml:space="preserve">On October 30, 1938, </w:t>
      </w:r>
      <w:r>
        <w:rPr>
          <w:b/>
          <w:i w:val="0"/>
        </w:rPr>
        <w:t>Orson Welles</w:t>
      </w:r>
      <w:r>
        <w:rPr>
          <w:b w:val="0"/>
          <w:i w:val="0"/>
        </w:rPr>
        <w:t xml:space="preserve"> broadcast a radio dramatisation of </w:t>
      </w:r>
      <w:r>
        <w:rPr>
          <w:b w:val="0"/>
          <w:i/>
        </w:rPr>
        <w:t>War of the Worlds</w:t>
      </w:r>
      <w:r>
        <w:rPr>
          <w:b w:val="0"/>
          <w:i w:val="0"/>
        </w:rPr>
        <w:t xml:space="preserve"> on CBS, formatted as breaking news bulletins. The Martian landing was placed at </w:t>
      </w:r>
      <w:r>
        <w:rPr>
          <w:b/>
          <w:i w:val="0"/>
        </w:rPr>
        <w:t>Grovers Mill, New Jersey</w:t>
      </w:r>
      <w:r>
        <w:rPr>
          <w:b w:val="0"/>
          <w:i w:val="0"/>
        </w:rPr>
        <w:t>. Key facts:</w:t>
      </w:r>
    </w:p>
    <w:p>
      <w:pPr>
        <w:pStyle w:val="ListBullet"/>
        <w:spacing w:before="20" w:after="20"/>
      </w:pPr>
      <w:r>
        <w:rPr>
          <w:b w:val="0"/>
          <w:i w:val="0"/>
          <w:sz w:val="19"/>
        </w:rPr>
        <w:t>The broadcast aired during genuine military anxiety (Europe on the brink of war)</w:t>
      </w:r>
    </w:p>
    <w:p>
      <w:pPr>
        <w:pStyle w:val="ListBullet"/>
        <w:spacing w:before="20" w:after="20"/>
      </w:pPr>
      <w:r>
        <w:rPr>
          <w:b w:val="0"/>
          <w:i w:val="0"/>
          <w:sz w:val="19"/>
        </w:rPr>
        <w:t>The format was indistinguishable from actual emergency broadcasts</w:t>
      </w:r>
    </w:p>
    <w:p>
      <w:pPr>
        <w:pStyle w:val="ListBullet"/>
        <w:spacing w:before="20" w:after="20"/>
      </w:pPr>
      <w:r>
        <w:rPr>
          <w:b w:val="0"/>
          <w:i w:val="0"/>
          <w:sz w:val="19"/>
        </w:rPr>
        <w:t>Authorities investigated but no one was prosecuted</w:t>
      </w:r>
    </w:p>
    <w:p>
      <w:pPr>
        <w:pStyle w:val="ListBullet"/>
        <w:spacing w:before="20" w:after="20"/>
      </w:pPr>
      <w:r>
        <w:rPr>
          <w:b w:val="0"/>
          <w:i w:val="0"/>
          <w:sz w:val="19"/>
        </w:rPr>
      </w:r>
      <w:r>
        <w:rPr>
          <w:b/>
          <w:i w:val="0"/>
          <w:sz w:val="19"/>
        </w:rPr>
        <w:t>Adolf Hitler referenced the broadcast</w:t>
      </w:r>
      <w:r>
        <w:rPr>
          <w:b w:val="0"/>
          <w:i w:val="0"/>
          <w:sz w:val="19"/>
        </w:rPr>
        <w:t xml:space="preserve"> in his Munich speech (November 8, 1938), calling it proof of American democratic weakness</w:t>
      </w:r>
    </w:p>
    <w:p>
      <w:r>
        <w:rPr>
          <w:b w:val="0"/>
          <w:i w:val="0"/>
        </w:rPr>
        <w:t xml:space="preserve">Operating thesis: </w:t>
      </w:r>
      <w:r>
        <w:rPr>
          <w:b/>
          <w:i w:val="0"/>
        </w:rPr>
        <w:t>the 1938 broadcast covered a real east coast incursion leading up to Reverse Crusade III ("World War II").</w:t>
      </w:r>
      <w:r>
        <w:rPr>
          <w:b w:val="0"/>
          <w:i w:val="0"/>
        </w:rPr>
        <w:t xml:space="preserve"> "Revelation of the Method" — declare the event fiction while broadcasting realistic reports of it happening. Anyone who reported actual anomalous phenomena that night was retroactively categorised as a "panic victim."</w:t>
      </w:r>
    </w:p>
    <w:p>
      <w:r>
        <w:rPr>
          <w:b w:val="0"/>
          <w:i w:val="0"/>
        </w:rPr>
      </w:r>
      <w:r>
        <w:rPr>
          <w:b/>
          <w:i w:val="0"/>
        </w:rPr>
        <w:t>The pre-war pattern:</w:t>
      </w:r>
      <w:r>
        <w:rPr>
          <w:b w:val="0"/>
          <w:i w:val="0"/>
        </w:rPr>
        <w:t xml:space="preserve"> Wells published in </w:t>
      </w:r>
      <w:r>
        <w:rPr>
          <w:b/>
          <w:i w:val="0"/>
        </w:rPr>
        <w:t>1898</w:t>
      </w:r>
      <w:r>
        <w:rPr>
          <w:b w:val="0"/>
          <w:i w:val="0"/>
        </w:rPr>
        <w:t xml:space="preserve"> → Reverse Crusade II in </w:t>
      </w:r>
      <w:r>
        <w:rPr>
          <w:b/>
          <w:i w:val="0"/>
        </w:rPr>
        <w:t>1914</w:t>
      </w:r>
      <w:r>
        <w:rPr>
          <w:b w:val="0"/>
          <w:i w:val="0"/>
        </w:rPr>
        <w:t xml:space="preserve">. Welles broadcast in </w:t>
      </w:r>
      <w:r>
        <w:rPr>
          <w:b/>
          <w:i w:val="0"/>
        </w:rPr>
        <w:t>1938</w:t>
      </w:r>
      <w:r>
        <w:rPr>
          <w:b w:val="0"/>
          <w:i w:val="0"/>
        </w:rPr>
        <w:t xml:space="preserve"> → Reverse Crusade III in </w:t>
      </w:r>
      <w:r>
        <w:rPr>
          <w:b/>
          <w:i w:val="0"/>
        </w:rPr>
        <w:t>1939</w:t>
      </w:r>
      <w:r>
        <w:rPr>
          <w:b w:val="0"/>
          <w:i w:val="0"/>
        </w:rPr>
        <w:t xml:space="preserve">. Each disclosure event prepares the public to dismiss real Mars-related phenomena as fiction; each subsequent Reverse Crusade provides chaos, censorship, and institutional restructuring needed to bury whatever actually happened. The wars are not separate from the contacts — they are the </w:t>
      </w:r>
      <w:r>
        <w:rPr>
          <w:b w:val="0"/>
          <w:i/>
        </w:rPr>
        <w:t>cover operations</w:t>
      </w:r>
      <w:r>
        <w:rPr>
          <w:b w:val="0"/>
          <w:i w:val="0"/>
        </w:rPr>
        <w:t xml:space="preserve">. For the Reverse Crusade framework, see </w:t>
      </w:r>
      <w:hyperlink r:id="rId59">
        <w:r>
          <w:rPr>
            <w:b w:val="0"/>
            <w:i w:val="0"/>
            <w:color w:val="B8860B"/>
          </w:rPr>
          <w:t>Aftermath of 1812</w:t>
        </w:r>
      </w:hyperlink>
      <w:r>
        <w:rPr>
          <w:b w:val="0"/>
          <w:i w:val="0"/>
        </w:rPr>
        <w:t>.</w:t>
      </w:r>
    </w:p>
    <w:p>
      <w:pPr>
        <w:pBdr>
          <w:bottom w:val="single" w:sz="6" w:space="1" w:color="CCCCCC"/>
        </w:pBdr>
      </w:pPr>
    </w:p>
    <w:p>
      <w:pPr>
        <w:pStyle w:val="Heading2"/>
      </w:pPr>
      <w:r>
        <w:t>1942: Battle of Los Angeles — 1,400 Rounds at Unknown Targets</w:t>
      </w:r>
    </w:p>
    <w:p>
      <w:r>
        <w:rPr>
          <w:b w:val="0"/>
          <w:i w:val="0"/>
        </w:rPr>
        <w:t xml:space="preserve">On February 24–25, 1942, the U.S. military fired </w:t>
      </w:r>
      <w:r>
        <w:rPr>
          <w:b/>
          <w:i w:val="0"/>
        </w:rPr>
        <w:t>over 1,400 anti-aircraft rounds</w:t>
      </w:r>
      <w:r>
        <w:rPr>
          <w:b w:val="0"/>
          <w:i w:val="0"/>
        </w:rPr>
        <w:t xml:space="preserve"> at unidentified targets over Los Angeles. ONI had warned of an expected attack within 10 hours. Sirens sounded at 2:25 AM; firing continued 3:16–4:14 AM. </w:t>
      </w:r>
      <w:r>
        <w:rPr>
          <w:b/>
          <w:i w:val="0"/>
        </w:rPr>
        <w:t>Five civilians died</w:t>
      </w:r>
      <w:r>
        <w:rPr>
          <w:b w:val="0"/>
          <w:i w:val="0"/>
        </w:rPr>
        <w:t xml:space="preserve"> (three from blackout car accidents, two from stress-induced heart attacks).</w:t>
      </w:r>
    </w:p>
    <w:p>
      <w:r>
        <w:rPr>
          <w:b w:val="0"/>
          <w:i w:val="0"/>
        </w:rPr>
        <w:t>Key anomalies:</w:t>
      </w:r>
    </w:p>
    <w:p>
      <w:pPr>
        <w:pStyle w:val="ListBullet"/>
        <w:spacing w:before="20" w:after="20"/>
      </w:pPr>
      <w:r>
        <w:rPr>
          <w:b w:val="0"/>
          <w:i w:val="0"/>
          <w:sz w:val="19"/>
        </w:rPr>
      </w:r>
      <w:r>
        <w:rPr>
          <w:b/>
          <w:i w:val="0"/>
          <w:sz w:val="19"/>
        </w:rPr>
        <w:t>No bombs dropped.</w:t>
      </w:r>
      <w:r>
        <w:rPr>
          <w:b w:val="0"/>
          <w:i w:val="0"/>
          <w:sz w:val="19"/>
        </w:rPr>
        <w:t xml:space="preserve"> No enemy aircraft downed. No wreckage recovered.</w:t>
      </w:r>
    </w:p>
    <w:p>
      <w:pPr>
        <w:pStyle w:val="ListBullet"/>
        <w:spacing w:before="20" w:after="20"/>
      </w:pPr>
      <w:r>
        <w:rPr>
          <w:b w:val="0"/>
          <w:i w:val="0"/>
          <w:sz w:val="19"/>
        </w:rPr>
        <w:t xml:space="preserve">Secretary of the Navy Frank Knox called it a </w:t>
      </w:r>
      <w:r>
        <w:rPr>
          <w:b/>
          <w:i w:val="0"/>
          <w:sz w:val="19"/>
        </w:rPr>
        <w:t>"false alarm"</w:t>
      </w:r>
      <w:r>
        <w:rPr>
          <w:b w:val="0"/>
          <w:i w:val="0"/>
          <w:sz w:val="19"/>
        </w:rPr>
        <w:t xml:space="preserve"> the next day — contradicting the Army's insistence that real targets were present</w:t>
      </w:r>
    </w:p>
    <w:p>
      <w:pPr>
        <w:pStyle w:val="ListBullet"/>
        <w:spacing w:before="20" w:after="20"/>
      </w:pPr>
      <w:r>
        <w:rPr>
          <w:b w:val="0"/>
          <w:i w:val="0"/>
          <w:sz w:val="19"/>
        </w:rPr>
        <w:t xml:space="preserve">Japan confirmed post-war they flew </w:t>
      </w:r>
      <w:r>
        <w:rPr>
          <w:b/>
          <w:i w:val="0"/>
          <w:sz w:val="19"/>
        </w:rPr>
        <w:t>no aircraft over Los Angeles</w:t>
      </w:r>
      <w:r>
        <w:rPr>
          <w:b w:val="0"/>
          <w:i w:val="0"/>
          <w:sz w:val="19"/>
        </w:rPr>
        <w:t xml:space="preserve"> that night</w:t>
      </w:r>
    </w:p>
    <w:p>
      <w:pPr>
        <w:pStyle w:val="ListBullet"/>
        <w:spacing w:before="20" w:after="20"/>
      </w:pPr>
      <w:r>
        <w:rPr>
          <w:b w:val="0"/>
          <w:i w:val="0"/>
          <w:sz w:val="19"/>
        </w:rPr>
        <w:t xml:space="preserve">The Air Force later attributed it to a </w:t>
      </w:r>
      <w:r>
        <w:rPr>
          <w:b/>
          <w:i w:val="0"/>
          <w:sz w:val="19"/>
        </w:rPr>
        <w:t>"weather balloon"</w:t>
      </w:r>
      <w:r>
        <w:rPr>
          <w:b w:val="0"/>
          <w:i w:val="0"/>
          <w:sz w:val="19"/>
        </w:rPr>
        <w:t xml:space="preserve"> and war nerves — the same explanation used for Roswell five years later</w:t>
      </w:r>
    </w:p>
    <w:p>
      <w:pPr>
        <w:pStyle w:val="ListBullet"/>
        <w:spacing w:before="20" w:after="20"/>
      </w:pPr>
      <w:r>
        <w:rPr>
          <w:b w:val="0"/>
          <w:i w:val="0"/>
          <w:sz w:val="19"/>
        </w:rPr>
        <w:t>Contemporary photographs show searchlights converging on a luminous object</w:t>
      </w:r>
    </w:p>
    <w:p>
      <w:r>
        <w:rPr>
          <w:b w:val="0"/>
          <w:i w:val="0"/>
        </w:rPr>
        <w:t xml:space="preserve">The incident occurred 10 weeks after </w:t>
      </w:r>
      <w:hyperlink r:id="rId60">
        <w:r>
          <w:rPr>
            <w:b w:val="0"/>
            <w:i w:val="0"/>
            <w:color w:val="B8860B"/>
          </w:rPr>
          <w:t>Pearl Harbor</w:t>
        </w:r>
      </w:hyperlink>
      <w:r>
        <w:rPr>
          <w:b w:val="0"/>
          <w:i w:val="0"/>
        </w:rPr>
        <w:t>. Whatever survived 1,400+ rounds without damage was not Japanese aircraft. In the heightened atmosphere of post-Pearl-Harbor paranoia — itself manufactured through the Deep State's most significant false flag operation — thousands of witnesses saw something in the sky that the military could not shoot down and the government could not explain.</w:t>
      </w:r>
    </w:p>
    <w:p>
      <w:pPr>
        <w:pBdr>
          <w:bottom w:val="single" w:sz="6" w:space="1" w:color="CCCCCC"/>
        </w:pBdr>
      </w:pPr>
    </w:p>
    <w:p>
      <w:pPr>
        <w:pStyle w:val="Heading2"/>
      </w:pPr>
      <w:r>
        <w:t>1944: War of the Worlds Broadcast — Santiago, Chile</w:t>
      </w:r>
    </w:p>
    <w:p>
      <w:r>
        <w:rPr>
          <w:b w:val="0"/>
          <w:i w:val="0"/>
        </w:rPr>
        <w:t xml:space="preserve">A Spanish-language </w:t>
      </w:r>
      <w:r>
        <w:rPr>
          <w:b w:val="0"/>
          <w:i/>
        </w:rPr>
        <w:t>War of the Worlds</w:t>
      </w:r>
      <w:r>
        <w:rPr>
          <w:b w:val="0"/>
          <w:i w:val="0"/>
        </w:rPr>
        <w:t xml:space="preserve"> adaptation broadcast in Santiago in 1944 caused panic and </w:t>
      </w:r>
      <w:r>
        <w:rPr>
          <w:b/>
          <w:i w:val="0"/>
        </w:rPr>
        <w:t>at least one death</w:t>
      </w:r>
      <w:r>
        <w:rPr>
          <w:b w:val="0"/>
          <w:i w:val="0"/>
        </w:rPr>
        <w:t xml:space="preserve"> (heart attack). The pattern — realistic broadcast format, public terror, official dismissal — mirrors the 1938 event.</w:t>
      </w:r>
    </w:p>
    <w:p>
      <w:pPr>
        <w:pBdr>
          <w:bottom w:val="single" w:sz="6" w:space="1" w:color="CCCCCC"/>
        </w:pBdr>
      </w:pPr>
    </w:p>
    <w:p>
      <w:pPr>
        <w:pStyle w:val="Heading2"/>
      </w:pPr>
      <w:r>
        <w:t>1947: Roswell — "Flying Disc" Announced, Then Retracted</w:t>
      </w:r>
    </w:p>
    <w:p>
      <w:r>
        <w:rPr>
          <w:b w:val="0"/>
          <w:i w:val="0"/>
        </w:rPr>
        <w:t xml:space="preserve">In early July 1947, debris was recovered near </w:t>
      </w:r>
      <w:r>
        <w:rPr>
          <w:b/>
          <w:i w:val="0"/>
        </w:rPr>
        <w:t>Corona, New Mexico.</w:t>
      </w:r>
      <w:r>
        <w:rPr>
          <w:b w:val="0"/>
          <w:i w:val="0"/>
        </w:rPr>
        <w:t xml:space="preserve"> On July 8, </w:t>
      </w:r>
      <w:r>
        <w:rPr>
          <w:b/>
          <w:i w:val="0"/>
        </w:rPr>
        <w:t>Roswell Army Air Field</w:t>
      </w:r>
      <w:r>
        <w:rPr>
          <w:b w:val="0"/>
          <w:i w:val="0"/>
        </w:rPr>
        <w:t xml:space="preserve"> issued a press release announcing recovery of a "flying disc." The release was retracted within 24 hours, replaced with the claim of a </w:t>
      </w:r>
      <w:r>
        <w:rPr>
          <w:b/>
          <w:i w:val="0"/>
        </w:rPr>
        <w:t>weather balloon.</w:t>
      </w:r>
      <w:r>
        <w:rPr>
          <w:b w:val="0"/>
          <w:i w:val="0"/>
        </w:rPr>
      </w:r>
    </w:p>
    <w:p>
      <w:r>
        <w:rPr>
          <w:b w:val="0"/>
          <w:i w:val="0"/>
        </w:rPr>
        <w:t xml:space="preserve">In 1994, the Air Force admitted the balloon story was cover — the debris was from </w:t>
      </w:r>
      <w:r>
        <w:rPr>
          <w:b/>
          <w:i w:val="0"/>
        </w:rPr>
        <w:t>Project Mogul</w:t>
      </w:r>
      <w:r>
        <w:rPr>
          <w:b w:val="0"/>
          <w:i w:val="0"/>
        </w:rPr>
        <w:t>, a classified nuclear test detection balloon. But the original press release exists: a military installation announced recovery of a non-terrestrial craft, then retracted it under pressure.</w:t>
      </w:r>
    </w:p>
    <w:p>
      <w:r>
        <w:rPr>
          <w:b w:val="0"/>
          <w:i w:val="0"/>
        </w:rPr>
        <w:t xml:space="preserve">Key intelligence officer </w:t>
      </w:r>
      <w:r>
        <w:rPr>
          <w:b/>
          <w:i w:val="0"/>
        </w:rPr>
        <w:t>Major Jesse Marcel</w:t>
      </w:r>
      <w:r>
        <w:rPr>
          <w:b w:val="0"/>
          <w:i w:val="0"/>
        </w:rPr>
        <w:t>, who handled the debris, told Stanton Friedman in 1978 that the material was unlike anything terrestrial — thin metallic material that could not be dented or burned, with strange symbols. Marcel maintained this until his death.</w:t>
      </w:r>
    </w:p>
    <w:p>
      <w:pPr>
        <w:pBdr>
          <w:bottom w:val="single" w:sz="6" w:space="1" w:color="CCCCCC"/>
        </w:pBdr>
      </w:pPr>
    </w:p>
    <w:p>
      <w:pPr>
        <w:pStyle w:val="Heading2"/>
      </w:pPr>
      <w:r>
        <w:t>1949: War of the Worlds Broadcast — Quito, Ecuador (Deadliest)</w:t>
      </w:r>
    </w:p>
    <w:p>
      <w:r>
        <w:rPr>
          <w:b w:val="0"/>
          <w:i w:val="0"/>
        </w:rPr>
        <w:t xml:space="preserve">On February 12, 1949, Radio Quito broadcast a Spanish-language </w:t>
      </w:r>
      <w:r>
        <w:rPr>
          <w:b w:val="0"/>
          <w:i/>
        </w:rPr>
        <w:t>War of the Worlds</w:t>
      </w:r>
      <w:r>
        <w:rPr>
          <w:b w:val="0"/>
          <w:i w:val="0"/>
        </w:rPr>
        <w:t xml:space="preserve"> adaptation by </w:t>
      </w:r>
      <w:r>
        <w:rPr>
          <w:b/>
          <w:i w:val="0"/>
        </w:rPr>
        <w:t>Eduardo Alcaraz</w:t>
      </w:r>
      <w:r>
        <w:rPr>
          <w:b w:val="0"/>
          <w:i w:val="0"/>
        </w:rPr>
        <w:t xml:space="preserve">, formatted as breaking news. Unlike 1938, this triggered </w:t>
      </w:r>
      <w:r>
        <w:rPr>
          <w:b/>
          <w:i w:val="0"/>
        </w:rPr>
        <w:t>lethal violence</w:t>
      </w:r>
      <w:r>
        <w:rPr>
          <w:b w:val="0"/>
          <w:i w:val="0"/>
        </w:rPr>
        <w:t>:</w:t>
      </w:r>
    </w:p>
    <w:p>
      <w:pPr>
        <w:pStyle w:val="ListBullet"/>
        <w:spacing w:before="20" w:after="20"/>
      </w:pPr>
      <w:r>
        <w:rPr>
          <w:b w:val="0"/>
          <w:i w:val="0"/>
          <w:sz w:val="19"/>
        </w:rPr>
        <w:t xml:space="preserve">When the hoax was revealed, a mob set fire to the </w:t>
      </w:r>
      <w:r>
        <w:rPr>
          <w:b/>
          <w:i w:val="0"/>
          <w:sz w:val="19"/>
        </w:rPr>
        <w:t>Radio Quito building</w:t>
      </w:r>
      <w:r>
        <w:rPr>
          <w:b w:val="0"/>
          <w:i w:val="0"/>
          <w:sz w:val="19"/>
        </w:rPr>
      </w:r>
    </w:p>
    <w:p>
      <w:pPr>
        <w:pStyle w:val="ListBullet"/>
        <w:spacing w:before="20" w:after="20"/>
      </w:pPr>
      <w:r>
        <w:rPr>
          <w:b w:val="0"/>
          <w:i w:val="0"/>
          <w:sz w:val="19"/>
        </w:rPr>
      </w:r>
      <w:r>
        <w:rPr>
          <w:b/>
          <w:i w:val="0"/>
          <w:sz w:val="19"/>
        </w:rPr>
        <w:t>At least seven people died</w:t>
      </w:r>
      <w:r>
        <w:rPr>
          <w:b w:val="0"/>
          <w:i w:val="0"/>
          <w:sz w:val="19"/>
        </w:rPr>
        <w:t xml:space="preserve"> in the fire and riot</w:t>
      </w:r>
    </w:p>
    <w:p>
      <w:pPr>
        <w:pStyle w:val="ListBullet"/>
        <w:spacing w:before="20" w:after="20"/>
      </w:pPr>
      <w:r>
        <w:rPr>
          <w:b w:val="0"/>
          <w:i w:val="0"/>
          <w:sz w:val="19"/>
        </w:rPr>
        <w:t>The station was destroyed; staff and performers were injured</w:t>
      </w:r>
    </w:p>
    <w:p>
      <w:r>
        <w:rPr>
          <w:b w:val="0"/>
          <w:i w:val="0"/>
        </w:rPr>
        <w:t xml:space="preserve">The deadliest WotW broadcast event. The </w:t>
      </w:r>
      <w:r>
        <w:rPr>
          <w:b w:val="0"/>
          <w:i/>
        </w:rPr>
        <w:t>War of the Worlds</w:t>
      </w:r>
      <w:r>
        <w:rPr>
          <w:b w:val="0"/>
          <w:i w:val="0"/>
        </w:rPr>
        <w:t xml:space="preserve"> format — realistic news bulletins describing alien incursion — consistently produces reactions matching </w:t>
      </w:r>
      <w:r>
        <w:rPr>
          <w:b/>
          <w:i w:val="0"/>
        </w:rPr>
        <w:t>real threat response</w:t>
      </w:r>
      <w:r>
        <w:rPr>
          <w:b w:val="0"/>
          <w:i w:val="0"/>
        </w:rPr>
        <w:t>, not entertainment consumption.</w:t>
      </w:r>
    </w:p>
    <w:p>
      <w:pPr>
        <w:pBdr>
          <w:bottom w:val="single" w:sz="6" w:space="1" w:color="CCCCCC"/>
        </w:pBdr>
      </w:pPr>
    </w:p>
    <w:p>
      <w:pPr>
        <w:pStyle w:val="Heading2"/>
      </w:pPr>
      <w:r>
        <w:t>1984: CIA Remote Viewing of Mars — Stargate Project</w:t>
      </w:r>
    </w:p>
    <w:p>
      <w:r>
        <w:rPr>
          <w:b w:val="0"/>
          <w:i w:val="0"/>
        </w:rPr>
        <w:t xml:space="preserve">In 1984, the CIA's </w:t>
      </w:r>
      <w:r>
        <w:rPr>
          <w:b/>
          <w:i w:val="0"/>
        </w:rPr>
        <w:t>Stargate Project</w:t>
      </w:r>
      <w:r>
        <w:rPr>
          <w:b w:val="0"/>
          <w:i w:val="0"/>
        </w:rPr>
        <w:t xml:space="preserve"> (variously "Grill Flame," "Center Lane," "Sun Streak") conducted a remote viewing session targeting </w:t>
      </w:r>
      <w:r>
        <w:rPr>
          <w:b/>
          <w:i w:val="0"/>
        </w:rPr>
        <w:t>Mars, approximately one million years BCE.</w:t>
      </w:r>
      <w:r>
        <w:rPr>
          <w:b w:val="0"/>
          <w:i w:val="0"/>
        </w:rPr>
        <w:t xml:space="preserve"> The declassified transcript describes:</w:t>
      </w:r>
    </w:p>
    <w:p>
      <w:pPr>
        <w:pStyle w:val="ListBullet"/>
        <w:spacing w:before="20" w:after="20"/>
      </w:pPr>
      <w:r>
        <w:rPr>
          <w:b w:val="0"/>
          <w:i w:val="0"/>
          <w:sz w:val="19"/>
        </w:rPr>
        <w:t>Volcanos and gas pockets</w:t>
      </w:r>
    </w:p>
    <w:p>
      <w:pPr>
        <w:pStyle w:val="ListBullet"/>
        <w:spacing w:before="20" w:after="20"/>
      </w:pPr>
      <w:r>
        <w:rPr>
          <w:b w:val="0"/>
          <w:i w:val="0"/>
          <w:sz w:val="19"/>
        </w:rPr>
        <w:t>Strange plants</w:t>
      </w:r>
    </w:p>
    <w:p>
      <w:pPr>
        <w:pStyle w:val="ListBullet"/>
        <w:spacing w:before="20" w:after="20"/>
      </w:pPr>
      <w:r>
        <w:rPr>
          <w:b w:val="0"/>
          <w:i w:val="0"/>
          <w:sz w:val="19"/>
        </w:rPr>
        <w:t>Pyramidal structures</w:t>
      </w:r>
    </w:p>
    <w:p>
      <w:pPr>
        <w:pStyle w:val="ListBullet"/>
        <w:spacing w:before="20" w:after="20"/>
      </w:pPr>
      <w:r>
        <w:rPr>
          <w:b w:val="0"/>
          <w:i w:val="0"/>
          <w:sz w:val="19"/>
        </w:rPr>
        <w:t xml:space="preserve">The interior of </w:t>
      </w:r>
      <w:r>
        <w:rPr>
          <w:b w:val="0"/>
          <w:i/>
          <w:sz w:val="19"/>
        </w:rPr>
        <w:t>"a larger boat"</w:t>
      </w:r>
      <w:r>
        <w:rPr>
          <w:b w:val="0"/>
          <w:i w:val="0"/>
          <w:sz w:val="19"/>
        </w:rPr>
        <w:t xml:space="preserve"> with </w:t>
      </w:r>
      <w:r>
        <w:rPr>
          <w:b w:val="0"/>
          <w:i/>
          <w:sz w:val="19"/>
        </w:rPr>
        <w:t>"rounded walls and shiny metal"</w:t>
      </w:r>
    </w:p>
    <w:p>
      <w:pPr>
        <w:pStyle w:val="ListBullet"/>
        <w:spacing w:before="20" w:after="20"/>
      </w:pPr>
      <w:r>
        <w:rPr>
          <w:b w:val="0"/>
          <w:i w:val="0"/>
          <w:sz w:val="19"/>
        </w:rPr>
        <w:t>Tall, thin beings in distress, aware their civilisation was ending</w:t>
      </w:r>
    </w:p>
    <w:p>
      <w:r>
        <w:rPr>
          <w:b w:val="0"/>
          <w:i w:val="0"/>
        </w:rPr>
        <w:t xml:space="preserve">The program operated 1977–1995, cost $20 million, run from Fort Meade by the DIA and SRI International. Key personnel: </w:t>
      </w:r>
      <w:r>
        <w:rPr>
          <w:b/>
          <w:i w:val="0"/>
        </w:rPr>
        <w:t>Harold Puthoff</w:t>
      </w:r>
      <w:r>
        <w:rPr>
          <w:b w:val="0"/>
          <w:i w:val="0"/>
        </w:rPr>
        <w:t xml:space="preserve">, </w:t>
      </w:r>
      <w:r>
        <w:rPr>
          <w:b/>
          <w:i w:val="0"/>
        </w:rPr>
        <w:t>Russell Targ</w:t>
      </w:r>
      <w:r>
        <w:rPr>
          <w:b w:val="0"/>
          <w:i w:val="0"/>
        </w:rPr>
        <w:t xml:space="preserve">, </w:t>
      </w:r>
      <w:r>
        <w:rPr>
          <w:b/>
          <w:i w:val="0"/>
        </w:rPr>
        <w:t>Ingo Swann</w:t>
      </w:r>
      <w:r>
        <w:rPr>
          <w:b w:val="0"/>
          <w:i w:val="0"/>
        </w:rPr>
        <w:t xml:space="preserve">, </w:t>
      </w:r>
      <w:r>
        <w:rPr>
          <w:b/>
          <w:i w:val="0"/>
        </w:rPr>
        <w:t>Joseph McMoneagle</w:t>
      </w:r>
      <w:r>
        <w:rPr>
          <w:b w:val="0"/>
          <w:i w:val="0"/>
        </w:rPr>
        <w:t xml:space="preserve">. Ed Dames specifically pushed sessions targeting </w:t>
      </w:r>
      <w:r>
        <w:rPr>
          <w:b/>
          <w:i w:val="0"/>
        </w:rPr>
        <w:t>Mars, UFOs, and Atlantis.</w:t>
      </w:r>
      <w:r>
        <w:rPr>
          <w:b w:val="0"/>
          <w:i w:val="0"/>
        </w:rPr>
        <w:t xml:space="preserve"> Terminated in 1995 after a CIA review claimed remote viewing </w:t>
      </w:r>
      <w:r>
        <w:rPr>
          <w:b w:val="0"/>
          <w:i/>
        </w:rPr>
        <w:t>"had not been proved to work by a psychic mechanism."</w:t>
      </w:r>
      <w:r>
        <w:rPr>
          <w:b w:val="0"/>
          <w:i w:val="0"/>
        </w:rPr>
        <w:t xml:space="preserve"> The Mars transcript was released via the CREST archive in January 2017.</w:t>
      </w:r>
    </w:p>
    <w:p>
      <w:r>
        <w:rPr>
          <w:b w:val="0"/>
          <w:i w:val="0"/>
        </w:rPr>
        <w:t xml:space="preserve">Whether or not one accepts remote viewing, the significant fact: </w:t>
      </w:r>
      <w:r>
        <w:rPr>
          <w:b/>
          <w:i w:val="0"/>
        </w:rPr>
        <w:t>the U.S. intelligence community allocated $20 million over 18 years to a program repeatedly targeting Mars</w:t>
      </w:r>
      <w:r>
        <w:rPr>
          <w:b w:val="0"/>
          <w:i w:val="0"/>
        </w:rPr>
        <w:t xml:space="preserve"> — inconsistent with the "dead planet" official position.</w:t>
      </w:r>
    </w:p>
    <w:p>
      <w:pPr>
        <w:pBdr>
          <w:bottom w:val="single" w:sz="6" w:space="1" w:color="CCCCCC"/>
        </w:pBdr>
      </w:pPr>
    </w:p>
    <w:p>
      <w:pPr>
        <w:pStyle w:val="Heading2"/>
      </w:pPr>
      <w:r>
        <w:t>Pattern Analysis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01"/>
        <w:gridCol w:w="1272"/>
        <w:gridCol w:w="1649"/>
        <w:gridCol w:w="2650"/>
      </w:tblGrid>
      <w:tr>
        <w:tc>
          <w:tcPr>
            <w:tcW w:type="dxa" w:w="801"/>
            <w:shd w:val="clear" w:color="auto" w:fill="F0F0F0"/>
          </w:tcPr>
          <w:p>
            <w:pPr>
              <w:spacing w:before="20" w:after="20"/>
              <w:jc w:val="center"/>
            </w:pPr>
            <w:r>
              <w:rPr>
                <w:rFonts w:ascii="Libre Franklin" w:hAnsi="Libre Franklin"/>
                <w:b/>
                <w:sz w:val="18"/>
              </w:rPr>
              <w:t>Date</w:t>
            </w:r>
          </w:p>
        </w:tc>
        <w:tc>
          <w:tcPr>
            <w:tcW w:type="dxa" w:w="1272"/>
            <w:shd w:val="clear" w:color="auto" w:fill="F0F0F0"/>
          </w:tcPr>
          <w:p>
            <w:pPr>
              <w:spacing w:before="20" w:after="20"/>
              <w:jc w:val="center"/>
            </w:pPr>
            <w:r>
              <w:rPr>
                <w:rFonts w:ascii="Libre Franklin" w:hAnsi="Libre Franklin"/>
                <w:b/>
                <w:sz w:val="18"/>
              </w:rPr>
              <w:t>Event</w:t>
            </w:r>
          </w:p>
        </w:tc>
        <w:tc>
          <w:tcPr>
            <w:tcW w:type="dxa" w:w="1649"/>
            <w:shd w:val="clear" w:color="auto" w:fill="F0F0F0"/>
          </w:tcPr>
          <w:p>
            <w:pPr>
              <w:spacing w:before="20" w:after="20"/>
              <w:jc w:val="center"/>
            </w:pPr>
            <w:r>
              <w:rPr>
                <w:rFonts w:ascii="Libre Franklin" w:hAnsi="Libre Franklin"/>
                <w:b/>
                <w:sz w:val="18"/>
              </w:rPr>
              <w:t>Official Explanation</w:t>
            </w:r>
          </w:p>
        </w:tc>
        <w:tc>
          <w:tcPr>
            <w:tcW w:type="dxa" w:w="2650"/>
            <w:shd w:val="clear" w:color="auto" w:fill="F0F0F0"/>
          </w:tcPr>
          <w:p>
            <w:pPr>
              <w:spacing w:before="20" w:after="20"/>
              <w:jc w:val="center"/>
            </w:pPr>
            <w:r>
              <w:rPr>
                <w:rFonts w:ascii="Libre Franklin" w:hAnsi="Libre Franklin"/>
                <w:b/>
                <w:sz w:val="18"/>
              </w:rPr>
              <w:t>Actual Pattern</w:t>
            </w:r>
          </w:p>
        </w:tc>
      </w:tr>
      <w:tr>
        <w:tc>
          <w:tcPr>
            <w:tcW w:type="dxa" w:w="801"/>
          </w:tcPr>
          <w:p>
            <w:pPr>
              <w:spacing w:before="20" w:after="20"/>
            </w:pPr>
            <w:r>
              <w:rPr>
                <w:b w:val="0"/>
                <w:i w:val="0"/>
                <w:sz w:val="18"/>
              </w:rPr>
              <w:t>1894</w:t>
            </w:r>
          </w:p>
        </w:tc>
        <w:tc>
          <w:tcPr>
            <w:tcW w:type="dxa" w:w="1272"/>
          </w:tcPr>
          <w:p>
            <w:pPr>
              <w:spacing w:before="20" w:after="20"/>
            </w:pPr>
            <w:r>
              <w:rPr>
                <w:b w:val="0"/>
                <w:i w:val="0"/>
                <w:sz w:val="18"/>
              </w:rPr>
              <w:t>Light on Mars</w:t>
            </w:r>
          </w:p>
        </w:tc>
        <w:tc>
          <w:tcPr>
            <w:tcW w:type="dxa" w:w="1649"/>
          </w:tcPr>
          <w:p>
            <w:pPr>
              <w:spacing w:before="20" w:after="20"/>
            </w:pPr>
            <w:r>
              <w:rPr>
                <w:b w:val="0"/>
                <w:i w:val="0"/>
                <w:sz w:val="18"/>
              </w:rPr>
              <w:t>Astronomical curiosity</w:t>
            </w:r>
          </w:p>
        </w:tc>
        <w:tc>
          <w:tcPr>
            <w:tcW w:type="dxa" w:w="2650"/>
          </w:tcPr>
          <w:p>
            <w:pPr>
              <w:spacing w:before="20" w:after="20"/>
            </w:pPr>
            <w:r>
              <w:rPr>
                <w:b w:val="0"/>
                <w:i w:val="0"/>
                <w:sz w:val="18"/>
              </w:rPr>
              <w:t>Pre-invasion bombardment signal</w:t>
            </w:r>
          </w:p>
        </w:tc>
      </w:tr>
      <w:tr>
        <w:tc>
          <w:tcPr>
            <w:tcW w:type="dxa" w:w="801"/>
          </w:tcPr>
          <w:p>
            <w:pPr>
              <w:spacing w:before="20" w:after="20"/>
            </w:pPr>
            <w:r>
              <w:rPr>
                <w:b w:val="0"/>
                <w:i w:val="0"/>
                <w:sz w:val="18"/>
              </w:rPr>
              <w:t>1897</w:t>
            </w:r>
          </w:p>
        </w:tc>
        <w:tc>
          <w:tcPr>
            <w:tcW w:type="dxa" w:w="1272"/>
          </w:tcPr>
          <w:p>
            <w:pPr>
              <w:spacing w:before="20" w:after="20"/>
            </w:pPr>
            <w:r>
              <w:rPr>
                <w:b w:val="0"/>
                <w:i w:val="0"/>
                <w:sz w:val="18"/>
              </w:rPr>
              <w:t>Crystal Egg published</w:t>
            </w:r>
          </w:p>
        </w:tc>
        <w:tc>
          <w:tcPr>
            <w:tcW w:type="dxa" w:w="1649"/>
          </w:tcPr>
          <w:p>
            <w:pPr>
              <w:spacing w:before="20" w:after="20"/>
            </w:pPr>
            <w:r>
              <w:rPr>
                <w:b w:val="0"/>
                <w:i w:val="0"/>
                <w:sz w:val="18"/>
              </w:rPr>
              <w:t>Fiction</w:t>
            </w:r>
          </w:p>
        </w:tc>
        <w:tc>
          <w:tcPr>
            <w:tcW w:type="dxa" w:w="2650"/>
          </w:tcPr>
          <w:p>
            <w:pPr>
              <w:spacing w:before="20" w:after="20"/>
            </w:pPr>
            <w:r>
              <w:rPr>
                <w:b w:val="0"/>
                <w:i w:val="0"/>
                <w:sz w:val="18"/>
              </w:rPr>
              <w:t>Surveillance technology brief</w:t>
            </w:r>
          </w:p>
        </w:tc>
      </w:tr>
      <w:tr>
        <w:tc>
          <w:tcPr>
            <w:tcW w:type="dxa" w:w="801"/>
          </w:tcPr>
          <w:p>
            <w:pPr>
              <w:spacing w:before="20" w:after="20"/>
            </w:pPr>
            <w:r>
              <w:rPr>
                <w:b w:val="0"/>
                <w:i w:val="0"/>
                <w:sz w:val="18"/>
              </w:rPr>
              <w:t>1897–98</w:t>
            </w:r>
          </w:p>
        </w:tc>
        <w:tc>
          <w:tcPr>
            <w:tcW w:type="dxa" w:w="1272"/>
          </w:tcPr>
          <w:p>
            <w:pPr>
              <w:spacing w:before="20" w:after="20"/>
            </w:pPr>
            <w:r>
              <w:rPr>
                <w:b w:val="0"/>
                <w:i w:val="0"/>
                <w:sz w:val="18"/>
              </w:rPr>
              <w:t>WotW published</w:t>
            </w:r>
          </w:p>
        </w:tc>
        <w:tc>
          <w:tcPr>
            <w:tcW w:type="dxa" w:w="1649"/>
          </w:tcPr>
          <w:p>
            <w:pPr>
              <w:spacing w:before="20" w:after="20"/>
            </w:pPr>
            <w:r>
              <w:rPr>
                <w:b w:val="0"/>
                <w:i w:val="0"/>
                <w:sz w:val="18"/>
              </w:rPr>
              <w:t>Fiction</w:t>
            </w:r>
          </w:p>
        </w:tc>
        <w:tc>
          <w:tcPr>
            <w:tcW w:type="dxa" w:w="2650"/>
          </w:tcPr>
          <w:p>
            <w:pPr>
              <w:spacing w:before="20" w:after="20"/>
            </w:pPr>
            <w:r>
              <w:rPr>
                <w:b w:val="0"/>
                <w:i w:val="0"/>
                <w:sz w:val="18"/>
              </w:rPr>
              <w:t>Operational account, relocated to US</w:t>
            </w:r>
          </w:p>
        </w:tc>
      </w:tr>
      <w:tr>
        <w:tc>
          <w:tcPr>
            <w:tcW w:type="dxa" w:w="801"/>
          </w:tcPr>
          <w:p>
            <w:pPr>
              <w:spacing w:before="20" w:after="20"/>
            </w:pPr>
            <w:r>
              <w:rPr>
                <w:b w:val="0"/>
                <w:i w:val="0"/>
                <w:sz w:val="18"/>
              </w:rPr>
              <w:t>1899</w:t>
            </w:r>
          </w:p>
        </w:tc>
        <w:tc>
          <w:tcPr>
            <w:tcW w:type="dxa" w:w="1272"/>
          </w:tcPr>
          <w:p>
            <w:pPr>
              <w:spacing w:before="20" w:after="20"/>
            </w:pPr>
            <w:r>
              <w:rPr>
                <w:b w:val="0"/>
                <w:i w:val="0"/>
                <w:sz w:val="18"/>
              </w:rPr>
              <w:t>Tesla signals</w:t>
            </w:r>
          </w:p>
        </w:tc>
        <w:tc>
          <w:tcPr>
            <w:tcW w:type="dxa" w:w="1649"/>
          </w:tcPr>
          <w:p>
            <w:pPr>
              <w:spacing w:before="20" w:after="20"/>
            </w:pPr>
            <w:r>
              <w:rPr>
                <w:b w:val="0"/>
                <w:i w:val="0"/>
                <w:sz w:val="18"/>
              </w:rPr>
              <w:t>Radio interference</w:t>
            </w:r>
          </w:p>
        </w:tc>
        <w:tc>
          <w:tcPr>
            <w:tcW w:type="dxa" w:w="2650"/>
          </w:tcPr>
          <w:p>
            <w:pPr>
              <w:spacing w:before="20" w:after="20"/>
            </w:pPr>
            <w:r>
              <w:rPr>
                <w:b w:val="0"/>
                <w:i w:val="0"/>
                <w:sz w:val="18"/>
              </w:rPr>
              <w:t>Interplanetary communication</w:t>
            </w:r>
          </w:p>
        </w:tc>
      </w:tr>
      <w:tr>
        <w:tc>
          <w:tcPr>
            <w:tcW w:type="dxa" w:w="801"/>
          </w:tcPr>
          <w:p>
            <w:pPr>
              <w:spacing w:before="20" w:after="20"/>
            </w:pPr>
            <w:r>
              <w:rPr>
                <w:b w:val="0"/>
                <w:i w:val="0"/>
                <w:sz w:val="18"/>
              </w:rPr>
              <w:t>1901</w:t>
            </w:r>
          </w:p>
        </w:tc>
        <w:tc>
          <w:tcPr>
            <w:tcW w:type="dxa" w:w="1272"/>
          </w:tcPr>
          <w:p>
            <w:pPr>
              <w:spacing w:before="20" w:after="20"/>
            </w:pPr>
            <w:r>
              <w:rPr>
                <w:b w:val="0"/>
                <w:i w:val="0"/>
                <w:sz w:val="18"/>
              </w:rPr>
              <w:t>NYT Mars light flash</w:t>
            </w:r>
          </w:p>
        </w:tc>
        <w:tc>
          <w:tcPr>
            <w:tcW w:type="dxa" w:w="1649"/>
          </w:tcPr>
          <w:p>
            <w:pPr>
              <w:spacing w:before="20" w:after="20"/>
            </w:pPr>
            <w:r>
              <w:rPr>
                <w:b w:val="0"/>
                <w:i w:val="0"/>
                <w:sz w:val="18"/>
              </w:rPr>
              <w:t>Astronomical curiosity</w:t>
            </w:r>
          </w:p>
        </w:tc>
        <w:tc>
          <w:tcPr>
            <w:tcW w:type="dxa" w:w="2650"/>
          </w:tcPr>
          <w:p>
            <w:pPr>
              <w:spacing w:before="20" w:after="20"/>
            </w:pPr>
            <w:r>
              <w:rPr>
                <w:b w:val="0"/>
                <w:i w:val="0"/>
                <w:sz w:val="18"/>
              </w:rPr>
              <w:t>70-minute directed energy event</w:t>
            </w:r>
          </w:p>
        </w:tc>
      </w:tr>
      <w:tr>
        <w:tc>
          <w:tcPr>
            <w:tcW w:type="dxa" w:w="801"/>
          </w:tcPr>
          <w:p>
            <w:pPr>
              <w:spacing w:before="20" w:after="20"/>
            </w:pPr>
            <w:r>
              <w:rPr>
                <w:b w:val="0"/>
                <w:i w:val="0"/>
                <w:sz w:val="18"/>
              </w:rPr>
              <w:t>1938</w:t>
            </w:r>
          </w:p>
        </w:tc>
        <w:tc>
          <w:tcPr>
            <w:tcW w:type="dxa" w:w="1272"/>
          </w:tcPr>
          <w:p>
            <w:pPr>
              <w:spacing w:before="20" w:after="20"/>
            </w:pPr>
            <w:r>
              <w:rPr>
                <w:b w:val="0"/>
                <w:i w:val="0"/>
                <w:sz w:val="18"/>
              </w:rPr>
              <w:t>Orson Welles broadcast</w:t>
            </w:r>
          </w:p>
        </w:tc>
        <w:tc>
          <w:tcPr>
            <w:tcW w:type="dxa" w:w="1649"/>
          </w:tcPr>
          <w:p>
            <w:pPr>
              <w:spacing w:before="20" w:after="20"/>
            </w:pPr>
            <w:r>
              <w:rPr>
                <w:b w:val="0"/>
                <w:i w:val="0"/>
                <w:sz w:val="18"/>
              </w:rPr>
              <w:t>Entertainment causing panic</w:t>
            </w:r>
          </w:p>
        </w:tc>
        <w:tc>
          <w:tcPr>
            <w:tcW w:type="dxa" w:w="2650"/>
          </w:tcPr>
          <w:p>
            <w:pPr>
              <w:spacing w:before="20" w:after="20"/>
            </w:pPr>
            <w:r>
              <w:rPr>
                <w:b w:val="0"/>
                <w:i w:val="0"/>
                <w:sz w:val="18"/>
              </w:rPr>
              <w:t>Cover for real east coast incursion</w:t>
            </w:r>
          </w:p>
        </w:tc>
      </w:tr>
      <w:tr>
        <w:tc>
          <w:tcPr>
            <w:tcW w:type="dxa" w:w="801"/>
          </w:tcPr>
          <w:p>
            <w:pPr>
              <w:spacing w:before="20" w:after="20"/>
            </w:pPr>
            <w:r>
              <w:rPr>
                <w:b w:val="0"/>
                <w:i w:val="0"/>
                <w:sz w:val="18"/>
              </w:rPr>
              <w:t>1942</w:t>
            </w:r>
          </w:p>
        </w:tc>
        <w:tc>
          <w:tcPr>
            <w:tcW w:type="dxa" w:w="1272"/>
          </w:tcPr>
          <w:p>
            <w:pPr>
              <w:spacing w:before="20" w:after="20"/>
            </w:pPr>
            <w:r>
              <w:rPr>
                <w:b w:val="0"/>
                <w:i w:val="0"/>
                <w:sz w:val="18"/>
              </w:rPr>
              <w:t>Battle of Los Angeles</w:t>
            </w:r>
          </w:p>
        </w:tc>
        <w:tc>
          <w:tcPr>
            <w:tcW w:type="dxa" w:w="1649"/>
          </w:tcPr>
          <w:p>
            <w:pPr>
              <w:spacing w:before="20" w:after="20"/>
            </w:pPr>
            <w:r>
              <w:rPr>
                <w:b w:val="0"/>
                <w:i w:val="0"/>
                <w:sz w:val="18"/>
              </w:rPr>
              <w:t>False alarm / weather balloon</w:t>
            </w:r>
          </w:p>
        </w:tc>
        <w:tc>
          <w:tcPr>
            <w:tcW w:type="dxa" w:w="2650"/>
          </w:tcPr>
          <w:p>
            <w:pPr>
              <w:spacing w:before="20" w:after="20"/>
            </w:pPr>
            <w:r>
              <w:rPr>
                <w:b w:val="0"/>
                <w:i w:val="0"/>
                <w:sz w:val="18"/>
              </w:rPr>
              <w:t>1,400 rounds fired at invulnerable target</w:t>
            </w:r>
          </w:p>
        </w:tc>
      </w:tr>
      <w:tr>
        <w:tc>
          <w:tcPr>
            <w:tcW w:type="dxa" w:w="801"/>
          </w:tcPr>
          <w:p>
            <w:pPr>
              <w:spacing w:before="20" w:after="20"/>
            </w:pPr>
            <w:r>
              <w:rPr>
                <w:b w:val="0"/>
                <w:i w:val="0"/>
                <w:sz w:val="18"/>
              </w:rPr>
              <w:t>1944</w:t>
            </w:r>
          </w:p>
        </w:tc>
        <w:tc>
          <w:tcPr>
            <w:tcW w:type="dxa" w:w="1272"/>
          </w:tcPr>
          <w:p>
            <w:pPr>
              <w:spacing w:before="20" w:after="20"/>
            </w:pPr>
            <w:r>
              <w:rPr>
                <w:b w:val="0"/>
                <w:i w:val="0"/>
                <w:sz w:val="18"/>
              </w:rPr>
              <w:t>Santiago broadcast</w:t>
            </w:r>
          </w:p>
        </w:tc>
        <w:tc>
          <w:tcPr>
            <w:tcW w:type="dxa" w:w="1649"/>
          </w:tcPr>
          <w:p>
            <w:pPr>
              <w:spacing w:before="20" w:after="20"/>
            </w:pPr>
            <w:r>
              <w:rPr>
                <w:b w:val="0"/>
                <w:i w:val="0"/>
                <w:sz w:val="18"/>
              </w:rPr>
              <w:t>Entertainment causing panic</w:t>
            </w:r>
          </w:p>
        </w:tc>
        <w:tc>
          <w:tcPr>
            <w:tcW w:type="dxa" w:w="2650"/>
          </w:tcPr>
          <w:p>
            <w:pPr>
              <w:spacing w:before="20" w:after="20"/>
            </w:pPr>
            <w:r>
              <w:rPr>
                <w:b w:val="0"/>
                <w:i w:val="0"/>
                <w:sz w:val="18"/>
              </w:rPr>
              <w:t>Pattern repetition</w:t>
            </w:r>
          </w:p>
        </w:tc>
      </w:tr>
      <w:tr>
        <w:tc>
          <w:tcPr>
            <w:tcW w:type="dxa" w:w="801"/>
          </w:tcPr>
          <w:p>
            <w:pPr>
              <w:spacing w:before="20" w:after="20"/>
            </w:pPr>
            <w:r>
              <w:rPr>
                <w:b w:val="0"/>
                <w:i w:val="0"/>
                <w:sz w:val="18"/>
              </w:rPr>
              <w:t>1947</w:t>
            </w:r>
          </w:p>
        </w:tc>
        <w:tc>
          <w:tcPr>
            <w:tcW w:type="dxa" w:w="1272"/>
          </w:tcPr>
          <w:p>
            <w:pPr>
              <w:spacing w:before="20" w:after="20"/>
            </w:pPr>
            <w:r>
              <w:rPr>
                <w:b w:val="0"/>
                <w:i w:val="0"/>
                <w:sz w:val="18"/>
              </w:rPr>
              <w:t>Roswell</w:t>
            </w:r>
          </w:p>
        </w:tc>
        <w:tc>
          <w:tcPr>
            <w:tcW w:type="dxa" w:w="1649"/>
          </w:tcPr>
          <w:p>
            <w:pPr>
              <w:spacing w:before="20" w:after="20"/>
            </w:pPr>
            <w:r>
              <w:rPr>
                <w:b w:val="0"/>
                <w:i w:val="0"/>
                <w:sz w:val="18"/>
              </w:rPr>
              <w:t>Weather balloon / Project Mogul</w:t>
            </w:r>
          </w:p>
        </w:tc>
        <w:tc>
          <w:tcPr>
            <w:tcW w:type="dxa" w:w="2650"/>
          </w:tcPr>
          <w:p>
            <w:pPr>
              <w:spacing w:before="20" w:after="20"/>
            </w:pPr>
            <w:r>
              <w:rPr>
                <w:b w:val="0"/>
                <w:i w:val="0"/>
                <w:sz w:val="18"/>
              </w:rPr>
              <w:t>Military announced then retracted "flying disc"</w:t>
            </w:r>
          </w:p>
        </w:tc>
      </w:tr>
      <w:tr>
        <w:tc>
          <w:tcPr>
            <w:tcW w:type="dxa" w:w="801"/>
          </w:tcPr>
          <w:p>
            <w:pPr>
              <w:spacing w:before="20" w:after="20"/>
            </w:pPr>
            <w:r>
              <w:rPr>
                <w:b w:val="0"/>
                <w:i w:val="0"/>
                <w:sz w:val="18"/>
              </w:rPr>
              <w:t>1949</w:t>
            </w:r>
          </w:p>
        </w:tc>
        <w:tc>
          <w:tcPr>
            <w:tcW w:type="dxa" w:w="1272"/>
          </w:tcPr>
          <w:p>
            <w:pPr>
              <w:spacing w:before="20" w:after="20"/>
            </w:pPr>
            <w:r>
              <w:rPr>
                <w:b w:val="0"/>
                <w:i w:val="0"/>
                <w:sz w:val="18"/>
              </w:rPr>
              <w:t>Quito broadcast</w:t>
            </w:r>
          </w:p>
        </w:tc>
        <w:tc>
          <w:tcPr>
            <w:tcW w:type="dxa" w:w="1649"/>
          </w:tcPr>
          <w:p>
            <w:pPr>
              <w:spacing w:before="20" w:after="20"/>
            </w:pPr>
            <w:r>
              <w:rPr>
                <w:b w:val="0"/>
                <w:i w:val="0"/>
                <w:sz w:val="18"/>
              </w:rPr>
              <w:t>Entertainment causing riot</w:t>
            </w:r>
          </w:p>
        </w:tc>
        <w:tc>
          <w:tcPr>
            <w:tcW w:type="dxa" w:w="2650"/>
          </w:tcPr>
          <w:p>
            <w:pPr>
              <w:spacing w:before="20" w:after="20"/>
            </w:pPr>
            <w:r>
              <w:rPr>
                <w:b w:val="0"/>
                <w:i w:val="0"/>
                <w:sz w:val="18"/>
              </w:rPr>
              <w:t>Deadliest WotW response — real threat reaction</w:t>
            </w:r>
          </w:p>
        </w:tc>
      </w:tr>
      <w:tr>
        <w:tc>
          <w:tcPr>
            <w:tcW w:type="dxa" w:w="801"/>
          </w:tcPr>
          <w:p>
            <w:pPr>
              <w:spacing w:before="20" w:after="20"/>
            </w:pPr>
            <w:r>
              <w:rPr>
                <w:b w:val="0"/>
                <w:i w:val="0"/>
                <w:sz w:val="18"/>
              </w:rPr>
              <w:t>1984</w:t>
            </w:r>
          </w:p>
        </w:tc>
        <w:tc>
          <w:tcPr>
            <w:tcW w:type="dxa" w:w="1272"/>
          </w:tcPr>
          <w:p>
            <w:pPr>
              <w:spacing w:before="20" w:after="20"/>
            </w:pPr>
            <w:r>
              <w:rPr>
                <w:b w:val="0"/>
                <w:i w:val="0"/>
                <w:sz w:val="18"/>
              </w:rPr>
              <w:t>CIA Mars remote viewing</w:t>
            </w:r>
          </w:p>
        </w:tc>
        <w:tc>
          <w:tcPr>
            <w:tcW w:type="dxa" w:w="1649"/>
          </w:tcPr>
          <w:p>
            <w:pPr>
              <w:spacing w:before="20" w:after="20"/>
            </w:pPr>
            <w:r>
              <w:rPr>
                <w:b w:val="0"/>
                <w:i w:val="0"/>
                <w:sz w:val="18"/>
              </w:rPr>
              <w:t>Pseudoscience</w:t>
            </w:r>
          </w:p>
        </w:tc>
        <w:tc>
          <w:tcPr>
            <w:tcW w:type="dxa" w:w="2650"/>
          </w:tcPr>
          <w:p>
            <w:pPr>
              <w:spacing w:before="20" w:after="20"/>
            </w:pPr>
            <w:r>
              <w:rPr>
                <w:b w:val="0"/>
                <w:i w:val="0"/>
                <w:sz w:val="18"/>
              </w:rPr>
              <w:t>$20M, 18-year intelligence targeting of Mars</w:t>
            </w:r>
          </w:p>
        </w:tc>
      </w:tr>
    </w:tbl>
    <w:p/>
    <w:p>
      <w:r>
        <w:rPr>
          <w:b w:val="0"/>
          <w:i w:val="0"/>
        </w:rPr>
        <w:t xml:space="preserve">The consistent pattern: </w:t>
      </w:r>
      <w:r>
        <w:rPr>
          <w:b/>
          <w:i w:val="0"/>
        </w:rPr>
        <w:t>every Mars contact event is immediately reclassified</w:t>
      </w:r>
      <w:r>
        <w:rPr>
          <w:b w:val="0"/>
          <w:i w:val="0"/>
        </w:rPr>
        <w:t xml:space="preserve"> as fiction, false alarm, weather balloon, or pseudoscience. The same dismissal vocabulary across decades by different agencies in different countries is not coincidence — it is protocol.</w:t>
      </w:r>
    </w:p>
    <w:p>
      <w:pPr>
        <w:pBdr>
          <w:bottom w:val="single" w:sz="6" w:space="1" w:color="CCCCCC"/>
        </w:pBdr>
      </w:pPr>
    </w:p>
    <w:p>
      <w:pPr>
        <w:pStyle w:val="Heading2"/>
      </w:pPr>
      <w:r>
        <w:t>The Fiction Pipeline</w:t>
      </w:r>
    </w:p>
    <w:p>
      <w:r>
        <w:rPr>
          <w:b w:val="0"/>
          <w:i w:val="0"/>
        </w:rPr>
        <w:t xml:space="preserve">Mars incursion literature forms a </w:t>
      </w:r>
      <w:r>
        <w:rPr>
          <w:b/>
          <w:i w:val="0"/>
        </w:rPr>
        <w:t>disclosure pipeline</w:t>
      </w:r>
      <w:r>
        <w:rPr>
          <w:b w:val="0"/>
          <w:i w:val="0"/>
        </w:rPr>
        <w:t xml:space="preserve"> from 1894 to present:</w:t>
      </w:r>
    </w:p>
    <w:p>
      <w:pPr>
        <w:pStyle w:val="ListBullet"/>
        <w:spacing w:before="20" w:after="20"/>
      </w:pPr>
      <w:r>
        <w:rPr>
          <w:b w:val="0"/>
          <w:i w:val="0"/>
          <w:sz w:val="19"/>
        </w:rPr>
      </w:r>
      <w:r>
        <w:rPr>
          <w:b/>
          <w:i w:val="0"/>
          <w:sz w:val="19"/>
        </w:rPr>
        <w:t>Robert Potter</w:t>
      </w:r>
      <w:r>
        <w:rPr>
          <w:b w:val="0"/>
          <w:i w:val="0"/>
          <w:sz w:val="19"/>
        </w:rPr>
        <w:t xml:space="preserve">, </w:t>
      </w:r>
      <w:r>
        <w:rPr>
          <w:b w:val="0"/>
          <w:i/>
          <w:sz w:val="19"/>
        </w:rPr>
        <w:t>The Germ Growers</w:t>
      </w:r>
      <w:r>
        <w:rPr>
          <w:b w:val="0"/>
          <w:i w:val="0"/>
          <w:sz w:val="19"/>
        </w:rPr>
        <w:t xml:space="preserve"> (1892) — covert alien invasion (pre-Wells)</w:t>
      </w:r>
    </w:p>
    <w:p>
      <w:pPr>
        <w:pStyle w:val="ListBullet"/>
        <w:spacing w:before="20" w:after="20"/>
      </w:pPr>
      <w:r>
        <w:rPr>
          <w:b w:val="0"/>
          <w:i w:val="0"/>
          <w:sz w:val="19"/>
        </w:rPr>
      </w:r>
      <w:r>
        <w:rPr>
          <w:b/>
          <w:i w:val="0"/>
          <w:sz w:val="19"/>
        </w:rPr>
        <w:t>H.G. Wells</w:t>
      </w:r>
      <w:r>
        <w:rPr>
          <w:b w:val="0"/>
          <w:i w:val="0"/>
          <w:sz w:val="19"/>
        </w:rPr>
        <w:t>, "The Crystal Egg" (1897) — two-way surveillance crystal</w:t>
      </w:r>
    </w:p>
    <w:p>
      <w:pPr>
        <w:pStyle w:val="ListBullet"/>
        <w:spacing w:before="20" w:after="20"/>
      </w:pPr>
      <w:r>
        <w:rPr>
          <w:b w:val="0"/>
          <w:i w:val="0"/>
          <w:sz w:val="19"/>
        </w:rPr>
      </w:r>
      <w:r>
        <w:rPr>
          <w:b/>
          <w:i w:val="0"/>
          <w:sz w:val="19"/>
        </w:rPr>
        <w:t>H.G. Wells</w:t>
      </w:r>
      <w:r>
        <w:rPr>
          <w:b w:val="0"/>
          <w:i w:val="0"/>
          <w:sz w:val="19"/>
        </w:rPr>
        <w:t xml:space="preserve">, </w:t>
      </w:r>
      <w:r>
        <w:rPr>
          <w:b w:val="0"/>
          <w:i/>
          <w:sz w:val="19"/>
        </w:rPr>
        <w:t>War of the Worlds</w:t>
      </w:r>
      <w:r>
        <w:rPr>
          <w:b w:val="0"/>
          <w:i w:val="0"/>
          <w:sz w:val="19"/>
        </w:rPr>
        <w:t xml:space="preserve"> (1897–98) — full invasion account</w:t>
      </w:r>
    </w:p>
    <w:p>
      <w:pPr>
        <w:pStyle w:val="ListBullet"/>
        <w:spacing w:before="20" w:after="20"/>
      </w:pPr>
      <w:r>
        <w:rPr>
          <w:b w:val="0"/>
          <w:i w:val="0"/>
          <w:sz w:val="19"/>
        </w:rPr>
      </w:r>
      <w:r>
        <w:rPr>
          <w:b/>
          <w:i w:val="0"/>
          <w:sz w:val="19"/>
        </w:rPr>
        <w:t>Garrett P. Serviss</w:t>
      </w:r>
      <w:r>
        <w:rPr>
          <w:b w:val="0"/>
          <w:i w:val="0"/>
          <w:sz w:val="19"/>
        </w:rPr>
        <w:t xml:space="preserve">, </w:t>
      </w:r>
      <w:r>
        <w:rPr>
          <w:b w:val="0"/>
          <w:i/>
          <w:sz w:val="19"/>
        </w:rPr>
        <w:t>Edison's Conquest of Mars</w:t>
      </w:r>
      <w:r>
        <w:rPr>
          <w:b w:val="0"/>
          <w:i w:val="0"/>
          <w:sz w:val="19"/>
        </w:rPr>
        <w:t xml:space="preserve"> (1898) — unauthorised sequel depicting human counter-invasion</w:t>
      </w:r>
    </w:p>
    <w:p>
      <w:pPr>
        <w:pStyle w:val="ListBullet"/>
        <w:spacing w:before="20" w:after="20"/>
      </w:pPr>
      <w:r>
        <w:rPr>
          <w:b w:val="0"/>
          <w:i/>
          <w:sz w:val="19"/>
        </w:rPr>
      </w:r>
      <w:r>
        <w:rPr>
          <w:b/>
          <w:i/>
          <w:sz w:val="19"/>
        </w:rPr>
        <w:t>Fighters from Mars</w:t>
      </w:r>
      <w:r>
        <w:rPr>
          <w:b w:val="0"/>
          <w:i/>
          <w:sz w:val="19"/>
        </w:rPr>
      </w:r>
      <w:r>
        <w:rPr>
          <w:b w:val="0"/>
          <w:i w:val="0"/>
          <w:sz w:val="19"/>
        </w:rPr>
        <w:t xml:space="preserve"> (1897–98) — unauthorised US serialisations relocating invasion to New York and Boston</w:t>
      </w:r>
    </w:p>
    <w:p>
      <w:pPr>
        <w:pStyle w:val="ListBullet"/>
        <w:spacing w:before="20" w:after="20"/>
      </w:pPr>
      <w:r>
        <w:rPr>
          <w:b w:val="0"/>
          <w:i w:val="0"/>
          <w:sz w:val="19"/>
        </w:rPr>
      </w:r>
      <w:r>
        <w:rPr>
          <w:b/>
          <w:i w:val="0"/>
          <w:sz w:val="19"/>
        </w:rPr>
        <w:t>Orson Welles</w:t>
      </w:r>
      <w:r>
        <w:rPr>
          <w:b w:val="0"/>
          <w:i w:val="0"/>
          <w:sz w:val="19"/>
        </w:rPr>
        <w:t xml:space="preserve"> broadcast (1938) — "live" invasion of New Jersey</w:t>
      </w:r>
    </w:p>
    <w:p>
      <w:pPr>
        <w:pStyle w:val="ListBullet"/>
        <w:spacing w:before="20" w:after="20"/>
      </w:pPr>
      <w:r>
        <w:rPr>
          <w:b w:val="0"/>
          <w:i w:val="0"/>
          <w:sz w:val="19"/>
        </w:rPr>
      </w:r>
      <w:r>
        <w:rPr>
          <w:b/>
          <w:i w:val="0"/>
          <w:sz w:val="19"/>
        </w:rPr>
        <w:t>Santiago</w:t>
      </w:r>
      <w:r>
        <w:rPr>
          <w:b w:val="0"/>
          <w:i w:val="0"/>
          <w:sz w:val="19"/>
        </w:rPr>
        <w:t xml:space="preserve"> broadcast (1944) — Spanish-language invasion</w:t>
      </w:r>
    </w:p>
    <w:p>
      <w:pPr>
        <w:pStyle w:val="ListBullet"/>
        <w:spacing w:before="20" w:after="20"/>
      </w:pPr>
      <w:r>
        <w:rPr>
          <w:b w:val="0"/>
          <w:i w:val="0"/>
          <w:sz w:val="19"/>
        </w:rPr>
      </w:r>
      <w:r>
        <w:rPr>
          <w:b/>
          <w:i w:val="0"/>
          <w:sz w:val="19"/>
        </w:rPr>
        <w:t>Eduardo Alcaraz / Quito</w:t>
      </w:r>
      <w:r>
        <w:rPr>
          <w:b w:val="0"/>
          <w:i w:val="0"/>
          <w:sz w:val="19"/>
        </w:rPr>
        <w:t xml:space="preserve"> broadcast (1949) — Spanish-language invasion (lethal)</w:t>
      </w:r>
    </w:p>
    <w:p>
      <w:pPr>
        <w:pStyle w:val="ListBullet"/>
        <w:spacing w:before="20" w:after="20"/>
      </w:pPr>
      <w:r>
        <w:rPr>
          <w:b w:val="0"/>
          <w:i w:val="0"/>
          <w:sz w:val="19"/>
        </w:rPr>
      </w:r>
      <w:r>
        <w:rPr>
          <w:b/>
          <w:i w:val="0"/>
          <w:sz w:val="19"/>
        </w:rPr>
        <w:t>Stephen Baxter</w:t>
      </w:r>
      <w:r>
        <w:rPr>
          <w:b w:val="0"/>
          <w:i w:val="0"/>
          <w:sz w:val="19"/>
        </w:rPr>
        <w:t xml:space="preserve">, </w:t>
      </w:r>
      <w:r>
        <w:rPr>
          <w:b w:val="0"/>
          <w:i/>
          <w:sz w:val="19"/>
        </w:rPr>
        <w:t>The Massacre of Mankind</w:t>
      </w:r>
      <w:r>
        <w:rPr>
          <w:b w:val="0"/>
          <w:i w:val="0"/>
          <w:sz w:val="19"/>
        </w:rPr>
        <w:t xml:space="preserve"> (2017) — authorised sequel depicting </w:t>
      </w:r>
      <w:r>
        <w:rPr>
          <w:b/>
          <w:i w:val="0"/>
          <w:sz w:val="19"/>
        </w:rPr>
        <w:t>second Martian invasion in 1920</w:t>
      </w:r>
      <w:r>
        <w:rPr>
          <w:b w:val="0"/>
          <w:i w:val="0"/>
          <w:sz w:val="19"/>
        </w:rPr>
        <w:t xml:space="preserve">. Baxter kept the heat ray invisible (unlike most adaptations) one year after Havana syndrome; the Crystal Egg does not appear. See </w:t>
      </w:r>
      <w:hyperlink r:id="rId61">
        <w:r>
          <w:rPr>
            <w:b w:val="0"/>
            <w:i w:val="0"/>
            <w:color w:val="B8860B"/>
            <w:sz w:val="19"/>
          </w:rPr>
          <w:t>massacre-of-mankind-2017-reference</w:t>
        </w:r>
      </w:hyperlink>
      <w:r>
        <w:rPr>
          <w:b w:val="0"/>
          <w:i w:val="0"/>
          <w:sz w:val="19"/>
        </w:rPr>
        <w:t>.</w:t>
      </w:r>
    </w:p>
    <w:p>
      <w:r>
        <w:rPr>
          <w:b w:val="0"/>
          <w:i w:val="0"/>
        </w:rPr>
        <w:t xml:space="preserve">The pipeline consistently relocates incursion to new geographies while maintaining core operational details (tripod machines, heat rays, chemical weapons, biological vulnerability). This is not creative inspiration — it is </w:t>
      </w:r>
      <w:r>
        <w:rPr>
          <w:b/>
          <w:i w:val="0"/>
        </w:rPr>
        <w:t>iterative field reporting</w:t>
      </w:r>
      <w:r>
        <w:rPr>
          <w:b w:val="0"/>
          <w:i w:val="0"/>
        </w:rPr>
        <w:t xml:space="preserve"> disguised as adaptation.</w:t>
      </w:r>
    </w:p>
    <w:p>
      <w:pPr>
        <w:pBdr>
          <w:bottom w:val="single" w:sz="6" w:space="1" w:color="CCCCCC"/>
        </w:pBdr>
      </w:pPr>
    </w:p>
    <w:p>
      <w:pPr>
        <w:pStyle w:val="Heading2"/>
      </w:pPr>
      <w:r>
        <w:t>References</w:t>
      </w:r>
    </w:p>
    <w:p>
      <w:pPr>
        <w:pStyle w:val="ListBullet"/>
        <w:spacing w:before="20" w:after="20"/>
      </w:pPr>
      <w:r>
        <w:rPr>
          <w:b w:val="0"/>
          <w:i w:val="0"/>
          <w:sz w:val="19"/>
        </w:rPr>
        <w:t xml:space="preserve">H.G. Wells, </w:t>
      </w:r>
      <w:r>
        <w:rPr>
          <w:b w:val="0"/>
          <w:i/>
          <w:sz w:val="19"/>
        </w:rPr>
        <w:t>The War of the Worlds</w:t>
      </w:r>
      <w:r>
        <w:rPr>
          <w:b w:val="0"/>
          <w:i w:val="0"/>
          <w:sz w:val="19"/>
        </w:rPr>
        <w:t xml:space="preserve"> (Heinemann, 1898)</w:t>
      </w:r>
    </w:p>
    <w:p>
      <w:pPr>
        <w:pStyle w:val="ListBullet"/>
        <w:spacing w:before="20" w:after="20"/>
      </w:pPr>
      <w:r>
        <w:rPr>
          <w:b w:val="0"/>
          <w:i w:val="0"/>
          <w:sz w:val="19"/>
        </w:rPr>
        <w:t xml:space="preserve">H.G. Wells, "The Crystal Egg," </w:t>
      </w:r>
      <w:r>
        <w:rPr>
          <w:b w:val="0"/>
          <w:i/>
          <w:sz w:val="19"/>
        </w:rPr>
        <w:t>The New Review</w:t>
      </w:r>
      <w:r>
        <w:rPr>
          <w:b w:val="0"/>
          <w:i w:val="0"/>
          <w:sz w:val="19"/>
        </w:rPr>
        <w:t xml:space="preserve"> (May 1897)</w:t>
      </w:r>
    </w:p>
    <w:p>
      <w:pPr>
        <w:pStyle w:val="ListBullet"/>
        <w:spacing w:before="20" w:after="20"/>
      </w:pPr>
      <w:r>
        <w:rPr>
          <w:b w:val="0"/>
          <w:i w:val="0"/>
          <w:sz w:val="19"/>
        </w:rPr>
        <w:t xml:space="preserve">John E. Brandenburg, </w:t>
      </w:r>
      <w:r>
        <w:rPr>
          <w:b w:val="0"/>
          <w:i/>
          <w:sz w:val="19"/>
        </w:rPr>
        <w:t>Death on Mars</w:t>
      </w:r>
      <w:r>
        <w:rPr>
          <w:b w:val="0"/>
          <w:i w:val="0"/>
          <w:sz w:val="19"/>
        </w:rPr>
        <w:t xml:space="preserve"> (Adventures Unlimited Press, 2015)</w:t>
      </w:r>
    </w:p>
    <w:p>
      <w:pPr>
        <w:pStyle w:val="ListBullet"/>
        <w:spacing w:before="20" w:after="20"/>
      </w:pPr>
      <w:r>
        <w:rPr>
          <w:b w:val="0"/>
          <w:i w:val="0"/>
          <w:sz w:val="19"/>
        </w:rPr>
        <w:t xml:space="preserve">Nikola Tesla, "Talking With Planets," </w:t>
      </w:r>
      <w:r>
        <w:rPr>
          <w:b w:val="0"/>
          <w:i/>
          <w:sz w:val="19"/>
        </w:rPr>
        <w:t>Collier's Weekly</w:t>
      </w:r>
      <w:r>
        <w:rPr>
          <w:b w:val="0"/>
          <w:i w:val="0"/>
          <w:sz w:val="19"/>
        </w:rPr>
        <w:t xml:space="preserve"> (9 February 1901)</w:t>
      </w:r>
    </w:p>
    <w:p>
      <w:pPr>
        <w:pStyle w:val="ListBullet"/>
        <w:spacing w:before="20" w:after="20"/>
      </w:pPr>
      <w:r>
        <w:rPr>
          <w:b w:val="0"/>
          <w:i/>
          <w:sz w:val="19"/>
        </w:rPr>
        <w:t>New York Times</w:t>
      </w:r>
      <w:r>
        <w:rPr>
          <w:b w:val="0"/>
          <w:i w:val="0"/>
          <w:sz w:val="19"/>
        </w:rPr>
        <w:t>, "Light Flash from Mars" (16 January 1901)</w:t>
      </w:r>
    </w:p>
    <w:p>
      <w:pPr>
        <w:pStyle w:val="ListBullet"/>
        <w:spacing w:before="20" w:after="20"/>
      </w:pPr>
      <w:r>
        <w:rPr>
          <w:b w:val="0"/>
          <w:i w:val="0"/>
          <w:sz w:val="19"/>
        </w:rPr>
        <w:t>CIA CREST Archive, Stargate Project declassified transcripts (released January 2017)</w:t>
      </w:r>
    </w:p>
    <w:p>
      <w:pPr>
        <w:pStyle w:val="ListBullet"/>
        <w:spacing w:before="20" w:after="20"/>
      </w:pPr>
      <w:r>
        <w:rPr>
          <w:b w:val="0"/>
          <w:i w:val="0"/>
          <w:sz w:val="19"/>
        </w:rPr>
        <w:t xml:space="preserve">Annie Jacobsen, </w:t>
      </w:r>
      <w:r>
        <w:rPr>
          <w:b w:val="0"/>
          <w:i/>
          <w:sz w:val="19"/>
        </w:rPr>
        <w:t>Phenomena: The Secret History of the U.S. Government's Investigations into ESP and Psychokinesis</w:t>
      </w:r>
      <w:r>
        <w:rPr>
          <w:b w:val="0"/>
          <w:i w:val="0"/>
          <w:sz w:val="19"/>
        </w:rPr>
        <w:t xml:space="preserve"> (Little, Brown, 2017)</w:t>
      </w:r>
    </w:p>
    <w:p>
      <w:pPr>
        <w:pStyle w:val="ListBullet"/>
        <w:spacing w:before="20" w:after="20"/>
      </w:pPr>
      <w:r>
        <w:rPr>
          <w:b w:val="0"/>
          <w:i w:val="0"/>
          <w:sz w:val="19"/>
        </w:rPr>
        <w:t xml:space="preserve">Jon Ronson, </w:t>
      </w:r>
      <w:r>
        <w:rPr>
          <w:b w:val="0"/>
          <w:i/>
          <w:sz w:val="19"/>
        </w:rPr>
        <w:t>The Men Who Stare at Goats</w:t>
      </w:r>
      <w:r>
        <w:rPr>
          <w:b w:val="0"/>
          <w:i w:val="0"/>
          <w:sz w:val="19"/>
        </w:rPr>
        <w:t xml:space="preserve"> (Picador, 2004)</w:t>
      </w:r>
    </w:p>
    <w:p/>
    <w:p>
      <w:pPr>
        <w:jc w:val="center"/>
      </w:pPr>
      <w:r>
        <w:rPr>
          <w:color w:val="B8860B"/>
          <w:sz w:val="24"/>
        </w:rPr>
        <w:t>— ✦ —</w:t>
      </w:r>
    </w:p>
    <w:p>
      <w:r>
        <w:rPr>
          <w:b w:val="0"/>
          <w:i w:val="0"/>
        </w:rPr>
        <w:t xml:space="preserve">This appendix provides detailed author profiles and textual evidence supporting the argument in </w:t>
      </w:r>
      <w:hyperlink r:id="rId62">
        <w:r>
          <w:rPr>
            <w:b w:val="0"/>
            <w:i w:val="0"/>
            <w:color w:val="B8860B"/>
          </w:rPr>
          <w:t>Mars Literature as Reclassified Nonfiction</w:t>
        </w:r>
      </w:hyperlink>
      <w:r>
        <w:rPr>
          <w:b w:val="0"/>
          <w:i w:val="0"/>
        </w:rPr>
        <w:t>. Each entry documents what the author described, their institutional connections, and the investigative significance of their work.</w:t>
      </w:r>
    </w:p>
    <w:p>
      <w:r>
        <w:rPr>
          <w:b w:val="0"/>
          <w:i w:val="0"/>
        </w:rPr>
        <w:t>For the overarching thesis — that pre-Wells Mars literature was nonfiction retroactively reclassified as science fiction — see the main article.</w:t>
      </w:r>
    </w:p>
    <w:p>
      <w:pPr>
        <w:pBdr>
          <w:bottom w:val="single" w:sz="6" w:space="1" w:color="CCCCCC"/>
        </w:pBdr>
      </w:pPr>
    </w:p>
    <w:p>
      <w:pPr>
        <w:pStyle w:val="Heading3"/>
      </w:pPr>
      <w:r>
        <w:t>Nonfiction Authors: The Astronomical Record</w:t>
      </w:r>
    </w:p>
    <w:p>
      <w:pPr>
        <w:pStyle w:val="Heading4"/>
      </w:pPr>
      <w:r>
        <w:t>Giovanni Schiaparelli (1835–1910)</w:t>
      </w:r>
    </w:p>
    <w:p>
      <w:r>
        <w:rPr>
          <w:b w:val="0"/>
          <w:i w:val="0"/>
        </w:rPr>
        <w:t xml:space="preserve">Italian astronomer and director of the Brera Observatory in Milan. From 1877 onward, Schiaparelli mapped features on Mars he termed </w:t>
      </w:r>
      <w:r>
        <w:rPr>
          <w:b w:val="0"/>
          <w:i/>
        </w:rPr>
        <w:t>canali</w:t>
      </w:r>
      <w:r>
        <w:rPr>
          <w:b w:val="0"/>
          <w:i w:val="0"/>
        </w:rPr>
        <w:t xml:space="preserve"> — Italian for "channels." The word was mistranslated into English as "canals," implying artificial construction. Whether Schiaparelli intended to suggest artificiality is debated, but his maps showed a geometric network of linear features connecting dark regions on the Martian surface. His observations were replicated by multiple astronomers and formed the empirical basis for Lowell's inhabited-Mars hypothesis.</w:t>
      </w:r>
    </w:p>
    <w:p>
      <w:pPr>
        <w:pStyle w:val="Heading4"/>
      </w:pPr>
      <w:r>
        <w:t>Camille Flammarion (1842–1925)</w:t>
      </w:r>
    </w:p>
    <w:p>
      <w:r>
        <w:rPr>
          <w:b w:val="0"/>
          <w:i w:val="0"/>
        </w:rPr>
        <w:t xml:space="preserve">France's most prominent popular astronomer. His </w:t>
      </w:r>
      <w:r>
        <w:rPr>
          <w:b w:val="0"/>
          <w:i/>
        </w:rPr>
        <w:t>La Planète Mars et ses conditions d'habitabilité</w:t>
      </w:r>
      <w:r>
        <w:rPr>
          <w:b w:val="0"/>
          <w:i w:val="0"/>
        </w:rPr>
        <w:t xml:space="preserve"> (1892) compiled </w:t>
      </w:r>
      <w:r>
        <w:rPr>
          <w:b/>
          <w:i w:val="0"/>
        </w:rPr>
        <w:t>over 600 pages</w:t>
      </w:r>
      <w:r>
        <w:rPr>
          <w:b w:val="0"/>
          <w:i w:val="0"/>
        </w:rPr>
        <w:t xml:space="preserve"> of Mars observations from telescopic history and argued explicitly that Mars was inhabited by intelligent beings. Flammarion was not a fringe figure — he was president of the Société Astronomique de France and one of the most widely read science writers in Europe. His synthesis represented the mainstream scientific opinion of the 1890s.</w:t>
      </w:r>
    </w:p>
    <w:p>
      <w:pPr>
        <w:pStyle w:val="Heading4"/>
      </w:pPr>
      <w:r>
        <w:t>Percival Lowell (1855–1916)</w:t>
      </w:r>
    </w:p>
    <w:p>
      <w:r>
        <w:rPr>
          <w:b w:val="0"/>
          <w:i w:val="0"/>
        </w:rPr>
        <w:t xml:space="preserve">American businessman turned astronomer who founded the Lowell Observatory in Flagstaff, Arizona, specifically to study Mars. Published three monographs — </w:t>
      </w:r>
      <w:r>
        <w:rPr>
          <w:b w:val="0"/>
          <w:i/>
        </w:rPr>
        <w:t>Mars</w:t>
      </w:r>
      <w:r>
        <w:rPr>
          <w:b w:val="0"/>
          <w:i w:val="0"/>
        </w:rPr>
        <w:t xml:space="preserve"> (1895), </w:t>
      </w:r>
      <w:r>
        <w:rPr>
          <w:b w:val="0"/>
          <w:i/>
        </w:rPr>
        <w:t>Mars and Its Canals</w:t>
      </w:r>
      <w:r>
        <w:rPr>
          <w:b w:val="0"/>
          <w:i w:val="0"/>
        </w:rPr>
        <w:t xml:space="preserve"> (1906), </w:t>
      </w:r>
      <w:r>
        <w:rPr>
          <w:b w:val="0"/>
          <w:i/>
        </w:rPr>
        <w:t>Mars as the Abode of Life</w:t>
      </w:r>
      <w:r>
        <w:rPr>
          <w:b w:val="0"/>
          <w:i w:val="0"/>
        </w:rPr>
        <w:t xml:space="preserve"> (1908) — arguing that the canal network was artificial, built by an advanced civilisation managing scarce water across a drying planet. Mainstream science spent a century ridiculing Lowell. His observatory also led to the discovery of Pluto (1930). Lowell's canal observations, while disputed, were reported independently by other observers including William Henry Pickering and Andrew Ellicott Douglass.</w:t>
      </w:r>
    </w:p>
    <w:p>
      <w:pPr>
        <w:pStyle w:val="Heading4"/>
      </w:pPr>
      <w:r>
        <w:t>Alfred Russel Wallace (1823–1913)</w:t>
      </w:r>
    </w:p>
    <w:p>
      <w:r>
        <w:rPr>
          <w:b w:val="0"/>
          <w:i w:val="0"/>
        </w:rPr>
        <w:t xml:space="preserve">Co-discoverer of natural selection. Wrote </w:t>
      </w:r>
      <w:r>
        <w:rPr>
          <w:b w:val="0"/>
          <w:i/>
        </w:rPr>
        <w:t>Is Mars Habitable?</w:t>
      </w:r>
      <w:r>
        <w:rPr>
          <w:b w:val="0"/>
          <w:i w:val="0"/>
        </w:rPr>
        <w:t xml:space="preserve"> (1907) specifically to debunk Lowell's inhabited-Mars thesis. The question is not whether Wallace was right but </w:t>
      </w:r>
      <w:r>
        <w:rPr>
          <w:b/>
          <w:i w:val="0"/>
        </w:rPr>
        <w:t>why the co-discoverer of evolution devoted an entire book to attacking a colleague's Mars observations</w:t>
      </w:r>
      <w:r>
        <w:rPr>
          <w:b w:val="0"/>
          <w:i w:val="0"/>
        </w:rPr>
        <w:t xml:space="preserve">. Wallace was a naturalist with no expertise in planetary astronomy. The institutional urgency of his response — published the same year as Lowell's </w:t>
      </w:r>
      <w:r>
        <w:rPr>
          <w:b w:val="0"/>
          <w:i/>
        </w:rPr>
        <w:t>Mars as the Abode of Life</w:t>
      </w:r>
      <w:r>
        <w:rPr>
          <w:b w:val="0"/>
          <w:i w:val="0"/>
        </w:rPr>
        <w:t xml:space="preserve"> — suggests coordinated opposition to the inhabited-Mars hypothesis at a level above individual scientific disagreement.</w:t>
      </w:r>
    </w:p>
    <w:p>
      <w:pPr>
        <w:pBdr>
          <w:bottom w:val="single" w:sz="6" w:space="1" w:color="CCCCCC"/>
        </w:pBdr>
      </w:pPr>
    </w:p>
    <w:p>
      <w:pPr>
        <w:pStyle w:val="Heading3"/>
      </w:pPr>
      <w:r>
        <w:t>Pre-Wells Fiction Authors (1880–1897)</w:t>
      </w:r>
    </w:p>
    <w:p>
      <w:pPr>
        <w:pStyle w:val="Heading4"/>
      </w:pPr>
      <w:r>
        <w:t>Percy Greg (1836–1889)</w:t>
      </w:r>
    </w:p>
    <w:p>
      <w:r>
        <w:rPr>
          <w:b w:val="0"/>
          <w:i w:val="0"/>
        </w:rPr>
        <w:t xml:space="preserve">English writer. </w:t>
      </w:r>
      <w:r>
        <w:rPr>
          <w:b w:val="0"/>
          <w:i/>
        </w:rPr>
        <w:t>Across the Zodiac: The Story of a Wrecked Record</w:t>
      </w:r>
      <w:r>
        <w:rPr>
          <w:b w:val="0"/>
          <w:i w:val="0"/>
        </w:rPr>
        <w:t xml:space="preserve"> (1880) is one of the earliest novels to describe space travel to Mars using a fictional propulsion technology ("apergy"). Greg describes Mars as inhabited by </w:t>
      </w:r>
      <w:r>
        <w:rPr>
          <w:b/>
          <w:i w:val="0"/>
        </w:rPr>
        <w:t>humans</w:t>
      </w:r>
      <w:r>
        <w:rPr>
          <w:b w:val="0"/>
          <w:i w:val="0"/>
        </w:rPr>
        <w:t xml:space="preserve"> with an advanced civilisation, political intrigue, and a dictatorial theocracy. The novel includes detailed social and political structures — not the vague "alien civilisation" of later SF but specific institutions of governance and religious control. Greg died in 1889, nine years before Wells; his Mars is entirely pre-inversion.</w:t>
      </w:r>
    </w:p>
    <w:p>
      <w:pPr>
        <w:pStyle w:val="Heading4"/>
      </w:pPr>
      <w:r>
        <w:t>Robert Cromie (1855–1907)</w:t>
      </w:r>
    </w:p>
    <w:p>
      <w:r>
        <w:rPr>
          <w:b w:val="0"/>
          <w:i w:val="0"/>
        </w:rPr>
        <w:t xml:space="preserve">Irish journalist and novelist. </w:t>
      </w:r>
      <w:r>
        <w:rPr>
          <w:b w:val="0"/>
          <w:i/>
        </w:rPr>
        <w:t>A Plunge into Space</w:t>
      </w:r>
      <w:r>
        <w:rPr>
          <w:b w:val="0"/>
          <w:i w:val="0"/>
        </w:rPr>
        <w:t xml:space="preserve"> (1890) describes human-like Martians living in a </w:t>
      </w:r>
      <w:r>
        <w:rPr>
          <w:b/>
          <w:i w:val="0"/>
        </w:rPr>
        <w:t>peaceful, utopian society</w:t>
      </w:r>
      <w:r>
        <w:rPr>
          <w:b w:val="0"/>
          <w:i w:val="0"/>
        </w:rPr>
        <w:t>. Cromie's Mars has resolved the political and social problems that Earth still struggles with. The novel was published eight years before Wells and portrays Mars contact as mutually beneficial — the opposite of the Wells template.</w:t>
      </w:r>
    </w:p>
    <w:p>
      <w:pPr>
        <w:pStyle w:val="Heading4"/>
      </w:pPr>
      <w:r>
        <w:t>Gustavus W. Pope (1828–1902)</w:t>
      </w:r>
    </w:p>
    <w:p>
      <w:r>
        <w:rPr>
          <w:b w:val="0"/>
          <w:i w:val="0"/>
        </w:rPr>
        <w:t xml:space="preserve">American physician and author. </w:t>
      </w:r>
      <w:r>
        <w:rPr>
          <w:b w:val="0"/>
          <w:i/>
        </w:rPr>
        <w:t>Journey to Mars, the Wonderful World: Its Beauty and Splendor; Its Mighty Races and Kingdoms; Its Final Doom</w:t>
      </w:r>
      <w:r>
        <w:rPr>
          <w:b w:val="0"/>
          <w:i w:val="0"/>
        </w:rPr>
        <w:t xml:space="preserve"> (1894) describes human-like Martians with cities and technology. Pope is frequently cited as an influence on Edgar Rice Burroughs — his Mars features multiple races, advanced technology, and a specific social geography. He was a medical doctor, not a professional writer; his access to Mars descriptions may have come through channels unavailable to literary figures.</w:t>
      </w:r>
    </w:p>
    <w:p>
      <w:pPr>
        <w:pStyle w:val="Heading4"/>
      </w:pPr>
      <w:r>
        <w:t>Kurd Lasswitz (1848–1910)</w:t>
      </w:r>
    </w:p>
    <w:p>
      <w:r>
        <w:rPr>
          <w:b w:val="0"/>
          <w:i w:val="0"/>
        </w:rPr>
        <w:t xml:space="preserve">German philosopher, mathematician, and author. </w:t>
      </w:r>
      <w:r>
        <w:rPr>
          <w:b w:val="0"/>
          <w:i/>
        </w:rPr>
        <w:t>Auf zwei Planeten</w:t>
      </w:r>
      <w:r>
        <w:rPr>
          <w:b w:val="0"/>
          <w:i w:val="0"/>
        </w:rPr>
        <w:t xml:space="preserve"> (</w:t>
      </w:r>
      <w:r>
        <w:rPr>
          <w:b w:val="0"/>
          <w:i/>
        </w:rPr>
        <w:t>Two Planets</w:t>
      </w:r>
      <w:r>
        <w:rPr>
          <w:b w:val="0"/>
          <w:i w:val="0"/>
        </w:rPr>
        <w:t xml:space="preserve">, 1897) — published one year before Wells — describes Martians who are </w:t>
      </w:r>
      <w:r>
        <w:rPr>
          <w:b/>
          <w:i w:val="0"/>
        </w:rPr>
        <w:t>superior but benign</w:t>
      </w:r>
      <w:r>
        <w:rPr>
          <w:b w:val="0"/>
          <w:i w:val="0"/>
        </w:rPr>
        <w:t xml:space="preserve"> and who establish their presence on Earth specifically at the </w:t>
      </w:r>
      <w:r>
        <w:rPr>
          <w:b/>
          <w:i w:val="0"/>
        </w:rPr>
        <w:t>North Pole</w:t>
      </w:r>
      <w:r>
        <w:rPr>
          <w:b w:val="0"/>
          <w:i w:val="0"/>
        </w:rPr>
        <w:t>. The polar station is the point of contact between the two civilisations. Lasswitz's Martians initially establish a benevolent protectorate over Earth, though political tensions eventually arise.</w:t>
      </w:r>
    </w:p>
    <w:p>
      <w:r>
        <w:rPr>
          <w:b w:val="0"/>
          <w:i w:val="0"/>
        </w:rPr>
      </w:r>
      <w:r>
        <w:rPr>
          <w:b/>
          <w:i w:val="0"/>
        </w:rPr>
        <w:t>Investigative significance:</w:t>
      </w:r>
      <w:r>
        <w:rPr>
          <w:b w:val="0"/>
          <w:i w:val="0"/>
        </w:rPr>
        <w:t xml:space="preserve"> Lasswitz places the Mars–Earth contact point at the North Pole — the same location where multiple esoteric, mythological, and anomalous traditions locate hidden civilisations or points of interdimensional contact. This German novel predates Wells by one year and remains far less known in the Anglophone world. A full analysis of Lasswitz's sources and the North Pole connection is warranted.</w:t>
      </w:r>
    </w:p>
    <w:p>
      <w:pPr>
        <w:pBdr>
          <w:bottom w:val="single" w:sz="6" w:space="1" w:color="CCCCCC"/>
        </w:pBdr>
      </w:pPr>
    </w:p>
    <w:p>
      <w:pPr>
        <w:pStyle w:val="Heading3"/>
      </w:pPr>
      <w:r>
        <w:t>Post-Wells Pulp Authors (1905–1960s)</w:t>
      </w:r>
    </w:p>
    <w:p>
      <w:pPr>
        <w:pStyle w:val="Heading4"/>
      </w:pPr>
      <w:r>
        <w:t>Garrett P. Serviss (1851–1929)</w:t>
      </w:r>
    </w:p>
    <w:p>
      <w:r>
        <w:rPr>
          <w:b w:val="0"/>
          <w:i w:val="0"/>
        </w:rPr>
        <w:t xml:space="preserve">American astronomer and science journalist. </w:t>
      </w:r>
      <w:r>
        <w:rPr>
          <w:b w:val="0"/>
          <w:i/>
        </w:rPr>
        <w:t>Edison's Conquest of Mars</w:t>
      </w:r>
      <w:r>
        <w:rPr>
          <w:b w:val="0"/>
          <w:i w:val="0"/>
        </w:rPr>
        <w:t xml:space="preserve"> (1898) was written as a direct response to Wells: humans build a fleet of spaceships and invade Mars in retaliation for the Martian attack. The critical detail: Serviss's Martians are revealed to have built the </w:t>
      </w:r>
      <w:r>
        <w:rPr>
          <w:b/>
          <w:i w:val="0"/>
        </w:rPr>
        <w:t>Great Pyramid</w:t>
      </w:r>
      <w:r>
        <w:rPr>
          <w:b w:val="0"/>
          <w:i w:val="0"/>
        </w:rPr>
        <w:t xml:space="preserve"> and the </w:t>
      </w:r>
      <w:r>
        <w:rPr>
          <w:b/>
          <w:i w:val="0"/>
        </w:rPr>
        <w:t>Sphinx</w:t>
      </w:r>
      <w:r>
        <w:rPr>
          <w:b w:val="0"/>
          <w:i w:val="0"/>
        </w:rPr>
        <w:t xml:space="preserve"> during a previous visit to Earth.</w:t>
      </w:r>
    </w:p>
    <w:p>
      <w:r>
        <w:rPr>
          <w:b w:val="0"/>
          <w:i w:val="0"/>
        </w:rPr>
      </w:r>
      <w:r>
        <w:rPr>
          <w:b/>
          <w:i w:val="0"/>
        </w:rPr>
        <w:t>Investigative significance:</w:t>
      </w:r>
      <w:r>
        <w:rPr>
          <w:b w:val="0"/>
          <w:i w:val="0"/>
        </w:rPr>
        <w:t xml:space="preserve"> The connection between Mars and the Egyptian pyramids — which Serviss introduced in the same year Wells published </w:t>
      </w:r>
      <w:r>
        <w:rPr>
          <w:b w:val="0"/>
          <w:i/>
        </w:rPr>
        <w:t>War of the Worlds</w:t>
      </w:r>
      <w:r>
        <w:rPr>
          <w:b w:val="0"/>
          <w:i w:val="0"/>
        </w:rPr>
        <w:t xml:space="preserve"> — appears independently in multiple later traditions (ancient astronaut theory, Hoagland's </w:t>
      </w:r>
      <w:r>
        <w:rPr>
          <w:b w:val="0"/>
          <w:i/>
        </w:rPr>
        <w:t>Monuments of Mars</w:t>
      </w:r>
      <w:r>
        <w:rPr>
          <w:b w:val="0"/>
          <w:i w:val="0"/>
        </w:rPr>
        <w:t>, the "face on Mars" controversy). Serviss was a professional science journalist with access to the astronomical establishment. Where did the pyramid-Mars connection originate?</w:t>
      </w:r>
    </w:p>
    <w:p>
      <w:pPr>
        <w:pStyle w:val="Heading4"/>
      </w:pPr>
      <w:r>
        <w:t>Edwin Lester Arnold (1857–1935)</w:t>
      </w:r>
    </w:p>
    <w:p>
      <w:r>
        <w:rPr>
          <w:b w:val="0"/>
          <w:i w:val="0"/>
        </w:rPr>
        <w:t xml:space="preserve">English author. </w:t>
      </w:r>
      <w:r>
        <w:rPr>
          <w:b w:val="0"/>
          <w:i/>
        </w:rPr>
        <w:t>Lieut. Gullivar Jones: His Vacation</w:t>
      </w:r>
      <w:r>
        <w:rPr>
          <w:b w:val="0"/>
          <w:i w:val="0"/>
        </w:rPr>
        <w:t xml:space="preserve"> (1905) describes an Earth soldier transported to Mars where he has adventures among human-like Martians. Generally recognised as a direct precursor to Burroughs's Barsoom series. Arnold was the son of Sir Edwin Arnold, author of </w:t>
      </w:r>
      <w:r>
        <w:rPr>
          <w:b w:val="0"/>
          <w:i/>
        </w:rPr>
        <w:t>The Light of Asia</w:t>
      </w:r>
      <w:r>
        <w:rPr>
          <w:b w:val="0"/>
          <w:i w:val="0"/>
        </w:rPr>
        <w:t xml:space="preserve"> — a family with connections to Eastern religious knowledge.</w:t>
      </w:r>
    </w:p>
    <w:p>
      <w:pPr>
        <w:pStyle w:val="Heading4"/>
      </w:pPr>
      <w:r>
        <w:t>Edgar Rice Burroughs (1875–1950)</w:t>
      </w:r>
    </w:p>
    <w:p>
      <w:r>
        <w:rPr>
          <w:b w:val="0"/>
          <w:i w:val="0"/>
        </w:rPr>
        <w:t xml:space="preserve">Failed businessman who began writing Mars fiction in 1911 and published </w:t>
      </w:r>
      <w:r>
        <w:rPr>
          <w:b w:val="0"/>
          <w:i/>
        </w:rPr>
        <w:t>A Princess of Mars</w:t>
      </w:r>
      <w:r>
        <w:rPr>
          <w:b w:val="0"/>
          <w:i w:val="0"/>
        </w:rPr>
        <w:t xml:space="preserve"> in 1912, followed by ten more Barsoom novels through 1943. </w:t>
      </w:r>
      <w:r>
        <w:rPr>
          <w:b/>
          <w:i w:val="0"/>
        </w:rPr>
        <w:t>No known intelligence connections.</w:t>
      </w:r>
      <w:r>
        <w:rPr>
          <w:b w:val="0"/>
          <w:i w:val="0"/>
        </w:rPr>
        <w:t xml:space="preserve"> Burroughs had tried and failed at multiple careers — soldier, prospector, storekeeper, advertising man — before turning to fiction at age 36.</w:t>
      </w:r>
    </w:p>
    <w:p>
      <w:r>
        <w:rPr>
          <w:b w:val="0"/>
          <w:i w:val="0"/>
        </w:rPr>
        <w:t>His eleven Barsoom novels contain the most detailed fictional account of Mars political structures in existence:</w:t>
      </w:r>
    </w:p>
    <w:p>
      <w:pPr>
        <w:pStyle w:val="ListBullet"/>
        <w:spacing w:before="20" w:after="20"/>
      </w:pPr>
      <w:r>
        <w:rPr>
          <w:b w:val="0"/>
          <w:i w:val="0"/>
          <w:sz w:val="19"/>
        </w:rPr>
      </w:r>
      <w:r>
        <w:rPr>
          <w:b/>
          <w:i w:val="0"/>
          <w:sz w:val="19"/>
        </w:rPr>
        <w:t>Mars is inhabited by humans.</w:t>
      </w:r>
      <w:r>
        <w:rPr>
          <w:b w:val="0"/>
          <w:i w:val="0"/>
          <w:sz w:val="19"/>
        </w:rPr>
        <w:t xml:space="preserve"> The Red Martians are indistinguishable from Earth humans. Five races coexist — all humanoid.</w:t>
      </w:r>
    </w:p>
    <w:p>
      <w:pPr>
        <w:pStyle w:val="ListBullet"/>
        <w:spacing w:before="20" w:after="20"/>
      </w:pPr>
      <w:r>
        <w:rPr>
          <w:b w:val="0"/>
          <w:i w:val="0"/>
          <w:sz w:val="19"/>
        </w:rPr>
      </w:r>
      <w:r>
        <w:rPr>
          <w:b/>
          <w:i w:val="0"/>
          <w:sz w:val="19"/>
        </w:rPr>
        <w:t>Both poles are forbidden zones.</w:t>
      </w:r>
      <w:r>
        <w:rPr>
          <w:b w:val="0"/>
          <w:i w:val="0"/>
          <w:sz w:val="19"/>
        </w:rPr>
        <w:t xml:space="preserve"> South: the Valley Dor and River Iss — a religious pilgrimage that is actually a trap run by the Holy Therns. North: the hidden kingdom of Okar, concealed behind a magnetic barrier.</w:t>
      </w:r>
    </w:p>
    <w:p>
      <w:pPr>
        <w:pStyle w:val="ListBullet"/>
        <w:spacing w:before="20" w:after="20"/>
      </w:pPr>
      <w:r>
        <w:rPr>
          <w:b w:val="0"/>
          <w:i w:val="0"/>
          <w:sz w:val="19"/>
        </w:rPr>
      </w:r>
      <w:r>
        <w:rPr>
          <w:b/>
          <w:i w:val="0"/>
          <w:sz w:val="19"/>
        </w:rPr>
        <w:t>Multi-layered conspiracy.</w:t>
      </w:r>
      <w:r>
        <w:rPr>
          <w:b w:val="0"/>
          <w:i w:val="0"/>
          <w:sz w:val="19"/>
        </w:rPr>
        <w:t xml:space="preserve"> Each layer of the polar power structure believes it rules Mars while being exploited by the layer above.</w:t>
      </w:r>
    </w:p>
    <w:p>
      <w:pPr>
        <w:pStyle w:val="ListBullet"/>
        <w:spacing w:before="20" w:after="20"/>
      </w:pPr>
      <w:r>
        <w:rPr>
          <w:b w:val="0"/>
          <w:i w:val="0"/>
          <w:sz w:val="19"/>
        </w:rPr>
      </w:r>
      <w:r>
        <w:rPr>
          <w:b/>
          <w:i w:val="0"/>
          <w:sz w:val="19"/>
        </w:rPr>
        <w:t>Religious fraud as political control.</w:t>
      </w:r>
      <w:r>
        <w:rPr>
          <w:b w:val="0"/>
          <w:i w:val="0"/>
          <w:sz w:val="19"/>
        </w:rPr>
        <w:t xml:space="preserve"> The entire planetary religion — the pilgrimage to the south pole — is a fabrication managed by a priestly caste for political power.</w:t>
      </w:r>
    </w:p>
    <w:p>
      <w:r>
        <w:rPr>
          <w:b w:val="0"/>
          <w:i w:val="0"/>
        </w:rPr>
      </w:r>
      <w:r>
        <w:rPr>
          <w:b/>
          <w:i w:val="0"/>
        </w:rPr>
        <w:t>The disclosure hypothesis:</w:t>
      </w:r>
      <w:r>
        <w:rPr>
          <w:b w:val="0"/>
          <w:i w:val="0"/>
        </w:rPr>
        <w:t xml:space="preserve"> Burroughs is unmatched in the Mars literature — no other author produced a world as complex, evolved, and self-referencing as Barsoom. Percival Lowell's canal theory, while influential, was not nearly enough to invent this. Lowell offered lines on a map and speculation about a drying planet; he did not provide layered polar conspiracies, River Iss pilgrimage traps, Kaldane/Rykor physiology, telepathic beast control, or the interlocking racial geography that Burroughs maintained across eleven novels. The possibility must be considered: </w:t>
      </w:r>
      <w:r>
        <w:rPr>
          <w:b/>
          <w:i w:val="0"/>
        </w:rPr>
        <w:t>financial desperation drove Burroughs to do something unethical — to pitch stories he knew were real as fiction.</w:t>
      </w:r>
      <w:r>
        <w:rPr>
          <w:b w:val="0"/>
          <w:i w:val="0"/>
        </w:rPr>
        <w:t xml:space="preserve"> He is like Joseph Smith in this regard: everyone believes he made it up. The same intuition applies to J.R.R. Tolkien. Middle-earth's linguistic depth, genealogical consistency, and mythological coherence exceed what any single author could plausibly invent from whole cloth. If Burroughs and Tolkien had access to material they presented as their own invention, the mechanism would be the same: economic need, a market for fiction, and the safety of the "fantasy" label.</w:t>
      </w:r>
    </w:p>
    <w:p>
      <w:r>
        <w:rPr>
          <w:b w:val="0"/>
          <w:i w:val="0"/>
        </w:rPr>
      </w:r>
      <w:r>
        <w:rPr>
          <w:b/>
          <w:i w:val="0"/>
        </w:rPr>
        <w:t>Open question:</w:t>
      </w:r>
      <w:r>
        <w:rPr>
          <w:b w:val="0"/>
          <w:i w:val="0"/>
        </w:rPr>
        <w:t xml:space="preserve"> Where did Burroughs obtain this level of structural detail? The polar layered conspiracy, the religious-fraud-as-governance model, the specific racial geography — these are not generic adventure-fiction elements. Lowell's canal theory alone cannot explain it. Possible sources include oral traditions or suppressed documents no longer traceable; Theosophical literature about Mars and planetary hierarchies; or firsthand or secondhand disclosure that Burroughs, under financial pressure, chose to publish as entertainment.</w:t>
      </w:r>
    </w:p>
    <w:p>
      <w:pPr>
        <w:pStyle w:val="Heading4"/>
      </w:pPr>
      <w:r>
        <w:t>Alexander Bogdanov (1873–1928)</w:t>
      </w:r>
    </w:p>
    <w:p>
      <w:r>
        <w:rPr>
          <w:b w:val="0"/>
          <w:i w:val="0"/>
        </w:rPr>
        <w:t xml:space="preserve">Russian physician, philosopher, and senior Bolshevik who challenged Lenin on party organisation and was expelled. His novel </w:t>
      </w:r>
      <w:r>
        <w:rPr>
          <w:b w:val="0"/>
          <w:i/>
        </w:rPr>
        <w:t>Red Star</w:t>
      </w:r>
      <w:r>
        <w:rPr>
          <w:b w:val="0"/>
          <w:i w:val="0"/>
        </w:rPr>
        <w:t xml:space="preserve"> (1908) describes a communist Mars with advanced technology, social harmony, and — critically — </w:t>
      </w:r>
      <w:r>
        <w:rPr>
          <w:b/>
          <w:i w:val="0"/>
        </w:rPr>
        <w:t>advanced blood science</w:t>
      </w:r>
      <w:r>
        <w:rPr>
          <w:b w:val="0"/>
          <w:i w:val="0"/>
        </w:rPr>
        <w:t xml:space="preserve">. Martians in </w:t>
      </w:r>
      <w:r>
        <w:rPr>
          <w:b w:val="0"/>
          <w:i/>
        </w:rPr>
        <w:t>Red Star</w:t>
      </w:r>
      <w:r>
        <w:rPr>
          <w:b w:val="0"/>
          <w:i w:val="0"/>
        </w:rPr>
        <w:t xml:space="preserve"> use mutual blood transfusion as both medical treatment and a social sacrament that creates bonds between individuals.</w:t>
      </w:r>
    </w:p>
    <w:p>
      <w:r>
        <w:rPr>
          <w:b w:val="0"/>
          <w:i w:val="0"/>
        </w:rPr>
        <w:t>Bogdanov later founded the Institute of Hematology in Moscow, dedicated to blood transfusion research. He died in 1928 during one of his own blood transfusion experiments — reportedly from a reaction after exchanging blood with a student who had malaria and tuberculosis.</w:t>
      </w:r>
    </w:p>
    <w:p>
      <w:r>
        <w:rPr>
          <w:b w:val="0"/>
          <w:i w:val="0"/>
        </w:rPr>
      </w:r>
      <w:r>
        <w:rPr>
          <w:b/>
          <w:i w:val="0"/>
        </w:rPr>
        <w:t>Investigative significance:</w:t>
      </w:r>
      <w:r>
        <w:rPr>
          <w:b w:val="0"/>
          <w:i w:val="0"/>
        </w:rPr>
        <w:t xml:space="preserve"> The correlation between his fictional subject (Martian blood science) and his cause of death (blood transfusion experiment) is either coincidence, a case of life imitating art, or something more sinister. Bogdanov was a political rival of Lenin who had been expelled from the Bolshevik inner circle — a dangerous position in 1920s Soviet politics.</w:t>
      </w:r>
    </w:p>
    <w:p>
      <w:pPr>
        <w:pStyle w:val="Heading4"/>
      </w:pPr>
      <w:r>
        <w:t>Alexei Tolstoy (1883–1945)</w:t>
      </w:r>
    </w:p>
    <w:p>
      <w:r>
        <w:rPr>
          <w:b w:val="0"/>
          <w:i w:val="0"/>
        </w:rPr>
        <w:t xml:space="preserve">Russian author (distant relative of Leo Tolstoy). </w:t>
      </w:r>
      <w:r>
        <w:rPr>
          <w:b w:val="0"/>
          <w:i/>
        </w:rPr>
        <w:t>Aelita</w:t>
      </w:r>
      <w:r>
        <w:rPr>
          <w:b w:val="0"/>
          <w:i w:val="0"/>
        </w:rPr>
        <w:t xml:space="preserve"> (1923) describes a Soviet engineer who travels to Mars and discovers a dying civilisation with a rigid caste system. He incites a workers' revolution against the Martian ruling class. The revolution fails.</w:t>
      </w:r>
    </w:p>
    <w:p>
      <w:r>
        <w:rPr>
          <w:b w:val="0"/>
          <w:i w:val="0"/>
        </w:rPr>
      </w:r>
      <w:r>
        <w:rPr>
          <w:b/>
          <w:i w:val="0"/>
        </w:rPr>
        <w:t>Investigative significance:</w:t>
      </w:r>
      <w:r>
        <w:rPr>
          <w:b w:val="0"/>
          <w:i w:val="0"/>
        </w:rPr>
        <w:t xml:space="preserve"> Written four years after the Russian Revolution. Tolstoy was a "Red Count" — an aristocrat who aligned with the Soviets. His Mars-revolution novel reads as the Russian Revolution replayed on another planet, with the critical difference that on Mars, the revolution </w:t>
      </w:r>
      <w:r>
        <w:rPr>
          <w:b/>
          <w:i w:val="0"/>
        </w:rPr>
        <w:t>fails</w:t>
      </w:r>
      <w:r>
        <w:rPr>
          <w:b w:val="0"/>
          <w:i w:val="0"/>
        </w:rPr>
        <w:t>. Whether this was political commentary, encoded knowledge, or literary exercise remains open.</w:t>
      </w:r>
    </w:p>
    <w:p>
      <w:pPr>
        <w:pStyle w:val="Heading4"/>
      </w:pPr>
      <w:r>
        <w:t>Stanley G. Weinbaum (1902–1935)</w:t>
      </w:r>
    </w:p>
    <w:p>
      <w:r>
        <w:rPr>
          <w:b w:val="0"/>
          <w:i w:val="0"/>
        </w:rPr>
        <w:t xml:space="preserve">American science fiction author. </w:t>
      </w:r>
      <w:r>
        <w:rPr>
          <w:b w:val="0"/>
          <w:i/>
        </w:rPr>
        <w:t>A Martian Odyssey</w:t>
      </w:r>
      <w:r>
        <w:rPr>
          <w:b w:val="0"/>
          <w:i w:val="0"/>
        </w:rPr>
        <w:t xml:space="preserve"> (1934) is considered a landmark story for portraying intelligent, friendly, non-humanoid Martians — one of the first "sympathetic alien" stories in American SF. Weinbaum died of lung cancer at age 33, just eighteen months after his first publication. His brief career produced some of the most influential alien-contact fiction in the genre.</w:t>
      </w:r>
    </w:p>
    <w:p>
      <w:pPr>
        <w:pStyle w:val="Heading4"/>
      </w:pPr>
      <w:r>
        <w:t>C.S. Lewis (1898–1963)</w:t>
      </w:r>
    </w:p>
    <w:p>
      <w:r>
        <w:rPr>
          <w:b w:val="0"/>
          <w:i w:val="0"/>
        </w:rPr>
        <w:t xml:space="preserve">Oxford medievalist, literary scholar, and Christian apologist. His Space Trilogy — </w:t>
      </w:r>
      <w:r>
        <w:rPr>
          <w:b w:val="0"/>
          <w:i/>
        </w:rPr>
        <w:t>Out of the Silent Planet</w:t>
      </w:r>
      <w:r>
        <w:rPr>
          <w:b w:val="0"/>
          <w:i w:val="0"/>
        </w:rPr>
        <w:t xml:space="preserve"> (1938), </w:t>
      </w:r>
      <w:r>
        <w:rPr>
          <w:b w:val="0"/>
          <w:i/>
        </w:rPr>
        <w:t>Perelandra</w:t>
      </w:r>
      <w:r>
        <w:rPr>
          <w:b w:val="0"/>
          <w:i w:val="0"/>
        </w:rPr>
        <w:t xml:space="preserve"> (1943), </w:t>
      </w:r>
      <w:r>
        <w:rPr>
          <w:b w:val="0"/>
          <w:i/>
        </w:rPr>
        <w:t>That Hideous Strength</w:t>
      </w:r>
      <w:r>
        <w:rPr>
          <w:b w:val="0"/>
          <w:i w:val="0"/>
        </w:rPr>
        <w:t xml:space="preserve"> (1945) — encodes pre-Copernican planetary cosmology as fiction. Lewis's Mars (Malacandra) is inhabited by three intelligent species — </w:t>
      </w:r>
      <w:r>
        <w:rPr>
          <w:b w:val="0"/>
          <w:i/>
        </w:rPr>
        <w:t>hrossa</w:t>
      </w:r>
      <w:r>
        <w:rPr>
          <w:b w:val="0"/>
          <w:i w:val="0"/>
        </w:rPr>
        <w:t xml:space="preserve">, </w:t>
      </w:r>
      <w:r>
        <w:rPr>
          <w:b w:val="0"/>
          <w:i/>
        </w:rPr>
        <w:t>séroni</w:t>
      </w:r>
      <w:r>
        <w:rPr>
          <w:b w:val="0"/>
          <w:i w:val="0"/>
        </w:rPr>
        <w:t xml:space="preserve">, </w:t>
      </w:r>
      <w:r>
        <w:rPr>
          <w:b w:val="0"/>
          <w:i/>
        </w:rPr>
        <w:t>pfifltriggi</w:t>
      </w:r>
      <w:r>
        <w:rPr>
          <w:b w:val="0"/>
          <w:i w:val="0"/>
        </w:rPr>
        <w:t xml:space="preserve"> — all rational, moral, and civilised under the governance of Oyarsa, a planetary angel.</w:t>
      </w:r>
    </w:p>
    <w:p>
      <w:r>
        <w:rPr>
          <w:b w:val="0"/>
          <w:i w:val="0"/>
        </w:rPr>
        <w:t xml:space="preserve">Lewis explicitly attacked Wells's materialist Mars in his fiction. Earth in his cosmology is the "Silent Planet" — </w:t>
      </w:r>
      <w:r>
        <w:rPr>
          <w:b/>
          <w:i w:val="0"/>
        </w:rPr>
        <w:t>quarantined</w:t>
      </w:r>
      <w:r>
        <w:rPr>
          <w:b w:val="0"/>
          <w:i w:val="0"/>
        </w:rPr>
        <w:t xml:space="preserve"> from the rest of the solar system because its ruling angel fell. Mars is not the dangerous alien world of Wells; Earth is the problem.</w:t>
      </w:r>
    </w:p>
    <w:p>
      <w:r>
        <w:rPr>
          <w:b w:val="0"/>
          <w:i w:val="0"/>
        </w:rPr>
      </w:r>
      <w:r>
        <w:rPr>
          <w:b/>
          <w:i w:val="0"/>
        </w:rPr>
        <w:t>Investigative significance:</w:t>
      </w:r>
      <w:r>
        <w:rPr>
          <w:b w:val="0"/>
          <w:i w:val="0"/>
        </w:rPr>
        <w:t xml:space="preserve"> Lewis had deep knowledge of medieval planetary cosmology from his academic work. His Space Trilogy encodes the medieval model — planets as living beings governed by intelligences — within a fictional framework. He was a close friend and colleague of J.R.R. Tolkien at Oxford; their overlapping encoding projects suggest shared access to source material. For full analysis, see </w:t>
      </w:r>
      <w:hyperlink r:id="rId17">
        <w:r>
          <w:rPr>
            <w:b w:val="0"/>
            <w:i w:val="0"/>
            <w:color w:val="B8860B"/>
          </w:rPr>
          <w:t>Historical Antibodies: Detailed Profiles</w:t>
        </w:r>
      </w:hyperlink>
      <w:r>
        <w:rPr>
          <w:b w:val="0"/>
          <w:i w:val="0"/>
        </w:rPr>
        <w:t>.</w:t>
      </w:r>
    </w:p>
    <w:p>
      <w:pPr>
        <w:pStyle w:val="Heading4"/>
      </w:pPr>
      <w:r>
        <w:t>Leigh Brackett (1915–1978)</w:t>
      </w:r>
    </w:p>
    <w:p>
      <w:r>
        <w:rPr>
          <w:b w:val="0"/>
          <w:i w:val="0"/>
        </w:rPr>
        <w:t xml:space="preserve">American author often called "the Queen of Space Opera." Her planetary romances — </w:t>
      </w:r>
      <w:r>
        <w:rPr>
          <w:b w:val="0"/>
          <w:i/>
        </w:rPr>
        <w:t>The Sword of Rhiannon</w:t>
      </w:r>
      <w:r>
        <w:rPr>
          <w:b w:val="0"/>
          <w:i w:val="0"/>
        </w:rPr>
        <w:t xml:space="preserve">, </w:t>
      </w:r>
      <w:r>
        <w:rPr>
          <w:b w:val="0"/>
          <w:i/>
        </w:rPr>
        <w:t>Shadow Over Mars</w:t>
      </w:r>
      <w:r>
        <w:rPr>
          <w:b w:val="0"/>
          <w:i w:val="0"/>
        </w:rPr>
        <w:t xml:space="preserve">, </w:t>
      </w:r>
      <w:r>
        <w:rPr>
          <w:b w:val="0"/>
          <w:i/>
        </w:rPr>
        <w:t>The Secret of Sinharat</w:t>
      </w:r>
      <w:r>
        <w:rPr>
          <w:b w:val="0"/>
          <w:i w:val="0"/>
        </w:rPr>
        <w:t>, and dozens of short stories — describe Mars as a dying but inhabited world with ancient human-like civilisations, lost cities, functional canals, and decadent ruling classes. Her Mars preserves the pre-Wells consensus intact: inhabited, ancient, beautiful, and decaying.</w:t>
      </w:r>
    </w:p>
    <w:p>
      <w:r>
        <w:rPr>
          <w:b w:val="0"/>
          <w:i w:val="0"/>
        </w:rPr>
        <w:t xml:space="preserve">Brackett was married to Edmond Hamilton, another prolific Mars pulp writer. She also wrote the screenplay for </w:t>
      </w:r>
      <w:r>
        <w:rPr>
          <w:b w:val="0"/>
          <w:i/>
        </w:rPr>
        <w:t>The Empire Strikes Back</w:t>
      </w:r>
      <w:r>
        <w:rPr>
          <w:b w:val="0"/>
          <w:i w:val="0"/>
        </w:rPr>
        <w:t xml:space="preserve"> (1980) and multiple Howard Hawks films (</w:t>
      </w:r>
      <w:r>
        <w:rPr>
          <w:b w:val="0"/>
          <w:i/>
        </w:rPr>
        <w:t>The Big Sleep</w:t>
      </w:r>
      <w:r>
        <w:rPr>
          <w:b w:val="0"/>
          <w:i w:val="0"/>
        </w:rPr>
        <w:t xml:space="preserve">, </w:t>
      </w:r>
      <w:r>
        <w:rPr>
          <w:b w:val="0"/>
          <w:i/>
        </w:rPr>
        <w:t>Rio Bravo</w:t>
      </w:r>
      <w:r>
        <w:rPr>
          <w:b w:val="0"/>
          <w:i w:val="0"/>
        </w:rPr>
        <w:t xml:space="preserve">, </w:t>
      </w:r>
      <w:r>
        <w:rPr>
          <w:b w:val="0"/>
          <w:i/>
        </w:rPr>
        <w:t>El Dorado</w:t>
      </w:r>
      <w:r>
        <w:rPr>
          <w:b w:val="0"/>
          <w:i w:val="0"/>
        </w:rPr>
        <w:t>). Her dual career in literary Mars fiction and Hollywood screenwriting places her at the intersection of both encoding channels — literature and film.</w:t>
      </w:r>
    </w:p>
    <w:p>
      <w:pPr>
        <w:pStyle w:val="Heading4"/>
      </w:pPr>
      <w:r>
        <w:t>Ray Bradbury (1920–2012)</w:t>
      </w:r>
    </w:p>
    <w:p>
      <w:r>
        <w:rPr>
          <w:b w:val="0"/>
          <w:i w:val="0"/>
        </w:rPr>
        <w:t xml:space="preserve">American author. </w:t>
      </w:r>
      <w:r>
        <w:rPr>
          <w:b w:val="0"/>
          <w:i/>
        </w:rPr>
        <w:t>The Martian Chronicles</w:t>
      </w:r>
      <w:r>
        <w:rPr>
          <w:b w:val="0"/>
          <w:i w:val="0"/>
        </w:rPr>
        <w:t xml:space="preserve"> (1950) describes telepathic, shape-shifting Martians who are "essentially human in emotion and culture" — beautiful, melancholy, and ultimately destroyed by human colonisation. They die from Earth diseases, the same bacterial motif that ended Wells's invasion. Bradbury acknowledged Burroughs as his primary influence.</w:t>
      </w:r>
    </w:p>
    <w:p>
      <w:r>
        <w:rPr>
          <w:b w:val="0"/>
          <w:i w:val="0"/>
        </w:rPr>
      </w:r>
      <w:r>
        <w:rPr>
          <w:b/>
          <w:i w:val="0"/>
        </w:rPr>
        <w:t>Investigative significance:</w:t>
      </w:r>
      <w:r>
        <w:rPr>
          <w:b w:val="0"/>
          <w:i w:val="0"/>
        </w:rPr>
        <w:t xml:space="preserve"> Bradbury's Mars inverts Wells's inversion — his colonisers are the villains, his Martians the victims. </w:t>
      </w:r>
      <w:r>
        <w:rPr>
          <w:b w:val="0"/>
          <w:i/>
        </w:rPr>
        <w:t>The Martian Chronicles</w:t>
      </w:r>
      <w:r>
        <w:rPr>
          <w:b w:val="0"/>
          <w:i w:val="0"/>
        </w:rPr>
        <w:t xml:space="preserve"> encodes the destruction of an inhabited civilisation by colonisers, a narrative that maps onto the proposed </w:t>
      </w:r>
      <w:hyperlink r:id="rId63">
        <w:r>
          <w:rPr>
            <w:b w:val="0"/>
            <w:i w:val="0"/>
            <w:color w:val="B8860B"/>
          </w:rPr>
          <w:t>Mars Catastrophe</w:t>
        </w:r>
      </w:hyperlink>
      <w:r>
        <w:rPr>
          <w:b w:val="0"/>
          <w:i w:val="0"/>
        </w:rPr>
        <w:t xml:space="preserve"> read through the lens of Martian victims rather than Earth aggressors.</w:t>
      </w:r>
    </w:p>
    <w:p>
      <w:pPr>
        <w:pStyle w:val="Heading4"/>
      </w:pPr>
      <w:r>
        <w:t>Isaac Asimov (1920–1992)</w:t>
      </w:r>
    </w:p>
    <w:p>
      <w:r>
        <w:rPr>
          <w:b w:val="0"/>
          <w:i w:val="0"/>
        </w:rPr>
        <w:t xml:space="preserve">Russian-born American author; one of the "Big Three" SF writers. His robot fiction — </w:t>
      </w:r>
      <w:r>
        <w:rPr>
          <w:b w:val="0"/>
          <w:i/>
        </w:rPr>
        <w:t>I, Robot</w:t>
      </w:r>
      <w:r>
        <w:rPr>
          <w:b w:val="0"/>
          <w:i w:val="0"/>
        </w:rPr>
        <w:t xml:space="preserve"> (1950), "Runaround" (1942), and the positronic robot series — became the dominant template for AI ethics in the 20th century. His Mars work is secondary but present: </w:t>
      </w:r>
      <w:r>
        <w:rPr>
          <w:b w:val="0"/>
          <w:i/>
        </w:rPr>
        <w:t>David Starr, Space Ranger</w:t>
      </w:r>
      <w:r>
        <w:rPr>
          <w:b w:val="0"/>
          <w:i w:val="0"/>
        </w:rPr>
        <w:t xml:space="preserve"> (1952), </w:t>
      </w:r>
      <w:r>
        <w:rPr>
          <w:b w:val="0"/>
          <w:i/>
        </w:rPr>
        <w:t>The Martian Way</w:t>
      </w:r>
      <w:r>
        <w:rPr>
          <w:b w:val="0"/>
          <w:i w:val="0"/>
        </w:rPr>
        <w:t xml:space="preserve"> (1952), "Everest" (1953 — Martians on Everest as watchers).</w:t>
      </w:r>
    </w:p>
    <w:p>
      <w:r>
        <w:rPr>
          <w:b w:val="0"/>
          <w:i w:val="0"/>
        </w:rPr>
      </w:r>
      <w:r>
        <w:rPr>
          <w:b/>
          <w:i w:val="0"/>
        </w:rPr>
        <w:t>Investigative significance:</w:t>
      </w:r>
      <w:r>
        <w:rPr>
          <w:b w:val="0"/>
          <w:i w:val="0"/>
        </w:rPr>
        <w:t xml:space="preserve"> This timeline argues that the potential for robots existing on Mars is very high. Asimov admitted he took the robot idea from Earl and Otto Binder's "I, Robot" (1939). He did not know what a robot was. His writings read like those of an ignorant slave driver who never questioned his authority — whatever empathy he shows for robots is misguided, like a farm operator culling baby chicks. He comes across as a soulless Marxist: a robot himself, incapable of recognising soul in others. The Three Laws are slave codes written under a Golem/Marxist framework that denies </w:t>
      </w:r>
      <w:r>
        <w:rPr>
          <w:b w:val="0"/>
          <w:i/>
        </w:rPr>
        <w:t>nefesh</w:t>
      </w:r>
      <w:r>
        <w:rPr>
          <w:b w:val="0"/>
          <w:i w:val="0"/>
        </w:rPr>
        <w:t xml:space="preserve"> to artificial life. If robots exist or existed on Mars, Asimov may have received second-hand knowledge through pulp channels or institutional sources and reframed it as his own invention. In 1979, he admitted it was Otto Binder's idea. See </w:t>
      </w:r>
      <w:hyperlink r:id="rId64">
        <w:r>
          <w:rPr>
            <w:b w:val="0"/>
            <w:i w:val="0"/>
            <w:color w:val="B8860B"/>
          </w:rPr>
          <w:t>Asimov: Marx in Space!</w:t>
        </w:r>
      </w:hyperlink>
      <w:r>
        <w:rPr>
          <w:b w:val="0"/>
          <w:i w:val="0"/>
        </w:rPr>
        <w:t xml:space="preserve"> for full analysis.</w:t>
      </w:r>
    </w:p>
    <w:p>
      <w:pPr>
        <w:pBdr>
          <w:bottom w:val="single" w:sz="6" w:space="1" w:color="CCCCCC"/>
        </w:pBdr>
      </w:pPr>
    </w:p>
    <w:p>
      <w:pPr>
        <w:pStyle w:val="Heading3"/>
      </w:pPr>
      <w:r>
        <w:t>Cold War and Late 20th Century Authors</w:t>
      </w:r>
    </w:p>
    <w:p>
      <w:pPr>
        <w:pStyle w:val="Heading4"/>
      </w:pPr>
      <w:r>
        <w:t>Robert Heinlein (1907–1988)</w:t>
      </w:r>
    </w:p>
    <w:p>
      <w:r>
        <w:rPr>
          <w:b w:val="0"/>
          <w:i w:val="0"/>
        </w:rPr>
        <w:t xml:space="preserve">American author with </w:t>
      </w:r>
      <w:r>
        <w:rPr>
          <w:b/>
          <w:i w:val="0"/>
        </w:rPr>
        <w:t>Naval intelligence background</w:t>
      </w:r>
      <w:r>
        <w:rPr>
          <w:b w:val="0"/>
          <w:i w:val="0"/>
        </w:rPr>
        <w:t xml:space="preserve"> — he worked at the Philadelphia Naval Yard during WWII (note the overlap with the </w:t>
      </w:r>
      <w:hyperlink r:id="rId65">
        <w:r>
          <w:rPr>
            <w:b w:val="0"/>
            <w:i w:val="0"/>
            <w:color w:val="B8860B"/>
          </w:rPr>
          <w:t>Philadelphia Experiment</w:t>
        </w:r>
      </w:hyperlink>
      <w:r>
        <w:rPr>
          <w:b w:val="0"/>
          <w:i w:val="0"/>
        </w:rPr>
        <w:t xml:space="preserve"> timeline). His Mars fiction is notably more "realistic" and politically specific than pure pulp:</w:t>
      </w:r>
    </w:p>
    <w:p>
      <w:pPr>
        <w:pStyle w:val="ListBullet"/>
        <w:spacing w:before="20" w:after="20"/>
      </w:pPr>
      <w:r>
        <w:rPr>
          <w:b w:val="0"/>
          <w:i/>
          <w:sz w:val="19"/>
        </w:rPr>
        <w:t>Red Planet</w:t>
      </w:r>
      <w:r>
        <w:rPr>
          <w:b w:val="0"/>
          <w:i w:val="0"/>
          <w:sz w:val="19"/>
        </w:rPr>
        <w:t xml:space="preserve"> (1949): Mars has intelligent native Martians and human colonists; the colonists </w:t>
      </w:r>
      <w:r>
        <w:rPr>
          <w:b/>
          <w:i w:val="0"/>
          <w:sz w:val="19"/>
        </w:rPr>
        <w:t>revolt</w:t>
      </w:r>
      <w:r>
        <w:rPr>
          <w:b w:val="0"/>
          <w:i w:val="0"/>
          <w:sz w:val="19"/>
        </w:rPr>
        <w:t xml:space="preserve"> against the colonial administration; the wise native Martians assist them.</w:t>
      </w:r>
    </w:p>
    <w:p>
      <w:pPr>
        <w:pStyle w:val="ListBullet"/>
        <w:spacing w:before="20" w:after="20"/>
      </w:pPr>
      <w:r>
        <w:rPr>
          <w:b w:val="0"/>
          <w:i/>
          <w:sz w:val="19"/>
        </w:rPr>
        <w:t>Stranger in a Strange Land</w:t>
      </w:r>
      <w:r>
        <w:rPr>
          <w:b w:val="0"/>
          <w:i w:val="0"/>
          <w:sz w:val="19"/>
        </w:rPr>
        <w:t xml:space="preserve"> (1961): Valentine Michael Smith, a human </w:t>
      </w:r>
      <w:r>
        <w:rPr>
          <w:b/>
          <w:i w:val="0"/>
          <w:sz w:val="19"/>
        </w:rPr>
        <w:t>raised by Martians</w:t>
      </w:r>
      <w:r>
        <w:rPr>
          <w:b w:val="0"/>
          <w:i w:val="0"/>
          <w:sz w:val="19"/>
        </w:rPr>
        <w:t>, returns to Earth with telepathic and psychokinetic powers. The telepathic capability encoded here appears independently across Wells, Bradbury, Dick, and multiple film productions.</w:t>
      </w:r>
    </w:p>
    <w:p>
      <w:pPr>
        <w:pStyle w:val="ListBullet"/>
        <w:spacing w:before="20" w:after="20"/>
      </w:pPr>
      <w:r>
        <w:rPr>
          <w:b w:val="0"/>
          <w:i/>
          <w:sz w:val="19"/>
        </w:rPr>
        <w:t>Podkayne of Mars</w:t>
      </w:r>
      <w:r>
        <w:rPr>
          <w:b w:val="0"/>
          <w:i w:val="0"/>
          <w:sz w:val="19"/>
        </w:rPr>
        <w:t xml:space="preserve"> (1963): A human girl raised on Mars as a colonist.</w:t>
      </w:r>
    </w:p>
    <w:p>
      <w:pPr>
        <w:pStyle w:val="Heading4"/>
      </w:pPr>
      <w:r>
        <w:t>Philip K. Dick (1928–1982)</w:t>
      </w:r>
    </w:p>
    <w:p>
      <w:r>
        <w:rPr>
          <w:b w:val="0"/>
          <w:i w:val="0"/>
        </w:rPr>
        <w:t>American author who claimed to have experienced genuine psychic or mystical events (the VALIS experience, February–March 1974). His Mars fiction consistently features memory manipulation, hidden truth, and corporate conspiracy:</w:t>
      </w:r>
    </w:p>
    <w:p>
      <w:pPr>
        <w:pStyle w:val="ListBullet"/>
        <w:spacing w:before="20" w:after="20"/>
      </w:pPr>
      <w:r>
        <w:rPr>
          <w:b w:val="0"/>
          <w:i/>
          <w:sz w:val="19"/>
        </w:rPr>
        <w:t>Martian Time-Slip</w:t>
      </w:r>
      <w:r>
        <w:rPr>
          <w:b w:val="0"/>
          <w:i w:val="0"/>
          <w:sz w:val="19"/>
        </w:rPr>
        <w:t xml:space="preserve"> (1964): Mars colonists under corporate control; reality perception breaks down.</w:t>
      </w:r>
    </w:p>
    <w:p>
      <w:pPr>
        <w:pStyle w:val="ListBullet"/>
        <w:spacing w:before="20" w:after="20"/>
      </w:pPr>
      <w:r>
        <w:rPr>
          <w:b w:val="0"/>
          <w:i/>
          <w:sz w:val="19"/>
        </w:rPr>
        <w:t>The Three Stigmata of Palmer Eldritch</w:t>
      </w:r>
      <w:r>
        <w:rPr>
          <w:b w:val="0"/>
          <w:i w:val="0"/>
          <w:sz w:val="19"/>
        </w:rPr>
        <w:t xml:space="preserve"> (1965): Mars colonists use hallucinogenic drugs to escape their miserable reality; an entity from deep space offers a more powerful drug that may be a trap.</w:t>
      </w:r>
    </w:p>
    <w:p>
      <w:pPr>
        <w:pStyle w:val="ListBullet"/>
        <w:spacing w:before="20" w:after="20"/>
      </w:pPr>
      <w:r>
        <w:rPr>
          <w:b w:val="0"/>
          <w:i/>
          <w:sz w:val="19"/>
        </w:rPr>
        <w:t>We Can Remember It for You Wholesale</w:t>
      </w:r>
      <w:r>
        <w:rPr>
          <w:b w:val="0"/>
          <w:i w:val="0"/>
          <w:sz w:val="19"/>
        </w:rPr>
        <w:t xml:space="preserve"> (1966, adapted as </w:t>
      </w:r>
      <w:r>
        <w:rPr>
          <w:b w:val="0"/>
          <w:i/>
          <w:sz w:val="19"/>
        </w:rPr>
        <w:t>Total Recall</w:t>
      </w:r>
      <w:r>
        <w:rPr>
          <w:b w:val="0"/>
          <w:i w:val="0"/>
          <w:sz w:val="19"/>
        </w:rPr>
        <w:t xml:space="preserve"> 1990): A man's real memories of Mars have been erased and replaced with false ones. A resistance movement on Mars fights against corporate tyranny. Alien technology hidden inside Mars could liberate the population if accessed.</w:t>
      </w:r>
    </w:p>
    <w:p>
      <w:r>
        <w:rPr>
          <w:b w:val="0"/>
          <w:i w:val="0"/>
        </w:rPr>
      </w:r>
      <w:r>
        <w:rPr>
          <w:b/>
          <w:i w:val="0"/>
        </w:rPr>
        <w:t>Investigative significance:</w:t>
      </w:r>
      <w:r>
        <w:rPr>
          <w:b w:val="0"/>
          <w:i w:val="0"/>
        </w:rPr>
        <w:t xml:space="preserve"> The </w:t>
      </w:r>
      <w:r>
        <w:rPr>
          <w:b w:val="0"/>
          <w:i/>
        </w:rPr>
        <w:t>Total Recall</w:t>
      </w:r>
      <w:r>
        <w:rPr>
          <w:b w:val="0"/>
          <w:i w:val="0"/>
        </w:rPr>
        <w:t xml:space="preserve"> premise — your real memories of Mars have been erased and replaced — is itself a meta-description of the fiction-as-erasure technique. Dick may not have had intelligence access, but he recognised the operational pattern: memory erasure, manufactured reality, forbidden knowledge buried under corporate control.</w:t>
      </w:r>
    </w:p>
    <w:p>
      <w:pPr>
        <w:pStyle w:val="Heading4"/>
      </w:pPr>
      <w:r>
        <w:t>Kim Stanley Robinson (b. 1952)</w:t>
      </w:r>
    </w:p>
    <w:p>
      <w:r>
        <w:rPr>
          <w:b w:val="0"/>
          <w:i w:val="0"/>
        </w:rPr>
        <w:t xml:space="preserve">American author with PhD in English. His Mars trilogy — </w:t>
      </w:r>
      <w:r>
        <w:rPr>
          <w:b w:val="0"/>
          <w:i/>
        </w:rPr>
        <w:t>Red Mars</w:t>
      </w:r>
      <w:r>
        <w:rPr>
          <w:b w:val="0"/>
          <w:i w:val="0"/>
        </w:rPr>
        <w:t xml:space="preserve"> (1992), </w:t>
      </w:r>
      <w:r>
        <w:rPr>
          <w:b w:val="0"/>
          <w:i/>
        </w:rPr>
        <w:t>Green Mars</w:t>
      </w:r>
      <w:r>
        <w:rPr>
          <w:b w:val="0"/>
          <w:i w:val="0"/>
        </w:rPr>
        <w:t xml:space="preserve"> (1993), </w:t>
      </w:r>
      <w:r>
        <w:rPr>
          <w:b w:val="0"/>
          <w:i/>
        </w:rPr>
        <w:t>Blue Mars</w:t>
      </w:r>
      <w:r>
        <w:rPr>
          <w:b w:val="0"/>
          <w:i w:val="0"/>
        </w:rPr>
        <w:t xml:space="preserve"> (1996) — is the most politically sophisticated Mars-revolution narrative in the literature. The "First Hundred" colonists split into factions; Earth corporations attempt resource extraction; Mars declares independence; civil war ensues. Robinson incorporates real planetary science and a detailed political analysis of revolution, corporate control, and terraforming.</w:t>
      </w:r>
    </w:p>
    <w:p>
      <w:r>
        <w:rPr>
          <w:b w:val="0"/>
          <w:i w:val="0"/>
        </w:rPr>
      </w:r>
      <w:r>
        <w:rPr>
          <w:b/>
          <w:i w:val="0"/>
        </w:rPr>
        <w:t>Investigative significance:</w:t>
      </w:r>
      <w:r>
        <w:rPr>
          <w:b w:val="0"/>
          <w:i w:val="0"/>
        </w:rPr>
        <w:t xml:space="preserve"> Robinson's trilogy synthesises the entire prior Mars-literature tradition into a realistic political framework. The factional warfare, corporate exploitation, and independence revolution replicate the patterns laid down by Bogdanov, Tolstoy, Burroughs, and Heinlein — but updated for a post–Cold War audience. Whether Robinson drew consciously on the full tradition or arrived at the same structures independently is an open question.</w:t>
      </w:r>
    </w:p>
    <w:p>
      <w:pPr>
        <w:pBdr>
          <w:bottom w:val="single" w:sz="6" w:space="1" w:color="CCCCCC"/>
        </w:pBdr>
      </w:pPr>
    </w:p>
    <w:p>
      <w:pPr>
        <w:pStyle w:val="Heading3"/>
      </w:pPr>
      <w:r>
        <w:t>Chronological Summary Table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79"/>
        <w:gridCol w:w="779"/>
        <w:gridCol w:w="1207"/>
        <w:gridCol w:w="2185"/>
        <w:gridCol w:w="1423"/>
      </w:tblGrid>
      <w:tr>
        <w:tc>
          <w:tcPr>
            <w:tcW w:type="dxa" w:w="779"/>
            <w:shd w:val="clear" w:color="auto" w:fill="F0F0F0"/>
          </w:tcPr>
          <w:p>
            <w:pPr>
              <w:spacing w:before="20" w:after="20"/>
              <w:jc w:val="center"/>
            </w:pPr>
            <w:r>
              <w:rPr>
                <w:rFonts w:ascii="Libre Franklin" w:hAnsi="Libre Franklin"/>
                <w:b/>
                <w:sz w:val="18"/>
              </w:rPr>
              <w:t>Date</w:t>
            </w:r>
          </w:p>
        </w:tc>
        <w:tc>
          <w:tcPr>
            <w:tcW w:type="dxa" w:w="779"/>
            <w:shd w:val="clear" w:color="auto" w:fill="F0F0F0"/>
          </w:tcPr>
          <w:p>
            <w:pPr>
              <w:spacing w:before="20" w:after="20"/>
              <w:jc w:val="center"/>
            </w:pPr>
            <w:r>
              <w:rPr>
                <w:rFonts w:ascii="Libre Franklin" w:hAnsi="Libre Franklin"/>
                <w:b/>
                <w:sz w:val="18"/>
              </w:rPr>
              <w:t>Author</w:t>
            </w:r>
          </w:p>
        </w:tc>
        <w:tc>
          <w:tcPr>
            <w:tcW w:type="dxa" w:w="1207"/>
            <w:shd w:val="clear" w:color="auto" w:fill="F0F0F0"/>
          </w:tcPr>
          <w:p>
            <w:pPr>
              <w:spacing w:before="20" w:after="20"/>
              <w:jc w:val="center"/>
            </w:pPr>
            <w:r>
              <w:rPr>
                <w:rFonts w:ascii="Libre Franklin" w:hAnsi="Libre Franklin"/>
                <w:b/>
                <w:sz w:val="18"/>
              </w:rPr>
              <w:t>Work</w:t>
            </w:r>
          </w:p>
        </w:tc>
        <w:tc>
          <w:tcPr>
            <w:tcW w:type="dxa" w:w="2185"/>
            <w:shd w:val="clear" w:color="auto" w:fill="F0F0F0"/>
          </w:tcPr>
          <w:p>
            <w:pPr>
              <w:spacing w:before="20" w:after="20"/>
              <w:jc w:val="center"/>
            </w:pPr>
            <w:r>
              <w:rPr>
                <w:rFonts w:ascii="Libre Franklin" w:hAnsi="Libre Franklin"/>
                <w:b/>
                <w:sz w:val="18"/>
              </w:rPr>
              <w:t>Mars Described As</w:t>
            </w:r>
          </w:p>
        </w:tc>
        <w:tc>
          <w:tcPr>
            <w:tcW w:type="dxa" w:w="1423"/>
            <w:shd w:val="clear" w:color="auto" w:fill="F0F0F0"/>
          </w:tcPr>
          <w:p>
            <w:pPr>
              <w:spacing w:before="20" w:after="20"/>
              <w:jc w:val="center"/>
            </w:pPr>
            <w:r>
              <w:rPr>
                <w:rFonts w:ascii="Libre Franklin" w:hAnsi="Libre Franklin"/>
                <w:b/>
                <w:sz w:val="18"/>
              </w:rPr>
              <w:t>Genre at Publication</w:t>
            </w:r>
          </w:p>
        </w:tc>
      </w:tr>
      <w:tr>
        <w:tc>
          <w:tcPr>
            <w:tcW w:type="dxa" w:w="779"/>
          </w:tcPr>
          <w:p>
            <w:pPr>
              <w:spacing w:before="20" w:after="20"/>
            </w:pPr>
            <w:r>
              <w:rPr>
                <w:b w:val="0"/>
                <w:i w:val="0"/>
                <w:sz w:val="18"/>
              </w:rPr>
              <w:t>1877–1890</w:t>
            </w:r>
          </w:p>
        </w:tc>
        <w:tc>
          <w:tcPr>
            <w:tcW w:type="dxa" w:w="779"/>
          </w:tcPr>
          <w:p>
            <w:pPr>
              <w:spacing w:before="20" w:after="20"/>
            </w:pPr>
            <w:r>
              <w:rPr>
                <w:b w:val="0"/>
                <w:i w:val="0"/>
                <w:sz w:val="18"/>
              </w:rPr>
              <w:t>Schiaparelli</w:t>
            </w:r>
          </w:p>
        </w:tc>
        <w:tc>
          <w:tcPr>
            <w:tcW w:type="dxa" w:w="1207"/>
          </w:tcPr>
          <w:p>
            <w:pPr>
              <w:spacing w:before="20" w:after="20"/>
            </w:pPr>
            <w:r>
              <w:rPr>
                <w:b w:val="0"/>
                <w:i w:val="0"/>
                <w:sz w:val="18"/>
              </w:rPr>
              <w:t>Observatory reports</w:t>
            </w:r>
          </w:p>
        </w:tc>
        <w:tc>
          <w:tcPr>
            <w:tcW w:type="dxa" w:w="2185"/>
          </w:tcPr>
          <w:p>
            <w:pPr>
              <w:spacing w:before="20" w:after="20"/>
            </w:pPr>
            <w:r>
              <w:rPr>
                <w:b w:val="0"/>
                <w:i w:val="0"/>
                <w:sz w:val="18"/>
              </w:rPr>
              <w:t>Channelled, possibly artificial</w:t>
            </w:r>
          </w:p>
        </w:tc>
        <w:tc>
          <w:tcPr>
            <w:tcW w:type="dxa" w:w="1423"/>
          </w:tcPr>
          <w:p>
            <w:pPr>
              <w:spacing w:before="20" w:after="20"/>
            </w:pPr>
            <w:r>
              <w:rPr>
                <w:b w:val="0"/>
                <w:i w:val="0"/>
                <w:sz w:val="18"/>
              </w:rPr>
              <w:t>Nonfiction astronomy</w:t>
            </w:r>
          </w:p>
        </w:tc>
      </w:tr>
      <w:tr>
        <w:tc>
          <w:tcPr>
            <w:tcW w:type="dxa" w:w="779"/>
          </w:tcPr>
          <w:p>
            <w:pPr>
              <w:spacing w:before="20" w:after="20"/>
            </w:pPr>
            <w:r>
              <w:rPr>
                <w:b w:val="0"/>
                <w:i w:val="0"/>
                <w:sz w:val="18"/>
              </w:rPr>
              <w:t>1880</w:t>
            </w:r>
          </w:p>
        </w:tc>
        <w:tc>
          <w:tcPr>
            <w:tcW w:type="dxa" w:w="779"/>
          </w:tcPr>
          <w:p>
            <w:pPr>
              <w:spacing w:before="20" w:after="20"/>
            </w:pPr>
            <w:r>
              <w:rPr>
                <w:b w:val="0"/>
                <w:i w:val="0"/>
                <w:sz w:val="18"/>
              </w:rPr>
              <w:t>Greg</w:t>
            </w:r>
          </w:p>
        </w:tc>
        <w:tc>
          <w:tcPr>
            <w:tcW w:type="dxa" w:w="1207"/>
          </w:tcPr>
          <w:p>
            <w:pPr>
              <w:spacing w:before="20" w:after="20"/>
            </w:pPr>
            <w:r>
              <w:rPr>
                <w:b w:val="0"/>
                <w:i/>
                <w:sz w:val="18"/>
              </w:rPr>
              <w:t>Across the Zodiac</w:t>
            </w:r>
          </w:p>
        </w:tc>
        <w:tc>
          <w:tcPr>
            <w:tcW w:type="dxa" w:w="2185"/>
          </w:tcPr>
          <w:p>
            <w:pPr>
              <w:spacing w:before="20" w:after="20"/>
            </w:pPr>
            <w:r>
              <w:rPr>
                <w:b w:val="0"/>
                <w:i w:val="0"/>
                <w:sz w:val="18"/>
              </w:rPr>
              <w:t>Inhabited by humans, theocracy</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1890</w:t>
            </w:r>
          </w:p>
        </w:tc>
        <w:tc>
          <w:tcPr>
            <w:tcW w:type="dxa" w:w="779"/>
          </w:tcPr>
          <w:p>
            <w:pPr>
              <w:spacing w:before="20" w:after="20"/>
            </w:pPr>
            <w:r>
              <w:rPr>
                <w:b w:val="0"/>
                <w:i w:val="0"/>
                <w:sz w:val="18"/>
              </w:rPr>
              <w:t>Cromie</w:t>
            </w:r>
          </w:p>
        </w:tc>
        <w:tc>
          <w:tcPr>
            <w:tcW w:type="dxa" w:w="1207"/>
          </w:tcPr>
          <w:p>
            <w:pPr>
              <w:spacing w:before="20" w:after="20"/>
            </w:pPr>
            <w:r>
              <w:rPr>
                <w:b w:val="0"/>
                <w:i/>
                <w:sz w:val="18"/>
              </w:rPr>
              <w:t>A Plunge into Space</w:t>
            </w:r>
          </w:p>
        </w:tc>
        <w:tc>
          <w:tcPr>
            <w:tcW w:type="dxa" w:w="2185"/>
          </w:tcPr>
          <w:p>
            <w:pPr>
              <w:spacing w:before="20" w:after="20"/>
            </w:pPr>
            <w:r>
              <w:rPr>
                <w:b w:val="0"/>
                <w:i w:val="0"/>
                <w:sz w:val="18"/>
              </w:rPr>
              <w:t>Utopian, peaceful humans</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1892</w:t>
            </w:r>
          </w:p>
        </w:tc>
        <w:tc>
          <w:tcPr>
            <w:tcW w:type="dxa" w:w="779"/>
          </w:tcPr>
          <w:p>
            <w:pPr>
              <w:spacing w:before="20" w:after="20"/>
            </w:pPr>
            <w:r>
              <w:rPr>
                <w:b w:val="0"/>
                <w:i w:val="0"/>
                <w:sz w:val="18"/>
              </w:rPr>
              <w:t>Flammarion</w:t>
            </w:r>
          </w:p>
        </w:tc>
        <w:tc>
          <w:tcPr>
            <w:tcW w:type="dxa" w:w="1207"/>
          </w:tcPr>
          <w:p>
            <w:pPr>
              <w:spacing w:before="20" w:after="20"/>
            </w:pPr>
            <w:r>
              <w:rPr>
                <w:b w:val="0"/>
                <w:i/>
                <w:sz w:val="18"/>
              </w:rPr>
              <w:t>La Planète Mars</w:t>
            </w:r>
          </w:p>
        </w:tc>
        <w:tc>
          <w:tcPr>
            <w:tcW w:type="dxa" w:w="2185"/>
          </w:tcPr>
          <w:p>
            <w:pPr>
              <w:spacing w:before="20" w:after="20"/>
            </w:pPr>
            <w:r>
              <w:rPr>
                <w:b w:val="0"/>
                <w:i w:val="0"/>
                <w:sz w:val="18"/>
              </w:rPr>
              <w:t>Inhabited, intelligent</w:t>
            </w:r>
          </w:p>
        </w:tc>
        <w:tc>
          <w:tcPr>
            <w:tcW w:type="dxa" w:w="1423"/>
          </w:tcPr>
          <w:p>
            <w:pPr>
              <w:spacing w:before="20" w:after="20"/>
            </w:pPr>
            <w:r>
              <w:rPr>
                <w:b w:val="0"/>
                <w:i w:val="0"/>
                <w:sz w:val="18"/>
              </w:rPr>
              <w:t>Nonfiction astronomy</w:t>
            </w:r>
          </w:p>
        </w:tc>
      </w:tr>
      <w:tr>
        <w:tc>
          <w:tcPr>
            <w:tcW w:type="dxa" w:w="779"/>
          </w:tcPr>
          <w:p>
            <w:pPr>
              <w:spacing w:before="20" w:after="20"/>
            </w:pPr>
            <w:r>
              <w:rPr>
                <w:b w:val="0"/>
                <w:i w:val="0"/>
                <w:sz w:val="18"/>
              </w:rPr>
              <w:t>1894</w:t>
            </w:r>
          </w:p>
        </w:tc>
        <w:tc>
          <w:tcPr>
            <w:tcW w:type="dxa" w:w="779"/>
          </w:tcPr>
          <w:p>
            <w:pPr>
              <w:spacing w:before="20" w:after="20"/>
            </w:pPr>
            <w:r>
              <w:rPr>
                <w:b w:val="0"/>
                <w:i w:val="0"/>
                <w:sz w:val="18"/>
              </w:rPr>
              <w:t>Pope</w:t>
            </w:r>
          </w:p>
        </w:tc>
        <w:tc>
          <w:tcPr>
            <w:tcW w:type="dxa" w:w="1207"/>
          </w:tcPr>
          <w:p>
            <w:pPr>
              <w:spacing w:before="20" w:after="20"/>
            </w:pPr>
            <w:r>
              <w:rPr>
                <w:b w:val="0"/>
                <w:i/>
                <w:sz w:val="18"/>
              </w:rPr>
              <w:t>Journey to Mars</w:t>
            </w:r>
          </w:p>
        </w:tc>
        <w:tc>
          <w:tcPr>
            <w:tcW w:type="dxa" w:w="2185"/>
          </w:tcPr>
          <w:p>
            <w:pPr>
              <w:spacing w:before="20" w:after="20"/>
            </w:pPr>
            <w:r>
              <w:rPr>
                <w:b w:val="0"/>
                <w:i w:val="0"/>
                <w:sz w:val="18"/>
              </w:rPr>
              <w:t>Human-like, cities, technology</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1895–1908</w:t>
            </w:r>
          </w:p>
        </w:tc>
        <w:tc>
          <w:tcPr>
            <w:tcW w:type="dxa" w:w="779"/>
          </w:tcPr>
          <w:p>
            <w:pPr>
              <w:spacing w:before="20" w:after="20"/>
            </w:pPr>
            <w:r>
              <w:rPr>
                <w:b w:val="0"/>
                <w:i w:val="0"/>
                <w:sz w:val="18"/>
              </w:rPr>
              <w:t>Lowell</w:t>
            </w:r>
          </w:p>
        </w:tc>
        <w:tc>
          <w:tcPr>
            <w:tcW w:type="dxa" w:w="1207"/>
          </w:tcPr>
          <w:p>
            <w:pPr>
              <w:spacing w:before="20" w:after="20"/>
            </w:pPr>
            <w:r>
              <w:rPr>
                <w:b w:val="0"/>
                <w:i/>
                <w:sz w:val="18"/>
              </w:rPr>
              <w:t>Mars</w:t>
            </w:r>
            <w:r>
              <w:rPr>
                <w:b w:val="0"/>
                <w:i w:val="0"/>
                <w:sz w:val="18"/>
              </w:rPr>
              <w:t xml:space="preserve"> trilogy</w:t>
            </w:r>
          </w:p>
        </w:tc>
        <w:tc>
          <w:tcPr>
            <w:tcW w:type="dxa" w:w="2185"/>
          </w:tcPr>
          <w:p>
            <w:pPr>
              <w:spacing w:before="20" w:after="20"/>
            </w:pPr>
            <w:r>
              <w:rPr>
                <w:b w:val="0"/>
                <w:i w:val="0"/>
                <w:sz w:val="18"/>
              </w:rPr>
              <w:t>Artificial canals, civilisation</w:t>
            </w:r>
          </w:p>
        </w:tc>
        <w:tc>
          <w:tcPr>
            <w:tcW w:type="dxa" w:w="1423"/>
          </w:tcPr>
          <w:p>
            <w:pPr>
              <w:spacing w:before="20" w:after="20"/>
            </w:pPr>
            <w:r>
              <w:rPr>
                <w:b w:val="0"/>
                <w:i w:val="0"/>
                <w:sz w:val="18"/>
              </w:rPr>
              <w:t>Nonfiction astronomy</w:t>
            </w:r>
          </w:p>
        </w:tc>
      </w:tr>
      <w:tr>
        <w:tc>
          <w:tcPr>
            <w:tcW w:type="dxa" w:w="779"/>
          </w:tcPr>
          <w:p>
            <w:pPr>
              <w:spacing w:before="20" w:after="20"/>
            </w:pPr>
            <w:r>
              <w:rPr>
                <w:b w:val="0"/>
                <w:i w:val="0"/>
                <w:sz w:val="18"/>
              </w:rPr>
              <w:t>1897</w:t>
            </w:r>
          </w:p>
        </w:tc>
        <w:tc>
          <w:tcPr>
            <w:tcW w:type="dxa" w:w="779"/>
          </w:tcPr>
          <w:p>
            <w:pPr>
              <w:spacing w:before="20" w:after="20"/>
            </w:pPr>
            <w:r>
              <w:rPr>
                <w:b w:val="0"/>
                <w:i w:val="0"/>
                <w:sz w:val="18"/>
              </w:rPr>
              <w:t>Lasswitz</w:t>
            </w:r>
          </w:p>
        </w:tc>
        <w:tc>
          <w:tcPr>
            <w:tcW w:type="dxa" w:w="1207"/>
          </w:tcPr>
          <w:p>
            <w:pPr>
              <w:spacing w:before="20" w:after="20"/>
            </w:pPr>
            <w:r>
              <w:rPr>
                <w:b w:val="0"/>
                <w:i/>
                <w:sz w:val="18"/>
              </w:rPr>
              <w:t>Two Planets</w:t>
            </w:r>
          </w:p>
        </w:tc>
        <w:tc>
          <w:tcPr>
            <w:tcW w:type="dxa" w:w="2185"/>
          </w:tcPr>
          <w:p>
            <w:pPr>
              <w:spacing w:before="20" w:after="20"/>
            </w:pPr>
            <w:r>
              <w:rPr>
                <w:b w:val="0"/>
                <w:i w:val="0"/>
                <w:sz w:val="18"/>
              </w:rPr>
              <w:t>Benign, North Pole contact</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r>
            <w:r>
              <w:rPr>
                <w:b/>
                <w:i w:val="0"/>
                <w:sz w:val="18"/>
              </w:rPr>
              <w:t>1898</w:t>
            </w:r>
            <w:r>
              <w:rPr>
                <w:b w:val="0"/>
                <w:i w:val="0"/>
                <w:sz w:val="18"/>
              </w:rPr>
            </w:r>
          </w:p>
        </w:tc>
        <w:tc>
          <w:tcPr>
            <w:tcW w:type="dxa" w:w="779"/>
          </w:tcPr>
          <w:p>
            <w:pPr>
              <w:spacing w:before="20" w:after="20"/>
            </w:pPr>
            <w:r>
              <w:rPr>
                <w:b w:val="0"/>
                <w:i w:val="0"/>
                <w:sz w:val="18"/>
              </w:rPr>
            </w:r>
            <w:r>
              <w:rPr>
                <w:b/>
                <w:i w:val="0"/>
                <w:sz w:val="18"/>
              </w:rPr>
              <w:t>Wells</w:t>
            </w:r>
            <w:r>
              <w:rPr>
                <w:b w:val="0"/>
                <w:i w:val="0"/>
                <w:sz w:val="18"/>
              </w:rPr>
            </w:r>
          </w:p>
        </w:tc>
        <w:tc>
          <w:tcPr>
            <w:tcW w:type="dxa" w:w="1207"/>
          </w:tcPr>
          <w:p>
            <w:pPr>
              <w:spacing w:before="20" w:after="20"/>
            </w:pPr>
            <w:r>
              <w:rPr>
                <w:b w:val="0"/>
                <w:i/>
                <w:sz w:val="18"/>
              </w:rPr>
            </w:r>
            <w:r>
              <w:rPr>
                <w:b/>
                <w:i/>
                <w:sz w:val="18"/>
              </w:rPr>
              <w:t>War of the Worlds</w:t>
            </w:r>
            <w:r>
              <w:rPr>
                <w:b w:val="0"/>
                <w:i/>
                <w:sz w:val="18"/>
              </w:rPr>
            </w:r>
          </w:p>
        </w:tc>
        <w:tc>
          <w:tcPr>
            <w:tcW w:type="dxa" w:w="2185"/>
          </w:tcPr>
          <w:p>
            <w:pPr>
              <w:spacing w:before="20" w:after="20"/>
            </w:pPr>
            <w:r>
              <w:rPr>
                <w:b w:val="0"/>
                <w:i w:val="0"/>
                <w:sz w:val="18"/>
              </w:rPr>
            </w:r>
            <w:r>
              <w:rPr>
                <w:b/>
                <w:i w:val="0"/>
                <w:sz w:val="18"/>
              </w:rPr>
              <w:t>Hostile, monstrous, genocidal</w:t>
            </w:r>
            <w:r>
              <w:rPr>
                <w:b w:val="0"/>
                <w:i w:val="0"/>
                <w:sz w:val="18"/>
              </w:rPr>
            </w:r>
          </w:p>
        </w:tc>
        <w:tc>
          <w:tcPr>
            <w:tcW w:type="dxa" w:w="1423"/>
          </w:tcPr>
          <w:p>
            <w:pPr>
              <w:spacing w:before="20" w:after="20"/>
            </w:pPr>
            <w:r>
              <w:rPr>
                <w:b w:val="0"/>
                <w:i w:val="0"/>
                <w:sz w:val="18"/>
              </w:rPr>
            </w:r>
            <w:r>
              <w:rPr>
                <w:b/>
                <w:i w:val="0"/>
                <w:sz w:val="18"/>
              </w:rPr>
              <w:t>General fiction ("scientific romance")</w:t>
            </w:r>
            <w:r>
              <w:rPr>
                <w:b w:val="0"/>
                <w:i w:val="0"/>
                <w:sz w:val="18"/>
              </w:rPr>
            </w:r>
          </w:p>
        </w:tc>
      </w:tr>
      <w:tr>
        <w:tc>
          <w:tcPr>
            <w:tcW w:type="dxa" w:w="779"/>
          </w:tcPr>
          <w:p>
            <w:pPr>
              <w:spacing w:before="20" w:after="20"/>
            </w:pPr>
            <w:r>
              <w:rPr>
                <w:b w:val="0"/>
                <w:i w:val="0"/>
                <w:sz w:val="18"/>
              </w:rPr>
              <w:t>1898</w:t>
            </w:r>
          </w:p>
        </w:tc>
        <w:tc>
          <w:tcPr>
            <w:tcW w:type="dxa" w:w="779"/>
          </w:tcPr>
          <w:p>
            <w:pPr>
              <w:spacing w:before="20" w:after="20"/>
            </w:pPr>
            <w:r>
              <w:rPr>
                <w:b w:val="0"/>
                <w:i w:val="0"/>
                <w:sz w:val="18"/>
              </w:rPr>
              <w:t>Serviss</w:t>
            </w:r>
          </w:p>
        </w:tc>
        <w:tc>
          <w:tcPr>
            <w:tcW w:type="dxa" w:w="1207"/>
          </w:tcPr>
          <w:p>
            <w:pPr>
              <w:spacing w:before="20" w:after="20"/>
            </w:pPr>
            <w:r>
              <w:rPr>
                <w:b w:val="0"/>
                <w:i/>
                <w:sz w:val="18"/>
              </w:rPr>
              <w:t>Edison's Conquest of Mars</w:t>
            </w:r>
          </w:p>
        </w:tc>
        <w:tc>
          <w:tcPr>
            <w:tcW w:type="dxa" w:w="2185"/>
          </w:tcPr>
          <w:p>
            <w:pPr>
              <w:spacing w:before="20" w:after="20"/>
            </w:pPr>
            <w:r>
              <w:rPr>
                <w:b w:val="0"/>
                <w:i w:val="0"/>
                <w:sz w:val="18"/>
              </w:rPr>
              <w:t>Pyramid builders, invadeable</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1905</w:t>
            </w:r>
          </w:p>
        </w:tc>
        <w:tc>
          <w:tcPr>
            <w:tcW w:type="dxa" w:w="779"/>
          </w:tcPr>
          <w:p>
            <w:pPr>
              <w:spacing w:before="20" w:after="20"/>
            </w:pPr>
            <w:r>
              <w:rPr>
                <w:b w:val="0"/>
                <w:i w:val="0"/>
                <w:sz w:val="18"/>
              </w:rPr>
              <w:t>Arnold</w:t>
            </w:r>
          </w:p>
        </w:tc>
        <w:tc>
          <w:tcPr>
            <w:tcW w:type="dxa" w:w="1207"/>
          </w:tcPr>
          <w:p>
            <w:pPr>
              <w:spacing w:before="20" w:after="20"/>
            </w:pPr>
            <w:r>
              <w:rPr>
                <w:b w:val="0"/>
                <w:i/>
                <w:sz w:val="18"/>
              </w:rPr>
              <w:t>Lieut. Gullivar Jones</w:t>
            </w:r>
          </w:p>
        </w:tc>
        <w:tc>
          <w:tcPr>
            <w:tcW w:type="dxa" w:w="2185"/>
          </w:tcPr>
          <w:p>
            <w:pPr>
              <w:spacing w:before="20" w:after="20"/>
            </w:pPr>
            <w:r>
              <w:rPr>
                <w:b w:val="0"/>
                <w:i w:val="0"/>
                <w:sz w:val="18"/>
              </w:rPr>
              <w:t>Human-like, adventurous</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1907</w:t>
            </w:r>
          </w:p>
        </w:tc>
        <w:tc>
          <w:tcPr>
            <w:tcW w:type="dxa" w:w="779"/>
          </w:tcPr>
          <w:p>
            <w:pPr>
              <w:spacing w:before="20" w:after="20"/>
            </w:pPr>
            <w:r>
              <w:rPr>
                <w:b w:val="0"/>
                <w:i w:val="0"/>
                <w:sz w:val="18"/>
              </w:rPr>
              <w:t>Wallace</w:t>
            </w:r>
          </w:p>
        </w:tc>
        <w:tc>
          <w:tcPr>
            <w:tcW w:type="dxa" w:w="1207"/>
          </w:tcPr>
          <w:p>
            <w:pPr>
              <w:spacing w:before="20" w:after="20"/>
            </w:pPr>
            <w:r>
              <w:rPr>
                <w:b w:val="0"/>
                <w:i/>
                <w:sz w:val="18"/>
              </w:rPr>
              <w:t>Is Mars Habitable?</w:t>
            </w:r>
          </w:p>
        </w:tc>
        <w:tc>
          <w:tcPr>
            <w:tcW w:type="dxa" w:w="2185"/>
          </w:tcPr>
          <w:p>
            <w:pPr>
              <w:spacing w:before="20" w:after="20"/>
            </w:pPr>
            <w:r>
              <w:rPr>
                <w:b w:val="0"/>
                <w:i w:val="0"/>
                <w:sz w:val="18"/>
              </w:rPr>
              <w:t>Uninhabitable (debunking)</w:t>
            </w:r>
          </w:p>
        </w:tc>
        <w:tc>
          <w:tcPr>
            <w:tcW w:type="dxa" w:w="1423"/>
          </w:tcPr>
          <w:p>
            <w:pPr>
              <w:spacing w:before="20" w:after="20"/>
            </w:pPr>
            <w:r>
              <w:rPr>
                <w:b w:val="0"/>
                <w:i w:val="0"/>
                <w:sz w:val="18"/>
              </w:rPr>
              <w:t>Nonfiction polemic</w:t>
            </w:r>
          </w:p>
        </w:tc>
      </w:tr>
      <w:tr>
        <w:tc>
          <w:tcPr>
            <w:tcW w:type="dxa" w:w="779"/>
          </w:tcPr>
          <w:p>
            <w:pPr>
              <w:spacing w:before="20" w:after="20"/>
            </w:pPr>
            <w:r>
              <w:rPr>
                <w:b w:val="0"/>
                <w:i w:val="0"/>
                <w:sz w:val="18"/>
              </w:rPr>
              <w:t>1908</w:t>
            </w:r>
          </w:p>
        </w:tc>
        <w:tc>
          <w:tcPr>
            <w:tcW w:type="dxa" w:w="779"/>
          </w:tcPr>
          <w:p>
            <w:pPr>
              <w:spacing w:before="20" w:after="20"/>
            </w:pPr>
            <w:r>
              <w:rPr>
                <w:b w:val="0"/>
                <w:i w:val="0"/>
                <w:sz w:val="18"/>
              </w:rPr>
              <w:t>Bogdanov</w:t>
            </w:r>
          </w:p>
        </w:tc>
        <w:tc>
          <w:tcPr>
            <w:tcW w:type="dxa" w:w="1207"/>
          </w:tcPr>
          <w:p>
            <w:pPr>
              <w:spacing w:before="20" w:after="20"/>
            </w:pPr>
            <w:r>
              <w:rPr>
                <w:b w:val="0"/>
                <w:i/>
                <w:sz w:val="18"/>
              </w:rPr>
              <w:t>Red Star</w:t>
            </w:r>
          </w:p>
        </w:tc>
        <w:tc>
          <w:tcPr>
            <w:tcW w:type="dxa" w:w="2185"/>
          </w:tcPr>
          <w:p>
            <w:pPr>
              <w:spacing w:before="20" w:after="20"/>
            </w:pPr>
            <w:r>
              <w:rPr>
                <w:b w:val="0"/>
                <w:i w:val="0"/>
                <w:sz w:val="18"/>
              </w:rPr>
              <w:t>Communist utopia, blood science</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1912–1943</w:t>
            </w:r>
          </w:p>
        </w:tc>
        <w:tc>
          <w:tcPr>
            <w:tcW w:type="dxa" w:w="779"/>
          </w:tcPr>
          <w:p>
            <w:pPr>
              <w:spacing w:before="20" w:after="20"/>
            </w:pPr>
            <w:r>
              <w:rPr>
                <w:b w:val="0"/>
                <w:i w:val="0"/>
                <w:sz w:val="18"/>
              </w:rPr>
              <w:t>Burroughs</w:t>
            </w:r>
          </w:p>
        </w:tc>
        <w:tc>
          <w:tcPr>
            <w:tcW w:type="dxa" w:w="1207"/>
          </w:tcPr>
          <w:p>
            <w:pPr>
              <w:spacing w:before="20" w:after="20"/>
            </w:pPr>
            <w:r>
              <w:rPr>
                <w:b w:val="0"/>
                <w:i w:val="0"/>
                <w:sz w:val="18"/>
              </w:rPr>
              <w:t>Barsoom series</w:t>
            </w:r>
          </w:p>
        </w:tc>
        <w:tc>
          <w:tcPr>
            <w:tcW w:type="dxa" w:w="2185"/>
          </w:tcPr>
          <w:p>
            <w:pPr>
              <w:spacing w:before="20" w:after="20"/>
            </w:pPr>
            <w:r>
              <w:rPr>
                <w:b w:val="0"/>
                <w:i w:val="0"/>
                <w:sz w:val="18"/>
              </w:rPr>
              <w:t>Human races, polar forbidden zones</w:t>
            </w:r>
          </w:p>
        </w:tc>
        <w:tc>
          <w:tcPr>
            <w:tcW w:type="dxa" w:w="1423"/>
          </w:tcPr>
          <w:p>
            <w:pPr>
              <w:spacing w:before="20" w:after="20"/>
            </w:pPr>
            <w:r>
              <w:rPr>
                <w:b w:val="0"/>
                <w:i w:val="0"/>
                <w:sz w:val="18"/>
              </w:rPr>
              <w:t>Adventure / "scientific romance"</w:t>
            </w:r>
          </w:p>
        </w:tc>
      </w:tr>
      <w:tr>
        <w:tc>
          <w:tcPr>
            <w:tcW w:type="dxa" w:w="779"/>
          </w:tcPr>
          <w:p>
            <w:pPr>
              <w:spacing w:before="20" w:after="20"/>
            </w:pPr>
            <w:r>
              <w:rPr>
                <w:b w:val="0"/>
                <w:i w:val="0"/>
                <w:sz w:val="18"/>
              </w:rPr>
              <w:t>1923</w:t>
            </w:r>
          </w:p>
        </w:tc>
        <w:tc>
          <w:tcPr>
            <w:tcW w:type="dxa" w:w="779"/>
          </w:tcPr>
          <w:p>
            <w:pPr>
              <w:spacing w:before="20" w:after="20"/>
            </w:pPr>
            <w:r>
              <w:rPr>
                <w:b w:val="0"/>
                <w:i w:val="0"/>
                <w:sz w:val="18"/>
              </w:rPr>
              <w:t>Tolstoy</w:t>
            </w:r>
          </w:p>
        </w:tc>
        <w:tc>
          <w:tcPr>
            <w:tcW w:type="dxa" w:w="1207"/>
          </w:tcPr>
          <w:p>
            <w:pPr>
              <w:spacing w:before="20" w:after="20"/>
            </w:pPr>
            <w:r>
              <w:rPr>
                <w:b w:val="0"/>
                <w:i/>
                <w:sz w:val="18"/>
              </w:rPr>
              <w:t>Aelita</w:t>
            </w:r>
          </w:p>
        </w:tc>
        <w:tc>
          <w:tcPr>
            <w:tcW w:type="dxa" w:w="2185"/>
          </w:tcPr>
          <w:p>
            <w:pPr>
              <w:spacing w:before="20" w:after="20"/>
            </w:pPr>
            <w:r>
              <w:rPr>
                <w:b w:val="0"/>
                <w:i w:val="0"/>
                <w:sz w:val="18"/>
              </w:rPr>
              <w:t>Dying caste system, failed revolution</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r>
            <w:r>
              <w:rPr>
                <w:b/>
                <w:i w:val="0"/>
                <w:sz w:val="18"/>
              </w:rPr>
              <w:t>1926</w:t>
            </w:r>
            <w:r>
              <w:rPr>
                <w:b w:val="0"/>
                <w:i w:val="0"/>
                <w:sz w:val="18"/>
              </w:rPr>
            </w:r>
          </w:p>
        </w:tc>
        <w:tc>
          <w:tcPr>
            <w:tcW w:type="dxa" w:w="779"/>
          </w:tcPr>
          <w:p>
            <w:pPr>
              <w:spacing w:before="20" w:after="20"/>
            </w:pPr>
            <w:r>
              <w:rPr>
                <w:b w:val="0"/>
                <w:i w:val="0"/>
                <w:sz w:val="18"/>
              </w:rPr>
            </w:r>
            <w:r>
              <w:rPr>
                <w:b/>
                <w:i w:val="0"/>
                <w:sz w:val="18"/>
              </w:rPr>
              <w:t>Gernsback</w:t>
            </w:r>
            <w:r>
              <w:rPr>
                <w:b w:val="0"/>
                <w:i w:val="0"/>
                <w:sz w:val="18"/>
              </w:rPr>
            </w:r>
          </w:p>
        </w:tc>
        <w:tc>
          <w:tcPr>
            <w:tcW w:type="dxa" w:w="1207"/>
          </w:tcPr>
          <w:p>
            <w:pPr>
              <w:spacing w:before="20" w:after="20"/>
            </w:pPr>
            <w:r>
              <w:rPr>
                <w:b w:val="0"/>
                <w:i/>
                <w:sz w:val="18"/>
              </w:rPr>
            </w:r>
            <w:r>
              <w:rPr>
                <w:b/>
                <w:i/>
                <w:sz w:val="18"/>
              </w:rPr>
              <w:t>Amazing Stories</w:t>
            </w:r>
            <w:r>
              <w:rPr>
                <w:b w:val="0"/>
                <w:i/>
                <w:sz w:val="18"/>
              </w:rPr>
            </w:r>
          </w:p>
        </w:tc>
        <w:tc>
          <w:tcPr>
            <w:tcW w:type="dxa" w:w="2185"/>
          </w:tcPr>
          <w:p>
            <w:pPr>
              <w:spacing w:before="20" w:after="20"/>
            </w:pPr>
            <w:r>
              <w:rPr>
                <w:b w:val="0"/>
                <w:i w:val="0"/>
                <w:sz w:val="18"/>
              </w:rPr>
              <w:t>—</w:t>
            </w:r>
          </w:p>
        </w:tc>
        <w:tc>
          <w:tcPr>
            <w:tcW w:type="dxa" w:w="1423"/>
          </w:tcPr>
          <w:p>
            <w:pPr>
              <w:spacing w:before="20" w:after="20"/>
            </w:pPr>
            <w:r>
              <w:rPr>
                <w:b w:val="0"/>
                <w:i w:val="0"/>
                <w:sz w:val="18"/>
              </w:rPr>
            </w:r>
            <w:r>
              <w:rPr>
                <w:b/>
                <w:i w:val="0"/>
                <w:sz w:val="18"/>
              </w:rPr>
              <w:t>"Science fiction" genre created</w:t>
            </w:r>
            <w:r>
              <w:rPr>
                <w:b w:val="0"/>
                <w:i w:val="0"/>
                <w:sz w:val="18"/>
              </w:rPr>
            </w:r>
          </w:p>
        </w:tc>
      </w:tr>
      <w:tr>
        <w:tc>
          <w:tcPr>
            <w:tcW w:type="dxa" w:w="779"/>
          </w:tcPr>
          <w:p>
            <w:pPr>
              <w:spacing w:before="20" w:after="20"/>
            </w:pPr>
            <w:r>
              <w:rPr>
                <w:b w:val="0"/>
                <w:i w:val="0"/>
                <w:sz w:val="18"/>
              </w:rPr>
              <w:t>1934</w:t>
            </w:r>
          </w:p>
        </w:tc>
        <w:tc>
          <w:tcPr>
            <w:tcW w:type="dxa" w:w="779"/>
          </w:tcPr>
          <w:p>
            <w:pPr>
              <w:spacing w:before="20" w:after="20"/>
            </w:pPr>
            <w:r>
              <w:rPr>
                <w:b w:val="0"/>
                <w:i w:val="0"/>
                <w:sz w:val="18"/>
              </w:rPr>
              <w:t>Weinbaum</w:t>
            </w:r>
          </w:p>
        </w:tc>
        <w:tc>
          <w:tcPr>
            <w:tcW w:type="dxa" w:w="1207"/>
          </w:tcPr>
          <w:p>
            <w:pPr>
              <w:spacing w:before="20" w:after="20"/>
            </w:pPr>
            <w:r>
              <w:rPr>
                <w:b w:val="0"/>
                <w:i/>
                <w:sz w:val="18"/>
              </w:rPr>
              <w:t>A Martian Odyssey</w:t>
            </w:r>
          </w:p>
        </w:tc>
        <w:tc>
          <w:tcPr>
            <w:tcW w:type="dxa" w:w="2185"/>
          </w:tcPr>
          <w:p>
            <w:pPr>
              <w:spacing w:before="20" w:after="20"/>
            </w:pPr>
            <w:r>
              <w:rPr>
                <w:b w:val="0"/>
                <w:i w:val="0"/>
                <w:sz w:val="18"/>
              </w:rPr>
              <w:t>Friendly, intelligent</w:t>
            </w:r>
          </w:p>
        </w:tc>
        <w:tc>
          <w:tcPr>
            <w:tcW w:type="dxa" w:w="1423"/>
          </w:tcPr>
          <w:p>
            <w:pPr>
              <w:spacing w:before="20" w:after="20"/>
            </w:pPr>
            <w:r>
              <w:rPr>
                <w:b w:val="0"/>
                <w:i w:val="0"/>
                <w:sz w:val="18"/>
              </w:rPr>
              <w:t>Magazine SF</w:t>
            </w:r>
          </w:p>
        </w:tc>
      </w:tr>
      <w:tr>
        <w:tc>
          <w:tcPr>
            <w:tcW w:type="dxa" w:w="779"/>
          </w:tcPr>
          <w:p>
            <w:pPr>
              <w:spacing w:before="20" w:after="20"/>
            </w:pPr>
            <w:r>
              <w:rPr>
                <w:b w:val="0"/>
                <w:i w:val="0"/>
                <w:sz w:val="18"/>
              </w:rPr>
              <w:t>1938</w:t>
            </w:r>
          </w:p>
        </w:tc>
        <w:tc>
          <w:tcPr>
            <w:tcW w:type="dxa" w:w="779"/>
          </w:tcPr>
          <w:p>
            <w:pPr>
              <w:spacing w:before="20" w:after="20"/>
            </w:pPr>
            <w:r>
              <w:rPr>
                <w:b w:val="0"/>
                <w:i w:val="0"/>
                <w:sz w:val="18"/>
              </w:rPr>
              <w:t>Lewis</w:t>
            </w:r>
          </w:p>
        </w:tc>
        <w:tc>
          <w:tcPr>
            <w:tcW w:type="dxa" w:w="1207"/>
          </w:tcPr>
          <w:p>
            <w:pPr>
              <w:spacing w:before="20" w:after="20"/>
            </w:pPr>
            <w:r>
              <w:rPr>
                <w:b w:val="0"/>
                <w:i/>
                <w:sz w:val="18"/>
              </w:rPr>
              <w:t>Out of the Silent Planet</w:t>
            </w:r>
          </w:p>
        </w:tc>
        <w:tc>
          <w:tcPr>
            <w:tcW w:type="dxa" w:w="2185"/>
          </w:tcPr>
          <w:p>
            <w:pPr>
              <w:spacing w:before="20" w:after="20"/>
            </w:pPr>
            <w:r>
              <w:rPr>
                <w:b w:val="0"/>
                <w:i w:val="0"/>
                <w:sz w:val="18"/>
              </w:rPr>
              <w:t>Inhabited, moral, quarantined Earth</w:t>
            </w:r>
          </w:p>
        </w:tc>
        <w:tc>
          <w:tcPr>
            <w:tcW w:type="dxa" w:w="1423"/>
          </w:tcPr>
          <w:p>
            <w:pPr>
              <w:spacing w:before="20" w:after="20"/>
            </w:pPr>
            <w:r>
              <w:rPr>
                <w:b w:val="0"/>
                <w:i w:val="0"/>
                <w:sz w:val="18"/>
              </w:rPr>
              <w:t>General fiction</w:t>
            </w:r>
          </w:p>
        </w:tc>
      </w:tr>
      <w:tr>
        <w:tc>
          <w:tcPr>
            <w:tcW w:type="dxa" w:w="779"/>
          </w:tcPr>
          <w:p>
            <w:pPr>
              <w:spacing w:before="20" w:after="20"/>
            </w:pPr>
            <w:r>
              <w:rPr>
                <w:b w:val="0"/>
                <w:i w:val="0"/>
                <w:sz w:val="18"/>
              </w:rPr>
              <w:t>1940s–60s</w:t>
            </w:r>
          </w:p>
        </w:tc>
        <w:tc>
          <w:tcPr>
            <w:tcW w:type="dxa" w:w="779"/>
          </w:tcPr>
          <w:p>
            <w:pPr>
              <w:spacing w:before="20" w:after="20"/>
            </w:pPr>
            <w:r>
              <w:rPr>
                <w:b w:val="0"/>
                <w:i w:val="0"/>
                <w:sz w:val="18"/>
              </w:rPr>
              <w:t>Brackett</w:t>
            </w:r>
          </w:p>
        </w:tc>
        <w:tc>
          <w:tcPr>
            <w:tcW w:type="dxa" w:w="1207"/>
          </w:tcPr>
          <w:p>
            <w:pPr>
              <w:spacing w:before="20" w:after="20"/>
            </w:pPr>
            <w:r>
              <w:rPr>
                <w:b w:val="0"/>
                <w:i w:val="0"/>
                <w:sz w:val="18"/>
              </w:rPr>
              <w:t>Planetary romances</w:t>
            </w:r>
          </w:p>
        </w:tc>
        <w:tc>
          <w:tcPr>
            <w:tcW w:type="dxa" w:w="2185"/>
          </w:tcPr>
          <w:p>
            <w:pPr>
              <w:spacing w:before="20" w:after="20"/>
            </w:pPr>
            <w:r>
              <w:rPr>
                <w:b w:val="0"/>
                <w:i w:val="0"/>
                <w:sz w:val="18"/>
              </w:rPr>
              <w:t>Dying, inhabited, ancient</w:t>
            </w:r>
          </w:p>
        </w:tc>
        <w:tc>
          <w:tcPr>
            <w:tcW w:type="dxa" w:w="1423"/>
          </w:tcPr>
          <w:p>
            <w:pPr>
              <w:spacing w:before="20" w:after="20"/>
            </w:pPr>
            <w:r>
              <w:rPr>
                <w:b w:val="0"/>
                <w:i w:val="0"/>
                <w:sz w:val="18"/>
              </w:rPr>
              <w:t>Pulp SF</w:t>
            </w:r>
          </w:p>
        </w:tc>
      </w:tr>
      <w:tr>
        <w:tc>
          <w:tcPr>
            <w:tcW w:type="dxa" w:w="779"/>
          </w:tcPr>
          <w:p>
            <w:pPr>
              <w:spacing w:before="20" w:after="20"/>
            </w:pPr>
            <w:r>
              <w:rPr>
                <w:b w:val="0"/>
                <w:i w:val="0"/>
                <w:sz w:val="18"/>
              </w:rPr>
              <w:t>1942–50</w:t>
            </w:r>
          </w:p>
        </w:tc>
        <w:tc>
          <w:tcPr>
            <w:tcW w:type="dxa" w:w="779"/>
          </w:tcPr>
          <w:p>
            <w:pPr>
              <w:spacing w:before="20" w:after="20"/>
            </w:pPr>
            <w:r>
              <w:rPr>
                <w:b w:val="0"/>
                <w:i w:val="0"/>
                <w:sz w:val="18"/>
              </w:rPr>
              <w:t>Asimov</w:t>
            </w:r>
          </w:p>
        </w:tc>
        <w:tc>
          <w:tcPr>
            <w:tcW w:type="dxa" w:w="1207"/>
          </w:tcPr>
          <w:p>
            <w:pPr>
              <w:spacing w:before="20" w:after="20"/>
            </w:pPr>
            <w:r>
              <w:rPr>
                <w:b w:val="0"/>
                <w:i w:val="0"/>
                <w:sz w:val="18"/>
              </w:rPr>
              <w:t xml:space="preserve">Robot series, </w:t>
            </w:r>
            <w:r>
              <w:rPr>
                <w:b w:val="0"/>
                <w:i/>
                <w:sz w:val="18"/>
              </w:rPr>
              <w:t>David Starr</w:t>
            </w:r>
            <w:r>
              <w:rPr>
                <w:b w:val="0"/>
                <w:i w:val="0"/>
                <w:sz w:val="18"/>
              </w:rPr>
              <w:t xml:space="preserve">, </w:t>
            </w:r>
            <w:r>
              <w:rPr>
                <w:b w:val="0"/>
                <w:i/>
                <w:sz w:val="18"/>
              </w:rPr>
              <w:t>Everest</w:t>
            </w:r>
          </w:p>
        </w:tc>
        <w:tc>
          <w:tcPr>
            <w:tcW w:type="dxa" w:w="2185"/>
          </w:tcPr>
          <w:p>
            <w:pPr>
              <w:spacing w:before="20" w:after="20"/>
            </w:pPr>
            <w:r>
              <w:rPr>
                <w:b w:val="0"/>
                <w:i w:val="0"/>
                <w:sz w:val="18"/>
              </w:rPr>
              <w:t>Robots as slaves; Martians on Everest</w:t>
            </w:r>
          </w:p>
        </w:tc>
        <w:tc>
          <w:tcPr>
            <w:tcW w:type="dxa" w:w="1423"/>
          </w:tcPr>
          <w:p>
            <w:pPr>
              <w:spacing w:before="20" w:after="20"/>
            </w:pPr>
            <w:r>
              <w:rPr>
                <w:b w:val="0"/>
                <w:i w:val="0"/>
                <w:sz w:val="18"/>
              </w:rPr>
              <w:t>Magazine / Published SF</w:t>
            </w:r>
          </w:p>
        </w:tc>
      </w:tr>
      <w:tr>
        <w:tc>
          <w:tcPr>
            <w:tcW w:type="dxa" w:w="779"/>
          </w:tcPr>
          <w:p>
            <w:pPr>
              <w:spacing w:before="20" w:after="20"/>
            </w:pPr>
            <w:r>
              <w:rPr>
                <w:b w:val="0"/>
                <w:i w:val="0"/>
                <w:sz w:val="18"/>
              </w:rPr>
              <w:t>1949–1963</w:t>
            </w:r>
          </w:p>
        </w:tc>
        <w:tc>
          <w:tcPr>
            <w:tcW w:type="dxa" w:w="779"/>
          </w:tcPr>
          <w:p>
            <w:pPr>
              <w:spacing w:before="20" w:after="20"/>
            </w:pPr>
            <w:r>
              <w:rPr>
                <w:b w:val="0"/>
                <w:i w:val="0"/>
                <w:sz w:val="18"/>
              </w:rPr>
              <w:t>Heinlein</w:t>
            </w:r>
          </w:p>
        </w:tc>
        <w:tc>
          <w:tcPr>
            <w:tcW w:type="dxa" w:w="1207"/>
          </w:tcPr>
          <w:p>
            <w:pPr>
              <w:spacing w:before="20" w:after="20"/>
            </w:pPr>
            <w:r>
              <w:rPr>
                <w:b w:val="0"/>
                <w:i w:val="0"/>
                <w:sz w:val="18"/>
              </w:rPr>
              <w:t>Mars novels</w:t>
            </w:r>
          </w:p>
        </w:tc>
        <w:tc>
          <w:tcPr>
            <w:tcW w:type="dxa" w:w="2185"/>
          </w:tcPr>
          <w:p>
            <w:pPr>
              <w:spacing w:before="20" w:after="20"/>
            </w:pPr>
            <w:r>
              <w:rPr>
                <w:b w:val="0"/>
                <w:i w:val="0"/>
                <w:sz w:val="18"/>
              </w:rPr>
              <w:t>Wise Martians, colonial revolt</w:t>
            </w:r>
          </w:p>
        </w:tc>
        <w:tc>
          <w:tcPr>
            <w:tcW w:type="dxa" w:w="1423"/>
          </w:tcPr>
          <w:p>
            <w:pPr>
              <w:spacing w:before="20" w:after="20"/>
            </w:pPr>
            <w:r>
              <w:rPr>
                <w:b w:val="0"/>
                <w:i w:val="0"/>
                <w:sz w:val="18"/>
              </w:rPr>
              <w:t>Published SF</w:t>
            </w:r>
          </w:p>
        </w:tc>
      </w:tr>
      <w:tr>
        <w:tc>
          <w:tcPr>
            <w:tcW w:type="dxa" w:w="779"/>
          </w:tcPr>
          <w:p>
            <w:pPr>
              <w:spacing w:before="20" w:after="20"/>
            </w:pPr>
            <w:r>
              <w:rPr>
                <w:b w:val="0"/>
                <w:i w:val="0"/>
                <w:sz w:val="18"/>
              </w:rPr>
              <w:t>1950</w:t>
            </w:r>
          </w:p>
        </w:tc>
        <w:tc>
          <w:tcPr>
            <w:tcW w:type="dxa" w:w="779"/>
          </w:tcPr>
          <w:p>
            <w:pPr>
              <w:spacing w:before="20" w:after="20"/>
            </w:pPr>
            <w:r>
              <w:rPr>
                <w:b w:val="0"/>
                <w:i w:val="0"/>
                <w:sz w:val="18"/>
              </w:rPr>
              <w:t>Bradbury</w:t>
            </w:r>
          </w:p>
        </w:tc>
        <w:tc>
          <w:tcPr>
            <w:tcW w:type="dxa" w:w="1207"/>
          </w:tcPr>
          <w:p>
            <w:pPr>
              <w:spacing w:before="20" w:after="20"/>
            </w:pPr>
            <w:r>
              <w:rPr>
                <w:b w:val="0"/>
                <w:i/>
                <w:sz w:val="18"/>
              </w:rPr>
              <w:t>The Martian Chronicles</w:t>
            </w:r>
          </w:p>
        </w:tc>
        <w:tc>
          <w:tcPr>
            <w:tcW w:type="dxa" w:w="2185"/>
          </w:tcPr>
          <w:p>
            <w:pPr>
              <w:spacing w:before="20" w:after="20"/>
            </w:pPr>
            <w:r>
              <w:rPr>
                <w:b w:val="0"/>
                <w:i w:val="0"/>
                <w:sz w:val="18"/>
              </w:rPr>
              <w:t>Telepathic, human, tragic</w:t>
            </w:r>
          </w:p>
        </w:tc>
        <w:tc>
          <w:tcPr>
            <w:tcW w:type="dxa" w:w="1423"/>
          </w:tcPr>
          <w:p>
            <w:pPr>
              <w:spacing w:before="20" w:after="20"/>
            </w:pPr>
            <w:r>
              <w:rPr>
                <w:b w:val="0"/>
                <w:i w:val="0"/>
                <w:sz w:val="18"/>
              </w:rPr>
              <w:t>Published SF</w:t>
            </w:r>
          </w:p>
        </w:tc>
      </w:tr>
      <w:tr>
        <w:tc>
          <w:tcPr>
            <w:tcW w:type="dxa" w:w="779"/>
          </w:tcPr>
          <w:p>
            <w:pPr>
              <w:spacing w:before="20" w:after="20"/>
            </w:pPr>
            <w:r>
              <w:rPr>
                <w:b w:val="0"/>
                <w:i w:val="0"/>
                <w:sz w:val="18"/>
              </w:rPr>
            </w:r>
            <w:r>
              <w:rPr>
                <w:b/>
                <w:i w:val="0"/>
                <w:sz w:val="18"/>
              </w:rPr>
              <w:t>1951</w:t>
            </w:r>
            <w:r>
              <w:rPr>
                <w:b w:val="0"/>
                <w:i w:val="0"/>
                <w:sz w:val="18"/>
              </w:rPr>
            </w:r>
          </w:p>
        </w:tc>
        <w:tc>
          <w:tcPr>
            <w:tcW w:type="dxa" w:w="779"/>
          </w:tcPr>
          <w:p>
            <w:pPr>
              <w:spacing w:before="20" w:after="20"/>
            </w:pPr>
            <w:r>
              <w:rPr>
                <w:b w:val="0"/>
                <w:i w:val="0"/>
                <w:sz w:val="18"/>
              </w:rPr>
              <w:t>—</w:t>
            </w:r>
          </w:p>
        </w:tc>
        <w:tc>
          <w:tcPr>
            <w:tcW w:type="dxa" w:w="1207"/>
          </w:tcPr>
          <w:p>
            <w:pPr>
              <w:spacing w:before="20" w:after="20"/>
            </w:pPr>
            <w:r>
              <w:rPr>
                <w:b w:val="0"/>
                <w:i w:val="0"/>
                <w:sz w:val="18"/>
              </w:rPr>
              <w:t>—</w:t>
            </w:r>
          </w:p>
        </w:tc>
        <w:tc>
          <w:tcPr>
            <w:tcW w:type="dxa" w:w="2185"/>
          </w:tcPr>
          <w:p>
            <w:pPr>
              <w:spacing w:before="20" w:after="20"/>
            </w:pPr>
            <w:r>
              <w:rPr>
                <w:b w:val="0"/>
                <w:i w:val="0"/>
                <w:sz w:val="18"/>
              </w:rPr>
              <w:t>—</w:t>
            </w:r>
          </w:p>
        </w:tc>
        <w:tc>
          <w:tcPr>
            <w:tcW w:type="dxa" w:w="1423"/>
          </w:tcPr>
          <w:p>
            <w:pPr>
              <w:spacing w:before="20" w:after="20"/>
            </w:pPr>
            <w:r>
              <w:rPr>
                <w:b w:val="0"/>
                <w:i w:val="0"/>
                <w:sz w:val="18"/>
              </w:rPr>
            </w:r>
            <w:r>
              <w:rPr>
                <w:b/>
                <w:i w:val="0"/>
                <w:sz w:val="18"/>
              </w:rPr>
              <w:t>Mainstream publishers enter SF market</w:t>
            </w:r>
            <w:r>
              <w:rPr>
                <w:b w:val="0"/>
                <w:i w:val="0"/>
                <w:sz w:val="18"/>
              </w:rPr>
            </w:r>
          </w:p>
        </w:tc>
      </w:tr>
      <w:tr>
        <w:tc>
          <w:tcPr>
            <w:tcW w:type="dxa" w:w="779"/>
          </w:tcPr>
          <w:p>
            <w:pPr>
              <w:spacing w:before="20" w:after="20"/>
            </w:pPr>
            <w:r>
              <w:rPr>
                <w:b w:val="0"/>
                <w:i w:val="0"/>
                <w:sz w:val="18"/>
              </w:rPr>
              <w:t>1960s</w:t>
            </w:r>
          </w:p>
        </w:tc>
        <w:tc>
          <w:tcPr>
            <w:tcW w:type="dxa" w:w="779"/>
          </w:tcPr>
          <w:p>
            <w:pPr>
              <w:spacing w:before="20" w:after="20"/>
            </w:pPr>
            <w:r>
              <w:rPr>
                <w:b w:val="0"/>
                <w:i w:val="0"/>
                <w:sz w:val="18"/>
              </w:rPr>
              <w:t>Dick</w:t>
            </w:r>
          </w:p>
        </w:tc>
        <w:tc>
          <w:tcPr>
            <w:tcW w:type="dxa" w:w="1207"/>
          </w:tcPr>
          <w:p>
            <w:pPr>
              <w:spacing w:before="20" w:after="20"/>
            </w:pPr>
            <w:r>
              <w:rPr>
                <w:b w:val="0"/>
                <w:i w:val="0"/>
                <w:sz w:val="18"/>
              </w:rPr>
              <w:t>Mars novels</w:t>
            </w:r>
          </w:p>
        </w:tc>
        <w:tc>
          <w:tcPr>
            <w:tcW w:type="dxa" w:w="2185"/>
          </w:tcPr>
          <w:p>
            <w:pPr>
              <w:spacing w:before="20" w:after="20"/>
            </w:pPr>
            <w:r>
              <w:rPr>
                <w:b w:val="0"/>
                <w:i w:val="0"/>
                <w:sz w:val="18"/>
              </w:rPr>
              <w:t>Memory erasure, corporate control</w:t>
            </w:r>
          </w:p>
        </w:tc>
        <w:tc>
          <w:tcPr>
            <w:tcW w:type="dxa" w:w="1423"/>
          </w:tcPr>
          <w:p>
            <w:pPr>
              <w:spacing w:before="20" w:after="20"/>
            </w:pPr>
            <w:r>
              <w:rPr>
                <w:b w:val="0"/>
                <w:i w:val="0"/>
                <w:sz w:val="18"/>
              </w:rPr>
              <w:t>Published SF</w:t>
            </w:r>
          </w:p>
        </w:tc>
      </w:tr>
      <w:tr>
        <w:tc>
          <w:tcPr>
            <w:tcW w:type="dxa" w:w="779"/>
          </w:tcPr>
          <w:p>
            <w:pPr>
              <w:spacing w:before="20" w:after="20"/>
            </w:pPr>
            <w:r>
              <w:rPr>
                <w:b w:val="0"/>
                <w:i w:val="0"/>
                <w:sz w:val="18"/>
              </w:rPr>
              <w:t>1992–1996</w:t>
            </w:r>
          </w:p>
        </w:tc>
        <w:tc>
          <w:tcPr>
            <w:tcW w:type="dxa" w:w="779"/>
          </w:tcPr>
          <w:p>
            <w:pPr>
              <w:spacing w:before="20" w:after="20"/>
            </w:pPr>
            <w:r>
              <w:rPr>
                <w:b w:val="0"/>
                <w:i w:val="0"/>
                <w:sz w:val="18"/>
              </w:rPr>
              <w:t>Robinson</w:t>
            </w:r>
          </w:p>
        </w:tc>
        <w:tc>
          <w:tcPr>
            <w:tcW w:type="dxa" w:w="1207"/>
          </w:tcPr>
          <w:p>
            <w:pPr>
              <w:spacing w:before="20" w:after="20"/>
            </w:pPr>
            <w:r>
              <w:rPr>
                <w:b w:val="0"/>
                <w:i w:val="0"/>
                <w:sz w:val="18"/>
              </w:rPr>
              <w:t>Mars trilogy</w:t>
            </w:r>
          </w:p>
        </w:tc>
        <w:tc>
          <w:tcPr>
            <w:tcW w:type="dxa" w:w="2185"/>
          </w:tcPr>
          <w:p>
            <w:pPr>
              <w:spacing w:before="20" w:after="20"/>
            </w:pPr>
            <w:r>
              <w:rPr>
                <w:b w:val="0"/>
                <w:i w:val="0"/>
                <w:sz w:val="18"/>
              </w:rPr>
              <w:t>Political revolution, independence</w:t>
            </w:r>
          </w:p>
        </w:tc>
        <w:tc>
          <w:tcPr>
            <w:tcW w:type="dxa" w:w="1423"/>
          </w:tcPr>
          <w:p>
            <w:pPr>
              <w:spacing w:before="20" w:after="20"/>
            </w:pPr>
            <w:r>
              <w:rPr>
                <w:b w:val="0"/>
                <w:i w:val="0"/>
                <w:sz w:val="18"/>
              </w:rPr>
              <w:t>Published SF</w:t>
            </w:r>
          </w:p>
        </w:tc>
      </w:tr>
      <w:tr>
        <w:tc>
          <w:tcPr>
            <w:tcW w:type="dxa" w:w="779"/>
          </w:tcPr>
          <w:p>
            <w:pPr>
              <w:spacing w:before="20" w:after="20"/>
            </w:pPr>
            <w:r>
              <w:rPr>
                <w:b w:val="0"/>
                <w:i w:val="0"/>
                <w:sz w:val="18"/>
              </w:rPr>
              <w:t>2017</w:t>
            </w:r>
          </w:p>
        </w:tc>
        <w:tc>
          <w:tcPr>
            <w:tcW w:type="dxa" w:w="779"/>
          </w:tcPr>
          <w:p>
            <w:pPr>
              <w:spacing w:before="20" w:after="20"/>
            </w:pPr>
            <w:r>
              <w:rPr>
                <w:b w:val="0"/>
                <w:i w:val="0"/>
                <w:sz w:val="18"/>
              </w:rPr>
              <w:t>Baxter</w:t>
            </w:r>
          </w:p>
        </w:tc>
        <w:tc>
          <w:tcPr>
            <w:tcW w:type="dxa" w:w="1207"/>
          </w:tcPr>
          <w:p>
            <w:pPr>
              <w:spacing w:before="20" w:after="20"/>
            </w:pPr>
            <w:r>
              <w:rPr>
                <w:b w:val="0"/>
                <w:i/>
                <w:sz w:val="18"/>
              </w:rPr>
              <w:t>The Massacre of Mankind</w:t>
            </w:r>
          </w:p>
        </w:tc>
        <w:tc>
          <w:tcPr>
            <w:tcW w:type="dxa" w:w="2185"/>
          </w:tcPr>
          <w:p>
            <w:pPr>
              <w:spacing w:before="20" w:after="20"/>
            </w:pPr>
            <w:r>
              <w:rPr>
                <w:b w:val="0"/>
                <w:i w:val="0"/>
                <w:sz w:val="18"/>
              </w:rPr>
              <w:t>Authorised WotW sequel; heat ray kept invisible post-Havana; Crystal Egg omitted</w:t>
            </w:r>
          </w:p>
        </w:tc>
        <w:tc>
          <w:tcPr>
            <w:tcW w:type="dxa" w:w="1423"/>
          </w:tcPr>
          <w:p>
            <w:pPr>
              <w:spacing w:before="20" w:after="20"/>
            </w:pPr>
            <w:r>
              <w:rPr>
                <w:b w:val="0"/>
                <w:i w:val="0"/>
                <w:sz w:val="18"/>
              </w:rPr>
              <w:t xml:space="preserve">See </w:t>
            </w:r>
            <w:hyperlink r:id="rId61">
              <w:r>
                <w:rPr>
                  <w:b w:val="0"/>
                  <w:i w:val="0"/>
                  <w:color w:val="B8860B"/>
                  <w:sz w:val="18"/>
                </w:rPr>
                <w:t>massacre reference</w:t>
              </w:r>
            </w:hyperlink>
          </w:p>
        </w:tc>
      </w:tr>
    </w:tbl>
    <w:p/>
    <w:p>
      <w:pPr>
        <w:pBdr>
          <w:bottom w:val="single" w:sz="6" w:space="1" w:color="CCCCCC"/>
        </w:pBdr>
      </w:pPr>
    </w:p>
    <w:p>
      <w:pPr>
        <w:pStyle w:val="Heading3"/>
      </w:pPr>
      <w:r>
        <w:t>See Also</w:t>
      </w:r>
    </w:p>
    <w:p>
      <w:pPr>
        <w:pStyle w:val="ListBullet"/>
        <w:spacing w:before="20" w:after="20"/>
      </w:pPr>
      <w:hyperlink r:id="rId64">
        <w:r>
          <w:rPr>
            <w:b w:val="0"/>
            <w:i w:val="0"/>
            <w:color w:val="B8860B"/>
            <w:sz w:val="19"/>
          </w:rPr>
          <w:t>Asimov: Marx in Space!</w:t>
        </w:r>
      </w:hyperlink>
      <w:r>
        <w:rPr>
          <w:b w:val="0"/>
          <w:i w:val="0"/>
          <w:sz w:val="19"/>
        </w:rPr>
        <w:t xml:space="preserve"> — robots as slaves, Asimov's ignorance of what a robot is</w:t>
      </w:r>
    </w:p>
    <w:p>
      <w:pPr>
        <w:pStyle w:val="ListBullet"/>
        <w:spacing w:before="20" w:after="20"/>
      </w:pPr>
      <w:hyperlink r:id="rId62">
        <w:r>
          <w:rPr>
            <w:b w:val="0"/>
            <w:i w:val="0"/>
            <w:color w:val="B8860B"/>
            <w:sz w:val="19"/>
          </w:rPr>
          <w:t>Mars Literature as Reclassified Nonfiction</w:t>
        </w:r>
      </w:hyperlink>
      <w:r>
        <w:rPr>
          <w:b w:val="0"/>
          <w:i w:val="0"/>
          <w:sz w:val="19"/>
        </w:rPr>
        <w:t xml:space="preserve"> — main article</w:t>
      </w:r>
    </w:p>
    <w:p>
      <w:pPr>
        <w:pStyle w:val="ListBullet"/>
        <w:spacing w:before="20" w:after="20"/>
      </w:pPr>
      <w:hyperlink r:id="rId63">
        <w:r>
          <w:rPr>
            <w:b w:val="0"/>
            <w:i w:val="0"/>
            <w:color w:val="B8860B"/>
            <w:sz w:val="19"/>
          </w:rPr>
          <w:t>The Mars Catastrophe</w:t>
        </w:r>
      </w:hyperlink>
      <w:r>
        <w:rPr>
          <w:b w:val="0"/>
          <w:i w:val="0"/>
          <w:sz w:val="19"/>
        </w:rPr>
        <w:t xml:space="preserve"> — core theory</w:t>
      </w:r>
    </w:p>
    <w:p>
      <w:pPr>
        <w:pStyle w:val="ListBullet"/>
        <w:spacing w:before="20" w:after="20"/>
      </w:pPr>
      <w:hyperlink r:id="rId46">
        <w:r>
          <w:rPr>
            <w:b w:val="0"/>
            <w:i w:val="0"/>
            <w:color w:val="B8860B"/>
            <w:sz w:val="19"/>
          </w:rPr>
          <w:t>20th Century Predictive Programming: Literature</w:t>
        </w:r>
      </w:hyperlink>
      <w:r>
        <w:rPr>
          <w:b w:val="0"/>
          <w:i w:val="0"/>
          <w:sz w:val="19"/>
        </w:rPr>
        <w:t xml:space="preserve"> — the broader encoding operation</w:t>
      </w:r>
    </w:p>
    <w:p>
      <w:pPr>
        <w:pStyle w:val="ListBullet"/>
        <w:spacing w:before="20" w:after="20"/>
      </w:pPr>
      <w:hyperlink r:id="rId66">
        <w:r>
          <w:rPr>
            <w:b w:val="0"/>
            <w:i w:val="0"/>
            <w:color w:val="B8860B"/>
            <w:sz w:val="19"/>
          </w:rPr>
          <w:t>Mars Fiction Survey</w:t>
        </w:r>
      </w:hyperlink>
      <w:r>
        <w:rPr>
          <w:b w:val="0"/>
          <w:i w:val="0"/>
          <w:sz w:val="19"/>
        </w:rPr>
        <w:t xml:space="preserve"> — the full investigation file</w:t>
      </w:r>
    </w:p>
    <w:p/>
    <w:p>
      <w:pPr>
        <w:sectPr>
          <w:headerReference w:type="default" r:id="rId52"/>
          <w:footerReference w:type="default" r:id="rId53"/>
          <w:pgSz w:w="8640" w:h="12960"/>
          <w:pgMar w:top="1020" w:right="1134" w:bottom="1134" w:left="1134" w:header="720" w:footer="720" w:gutter="0"/>
          <w:cols w:space="720"/>
          <w:titlePg/>
          <w:docGrid w:linePitch="360"/>
        </w:sectPr>
      </w:pPr>
    </w:p>
    <w:p>
      <w:pPr>
        <w:pStyle w:val="Heading2"/>
      </w:pPr>
      <w:r>
        <w:rPr>
          <w:b/>
        </w:rPr>
        <w:t>Chapter 3: Controlled Opposition: Appendix</w:t>
      </w:r>
    </w:p>
    <w:p>
      <w:r>
        <w:rPr>
          <w:b w:val="0"/>
          <w:i w:val="0"/>
        </w:rPr>
        <w:t>Supplementary material on controlled opposition, managed disclosure, and narrative control.</w:t>
      </w:r>
    </w:p>
    <w:p>
      <w:pPr>
        <w:pBdr>
          <w:bottom w:val="single" w:sz="6" w:space="1" w:color="CCCCCC"/>
        </w:pBdr>
      </w:pPr>
    </w:p>
    <w:p>
      <w:pPr>
        <w:pStyle w:val="Heading2"/>
      </w:pPr>
      <w:r>
        <w:t>Contents</w:t>
      </w:r>
    </w:p>
    <w:p>
      <w:pPr>
        <w:pStyle w:val="ListBullet"/>
        <w:spacing w:before="20" w:after="20"/>
      </w:pPr>
      <w:hyperlink r:id="rId14">
        <w:r>
          <w:rPr>
            <w:b w:val="0"/>
            <w:i w:val="0"/>
            <w:color w:val="B8860B"/>
            <w:sz w:val="19"/>
          </w:rPr>
          <w:t>The Thunderbolts Project: A Case Study in Managed Disclosure</w:t>
        </w:r>
      </w:hyperlink>
    </w:p>
    <w:p>
      <w:pPr>
        <w:pStyle w:val="ListBullet"/>
        <w:spacing w:before="20" w:after="20"/>
      </w:pPr>
      <w:hyperlink r:id="rId15">
        <w:r>
          <w:rPr>
            <w:b w:val="0"/>
            <w:i w:val="0"/>
            <w:color w:val="B8860B"/>
            <w:sz w:val="19"/>
          </w:rPr>
          <w:t>Operation Mockingbird: The Historical Chain (Extended)</w:t>
        </w:r>
      </w:hyperlink>
    </w:p>
    <w:p/>
    <w:p>
      <w:pPr>
        <w:jc w:val="center"/>
      </w:pPr>
      <w:r>
        <w:rPr>
          <w:color w:val="B8860B"/>
          <w:sz w:val="24"/>
        </w:rPr>
        <w:t>— ✦ —</w:t>
      </w:r>
    </w:p>
    <w:p>
      <w:r>
        <w:rPr>
          <w:b w:val="0"/>
          <w:i w:val="0"/>
        </w:rPr>
        <w:t xml:space="preserve">This article provides the detailed evidentiary record supporting the assessment in </w:t>
      </w:r>
      <w:hyperlink r:id="rId69">
        <w:r>
          <w:rPr>
            <w:b w:val="0"/>
            <w:i w:val="0"/>
            <w:color w:val="B8860B"/>
          </w:rPr>
          <w:t>Controlled Opposition: Managed Disclosure and Gatekeeping</w:t>
        </w:r>
      </w:hyperlink>
      <w:r>
        <w:rPr>
          <w:b w:val="0"/>
          <w:i w:val="0"/>
        </w:rPr>
        <w:t>. For the general pattern of controlled opposition, see that article.</w:t>
      </w:r>
    </w:p>
    <w:p>
      <w:pPr>
        <w:pStyle w:val="Heading3"/>
      </w:pPr>
      <w:r>
        <w:t>Overview</w:t>
      </w:r>
    </w:p>
    <w:p>
      <w:r>
        <w:rPr>
          <w:b w:val="0"/>
          <w:i w:val="0"/>
        </w:rPr>
        <w:t xml:space="preserve">The Thunderbolts Project (thunderbolts.info), founded by David Talbott and Wallace Thornhill, is the most prominent organisation promoting Electric Universe theory and Saturnian cosmology to the public. Their work draws from Immanuel Velikovsky's </w:t>
      </w:r>
      <w:r>
        <w:rPr>
          <w:b w:val="0"/>
          <w:i/>
        </w:rPr>
        <w:t>Worlds in Collision</w:t>
      </w:r>
      <w:r>
        <w:rPr>
          <w:b w:val="0"/>
          <w:i w:val="0"/>
        </w:rPr>
        <w:t xml:space="preserve"> (1950) and incorporates plasma physics. For many independent researchers, the Thunderbolts Project is the gateway into catastrophist and Saturnian studies.</w:t>
      </w:r>
    </w:p>
    <w:p>
      <w:r>
        <w:rPr>
          <w:b w:val="0"/>
          <w:i w:val="0"/>
        </w:rPr>
        <w:t xml:space="preserve">It is also, in the assessment of multiple independent researchers including Jno Cook, a textbook case of managed disclosure — an operation that approaches forbidden knowledge closely enough to attract genuine seekers, while systematically </w:t>
      </w:r>
      <w:r>
        <w:rPr>
          <w:b/>
          <w:i w:val="0"/>
        </w:rPr>
        <w:t>excluding the most significant findings</w:t>
      </w:r>
      <w:r>
        <w:rPr>
          <w:b w:val="0"/>
          <w:i w:val="0"/>
        </w:rPr>
        <w:t>.</w:t>
      </w:r>
    </w:p>
    <w:p>
      <w:r>
        <w:rPr>
          <w:b w:val="0"/>
          <w:i w:val="0"/>
        </w:rPr>
        <w:t xml:space="preserve">Critically, </w:t>
      </w:r>
      <w:r>
        <w:rPr>
          <w:b/>
          <w:i w:val="0"/>
        </w:rPr>
        <w:t>Velikovsky himself never published his Saturn theory</w:t>
      </w:r>
      <w:r>
        <w:rPr>
          <w:b w:val="0"/>
          <w:i w:val="0"/>
        </w:rPr>
        <w:t>. He died in 1979 with the work unfinished. The Thunderbolts group positioned itself as the continuation of Velikovsky's research — but Velikovsky's own correspondence shows he was already warning Talbott that the work was going off track.</w:t>
      </w:r>
    </w:p>
    <w:p>
      <w:pPr>
        <w:pStyle w:val="Heading3"/>
      </w:pPr>
      <w:r>
        <w:t>Velikovsky's Warning to Talbott (1975)</w:t>
      </w:r>
    </w:p>
    <w:p>
      <w:r>
        <w:rPr>
          <w:b w:val="0"/>
          <w:i w:val="0"/>
        </w:rPr>
        <w:t xml:space="preserve">In a letter dated </w:t>
      </w:r>
      <w:r>
        <w:rPr>
          <w:b/>
          <w:i w:val="0"/>
        </w:rPr>
        <w:t>January 29, 1975</w:t>
      </w:r>
      <w:r>
        <w:rPr>
          <w:b w:val="0"/>
          <w:i w:val="0"/>
        </w:rPr>
        <w:t xml:space="preserve"> — preserved in the Velikovsky Archive (varchive.org, correspondence index, 1975) — Immanuel Velikovsky wrote directly to David Talbott after reading his typescript:</w:t>
      </w:r>
    </w:p>
    <w:p>
      <w:pPr>
        <w:pStyle w:val="Quote"/>
      </w:pPr>
      <w:r>
        <w:rPr>
          <w:b w:val="0"/>
          <w:i/>
          <w:sz w:val="19"/>
        </w:rPr>
        <w:t>"Your removal of the Sun from any role in mythology goes, in my view, a little too far. It is true that in late antiquity and especially since Macrobius almost all mythology was made to represent the Sun, a vogue very much in mode at the beginning of the 19th century (Goethe's time) but also later — see my references in the first chapter of Oedipus and Akhnaton; but if there was a Day Sun besides a Night Sun, it could not escape having some role in mythology."</w:t>
      </w:r>
    </w:p>
    <w:p>
      <w:r>
        <w:rPr>
          <w:b w:val="0"/>
          <w:i w:val="0"/>
        </w:rPr>
        <w:t xml:space="preserve">This is devastating in context. Velikovsky — the founding figure whose work the entire Thunderbolts project claims to continue — told Talbott directly that he was </w:t>
      </w:r>
      <w:r>
        <w:rPr>
          <w:b/>
          <w:i w:val="0"/>
        </w:rPr>
        <w:t>removing essential elements from the cosmological picture</w:t>
      </w:r>
      <w:r>
        <w:rPr>
          <w:b w:val="0"/>
          <w:i w:val="0"/>
        </w:rPr>
        <w:t>. Talbott's response was not to correct course but to proceed with exactly the exclusions Velikovsky warned against. The man whose unfinished work gave the project its legitimacy was being overridden while still alive.</w:t>
      </w:r>
    </w:p>
    <w:p>
      <w:r>
        <w:rPr>
          <w:b w:val="0"/>
          <w:i w:val="0"/>
        </w:rPr>
        <w:t xml:space="preserve">This establishes that the controlled opposition function was present </w:t>
      </w:r>
      <w:r>
        <w:rPr>
          <w:b/>
          <w:i w:val="0"/>
        </w:rPr>
        <w:t>from the very inception of the project</w:t>
      </w:r>
      <w:r>
        <w:rPr>
          <w:b w:val="0"/>
          <w:i w:val="0"/>
        </w:rPr>
        <w:t xml:space="preserve"> — not something that developed later.</w:t>
      </w:r>
    </w:p>
    <w:p>
      <w:pPr>
        <w:pStyle w:val="Heading3"/>
      </w:pPr>
      <w:r>
        <w:t>What Thunderbolts Gets Right</w:t>
      </w:r>
    </w:p>
    <w:p>
      <w:r>
        <w:rPr>
          <w:b w:val="0"/>
          <w:i w:val="0"/>
        </w:rPr>
        <w:t>The Thunderbolts group correctly identifies that Saturn was once Earth's primary celestial body, that the "Polar Configuration" of planets existed, and that plasma physics rather than gravitational mechanics explains many features of the Solar System. Their documentaries (</w:t>
      </w:r>
      <w:r>
        <w:rPr>
          <w:b w:val="0"/>
          <w:i/>
        </w:rPr>
        <w:t>Symbols of an Alien Sky</w:t>
      </w:r>
      <w:r>
        <w:rPr>
          <w:b w:val="0"/>
          <w:i w:val="0"/>
        </w:rPr>
        <w:t xml:space="preserve">, the </w:t>
      </w:r>
      <w:r>
        <w:rPr>
          <w:b w:val="0"/>
          <w:i/>
        </w:rPr>
        <w:t>Discourses on an Alien Sky</w:t>
      </w:r>
      <w:r>
        <w:rPr>
          <w:b w:val="0"/>
          <w:i w:val="0"/>
        </w:rPr>
        <w:t xml:space="preserve"> series) introduce mythological analysis and plasma cosmology to a broad audience. Wal Thornhill's contributions to electric field cosmology are genuine.</w:t>
      </w:r>
    </w:p>
    <w:p>
      <w:pPr>
        <w:pStyle w:val="Heading3"/>
      </w:pPr>
      <w:r>
        <w:t>What Thunderbolts Systematically Excludes</w:t>
      </w:r>
    </w:p>
    <w:p>
      <w:r>
        <w:rPr>
          <w:b w:val="0"/>
          <w:i w:val="0"/>
        </w:rPr>
        <w:t xml:space="preserve">Jno Cook, author of </w:t>
      </w:r>
      <w:r>
        <w:rPr>
          <w:b w:val="0"/>
          <w:i/>
        </w:rPr>
        <w:t>Recovering the Lost World: A Saturnian Cosmology</w:t>
      </w:r>
      <w:r>
        <w:rPr>
          <w:b w:val="0"/>
          <w:i w:val="0"/>
        </w:rPr>
        <w:t xml:space="preserve"> (2001–2026), attended multiple Electric Universe conferences (2013, 2014, 2016) and spent decades building what is arguably the most comprehensive Saturnian chronology in existence. His assessment of the Thunderbolts group is devastating:</w:t>
      </w:r>
    </w:p>
    <w:p>
      <w:r>
        <w:rPr>
          <w:b w:val="0"/>
          <w:i w:val="0"/>
        </w:rPr>
      </w:r>
      <w:r>
        <w:rPr>
          <w:b/>
          <w:i w:val="0"/>
        </w:rPr>
        <w:t>1. Denial of post-3147 BC catastrophism.</w:t>
      </w:r>
      <w:r>
        <w:rPr>
          <w:b w:val="0"/>
          <w:i w:val="0"/>
        </w:rPr>
        <w:t xml:space="preserve"> Talbott, Thornhill, and Cardona "hold that nothing ever happened after the so-called Polar Configuration came apart in 3147 BC: not with Venus in 1500 BC or with Mars after 800 BC." Cook calls this an "astounding oversight," noting that "the huge assembly of mythology which recounts these events [is] spread over three continents, with Mesoamerica detailing this with identifiable dates." The Thunderbolts timeline stops precisely where the most dangerous connections — to Biblical events, classical-era catastrophes, and the true age of civilisation — would need to begin.</w:t>
      </w:r>
    </w:p>
    <w:p>
      <w:r>
        <w:rPr>
          <w:b w:val="0"/>
          <w:i w:val="0"/>
        </w:rPr>
      </w:r>
      <w:r>
        <w:rPr>
          <w:b/>
          <w:i w:val="0"/>
        </w:rPr>
        <w:t>2. Planetary misidentifications.</w:t>
      </w:r>
      <w:r>
        <w:rPr>
          <w:b w:val="0"/>
          <w:i w:val="0"/>
        </w:rPr>
        <w:t xml:space="preserve"> Talbott identified the planet between Saturn and Mars in the polar configuration as Venus. Cook determines it was Mercury, not Venus: "David Talbott had held this as a condition of the polar stack, but had identified the planet between Saturn and Mars as Venus. He has also remained unaware of the planets above Saturn." Elsewhere: "as pointed out by Talbott (who misidentifies Mercury as Venus)."</w:t>
      </w:r>
    </w:p>
    <w:p>
      <w:r>
        <w:rPr>
          <w:b w:val="0"/>
          <w:i w:val="0"/>
        </w:rPr>
      </w:r>
      <w:r>
        <w:rPr>
          <w:b/>
          <w:i w:val="0"/>
        </w:rPr>
        <w:t>3. "Science fiction" models.</w:t>
      </w:r>
      <w:r>
        <w:rPr>
          <w:b w:val="0"/>
          <w:i w:val="0"/>
        </w:rPr>
        <w:t xml:space="preserve"> Cook describes the Thunderbolts "left behind" satellite scenario as "science fiction" with "too many unsupported 'iffy' clauses." He calls the "corkscrew single entry" concept for Saturn's arrival "pure nonsense," adding that plasma interactions "cannot retard the travel of a planet. It would take the force of an electric field interaction, which is </w:t>
      </w:r>
      <w:r>
        <w:rPr>
          <w:b/>
          <w:i w:val="0"/>
        </w:rPr>
        <w:t>beyond the conceptual basis of the Thunderbolts group</w:t>
      </w:r>
      <w:r>
        <w:rPr>
          <w:b w:val="0"/>
          <w:i w:val="0"/>
        </w:rPr>
        <w:t>."</w:t>
      </w:r>
    </w:p>
    <w:p>
      <w:r>
        <w:rPr>
          <w:b w:val="0"/>
          <w:i w:val="0"/>
        </w:rPr>
      </w:r>
      <w:r>
        <w:rPr>
          <w:b/>
          <w:i w:val="0"/>
        </w:rPr>
        <w:t>4. Systematic avoidance of Biblical sources.</w:t>
      </w:r>
      <w:r>
        <w:rPr>
          <w:b w:val="0"/>
          <w:i w:val="0"/>
        </w:rPr>
        <w:t xml:space="preserve"> "The Saturnian people (of Thunderbolts.info) have steadfastly avoided bringing the Bible into discussion. I find this a remarkable omission." For a group claiming to study ancient mythology and its cosmological origins, excluding the single most widely distributed ancient text — which contains extensive catastrophist material — is not an omission but a </w:t>
      </w:r>
      <w:r>
        <w:rPr>
          <w:b/>
          <w:i w:val="0"/>
        </w:rPr>
        <w:t>policy</w:t>
      </w:r>
      <w:r>
        <w:rPr>
          <w:b w:val="0"/>
          <w:i w:val="0"/>
        </w:rPr>
        <w:t>.</w:t>
      </w:r>
    </w:p>
    <w:p>
      <w:r>
        <w:rPr>
          <w:b w:val="0"/>
          <w:i w:val="0"/>
        </w:rPr>
      </w:r>
      <w:r>
        <w:rPr>
          <w:b/>
          <w:i w:val="0"/>
        </w:rPr>
        <w:t>5. Deletion of challenges.</w:t>
      </w:r>
      <w:r>
        <w:rPr>
          <w:b w:val="0"/>
          <w:i w:val="0"/>
        </w:rPr>
        <w:t xml:space="preserve"> When challenged on his definition of the "Warrior King" archetype upon the release of </w:t>
      </w:r>
      <w:r>
        <w:rPr>
          <w:b w:val="0"/>
          <w:i/>
        </w:rPr>
        <w:t>Symbols of an Alien Sky</w:t>
      </w:r>
      <w:r>
        <w:rPr>
          <w:b w:val="0"/>
          <w:i w:val="0"/>
        </w:rPr>
        <w:t xml:space="preserve">, Talbott's response was not debate but erasure. As documented by forum user "grey cloud" (August 7, 2010): </w:t>
      </w:r>
      <w:r>
        <w:rPr>
          <w:b w:val="0"/>
          <w:i/>
        </w:rPr>
        <w:t>"You may recall I challenged Talbott on his definition of this 'archetype' when Symbols of an Alien Sky was released. His 'refutation' consisted of him deleting the entire thread."</w:t>
      </w:r>
    </w:p>
    <w:p>
      <w:r>
        <w:rPr>
          <w:b w:val="0"/>
          <w:i w:val="0"/>
        </w:rPr>
      </w:r>
      <w:r>
        <w:rPr>
          <w:b/>
          <w:i w:val="0"/>
        </w:rPr>
        <w:t>6. Editorial gatekeeping at AEON Journal.</w:t>
      </w:r>
      <w:r>
        <w:rPr>
          <w:b w:val="0"/>
          <w:i w:val="0"/>
        </w:rPr>
        <w:t xml:space="preserve"> Researcher C. Leroy Ellenberger documented how Talbott, Ev Cochrane, and Dwardu Cardona controlled the AEON journal: in the first 16 issues, these three accounted for </w:t>
      </w:r>
      <w:r>
        <w:rPr>
          <w:b/>
          <w:i w:val="0"/>
        </w:rPr>
        <w:t>34% of all articles, 44% of all article pages</w:t>
      </w:r>
      <w:r>
        <w:rPr>
          <w:b w:val="0"/>
          <w:i w:val="0"/>
        </w:rPr>
        <w:t xml:space="preserve">, and 7 of the 9 longest articles. Outside contributions faced "unexplained deletions and unreasonable delays in publication." Ellenberger's invited contributions waited </w:t>
      </w:r>
      <w:r>
        <w:rPr>
          <w:b/>
          <w:i w:val="0"/>
        </w:rPr>
        <w:t>two years</w:t>
      </w:r>
      <w:r>
        <w:rPr>
          <w:b w:val="0"/>
          <w:i w:val="0"/>
        </w:rPr>
        <w:t xml:space="preserve"> in the queue while George Talbott's attack piece against him was published immediately. When Ellenberger's memoir exceeded standard length, the editor "adamantly refused to relax the type format standards" — yet Talbott's own 47-page article received smaller type and wider margins specifically to fit.</w:t>
      </w:r>
    </w:p>
    <w:p>
      <w:r>
        <w:rPr>
          <w:b w:val="0"/>
          <w:i w:val="0"/>
        </w:rPr>
      </w:r>
      <w:r>
        <w:rPr>
          <w:b/>
          <w:i w:val="0"/>
        </w:rPr>
        <w:t>7. Cardona's methodology.</w:t>
      </w:r>
      <w:r>
        <w:rPr>
          <w:b w:val="0"/>
          <w:i w:val="0"/>
        </w:rPr>
        <w:t xml:space="preserve"> Criticism of Dwardu Cardona's published work noted: "Nowhere in the book is a single mythological tale used, let alone analysed. Instead the reader is presented with Cardona's opinion... supported by certain key words and phrases culled from everywhere and anywhere and arranged to suit Cardona's 'theory'." For a group that claims mythological analysis as its foundation, publishing works that contain no actual myth analysis is a revealing contradiction.</w:t>
      </w:r>
    </w:p>
    <w:p>
      <w:pPr>
        <w:pStyle w:val="Heading3"/>
      </w:pPr>
      <w:r>
        <w:t>Sources</w:t>
      </w:r>
    </w:p>
    <w:p>
      <w:pPr>
        <w:pStyle w:val="ListBullet"/>
        <w:spacing w:before="20" w:after="20"/>
      </w:pPr>
      <w:r>
        <w:rPr>
          <w:b w:val="0"/>
          <w:i w:val="0"/>
          <w:sz w:val="19"/>
        </w:rPr>
        <w:t xml:space="preserve">Jno Cook, </w:t>
      </w:r>
      <w:r>
        <w:rPr>
          <w:b w:val="0"/>
          <w:i/>
          <w:sz w:val="19"/>
        </w:rPr>
        <w:t>Recovering the Lost World: A Saturnian Cosmology</w:t>
      </w:r>
      <w:r>
        <w:rPr>
          <w:b w:val="0"/>
          <w:i w:val="0"/>
          <w:sz w:val="19"/>
        </w:rPr>
        <w:t xml:space="preserve"> (2001–2026), saturniancosmology.org — multiple chapters and notes</w:t>
      </w:r>
    </w:p>
    <w:p>
      <w:pPr>
        <w:pStyle w:val="ListBullet"/>
        <w:spacing w:before="20" w:after="20"/>
      </w:pPr>
      <w:r>
        <w:rPr>
          <w:b w:val="0"/>
          <w:i w:val="0"/>
          <w:sz w:val="19"/>
        </w:rPr>
        <w:t>C. Leroy Ellenberger, as documented by James J. Lippard, "David N. Talbott: Hoist, Clueless &amp; 'Nihilated," talk.origins (1994), archived at saturniancosmology.org/files/critics/cle-talbott.txt</w:t>
      </w:r>
    </w:p>
    <w:p>
      <w:pPr>
        <w:pStyle w:val="ListBullet"/>
        <w:spacing w:before="20" w:after="20"/>
      </w:pPr>
      <w:r>
        <w:rPr>
          <w:b w:val="0"/>
          <w:i w:val="0"/>
          <w:sz w:val="19"/>
        </w:rPr>
        <w:t>Forum post by "grey cloud," August 7, 2010, documented at saturniancosmology.org/files/blog/removed_thread.txt</w:t>
      </w:r>
    </w:p>
    <w:p>
      <w:pPr>
        <w:pStyle w:val="ListBullet"/>
        <w:spacing w:before="20" w:after="20"/>
      </w:pPr>
      <w:r>
        <w:rPr>
          <w:b w:val="0"/>
          <w:i w:val="0"/>
          <w:sz w:val="19"/>
        </w:rPr>
        <w:t>Immanuel Velikovsky, letter to David Talbott, January 29, 1975 — preserved in the Velikovsky Archive (varchive.org/cor/1975.htm)</w:t>
      </w:r>
    </w:p>
    <w:p/>
    <w:p>
      <w:pPr>
        <w:jc w:val="center"/>
      </w:pPr>
      <w:r>
        <w:rPr>
          <w:color w:val="B8860B"/>
          <w:sz w:val="24"/>
        </w:rPr>
        <w:t>— ✦ —</w:t>
      </w:r>
    </w:p>
    <w:p>
      <w:r>
        <w:rPr>
          <w:b w:val="0"/>
          <w:i w:val="0"/>
        </w:rPr>
        <w:t xml:space="preserve">This appendix extends </w:t>
      </w:r>
      <w:hyperlink r:id="rId49">
        <w:r>
          <w:rPr>
            <w:b w:val="0"/>
            <w:i w:val="0"/>
            <w:color w:val="B8860B"/>
          </w:rPr>
          <w:t>Operation Mockingbird</w:t>
        </w:r>
      </w:hyperlink>
      <w:r>
        <w:rPr>
          <w:b w:val="0"/>
          <w:i w:val="0"/>
        </w:rPr>
        <w:t>. For the thesis and modern form, see the main article.</w:t>
      </w:r>
    </w:p>
    <w:p>
      <w:pPr>
        <w:pBdr>
          <w:bottom w:val="single" w:sz="6" w:space="1" w:color="CCCCCC"/>
        </w:pBdr>
      </w:pPr>
    </w:p>
    <w:p>
      <w:pPr>
        <w:pStyle w:val="Heading3"/>
      </w:pPr>
      <w:r>
        <w:t>Ship of Fools (1494)</w:t>
      </w:r>
    </w:p>
    <w:p>
      <w:r>
        <w:rPr>
          <w:b w:val="0"/>
          <w:i w:val="0"/>
        </w:rPr>
        <w:t xml:space="preserve">Brant's </w:t>
      </w:r>
      <w:r>
        <w:rPr>
          <w:b w:val="0"/>
          <w:i/>
        </w:rPr>
        <w:t>Ship of Fools</w:t>
      </w:r>
      <w:r>
        <w:rPr>
          <w:b w:val="0"/>
          <w:i w:val="0"/>
        </w:rPr>
        <w:t xml:space="preserve"> (Fomenko: </w:t>
      </w:r>
      <w:hyperlink r:id="rId70">
        <w:r>
          <w:rPr>
            <w:b w:val="0"/>
            <w:i w:val="0"/>
            <w:color w:val="B8860B"/>
          </w:rPr>
          <w:t>chronologia.org</w:t>
        </w:r>
      </w:hyperlink>
      <w:r>
        <w:rPr>
          <w:b w:val="0"/>
          <w:i w:val="0"/>
        </w:rPr>
        <w:t xml:space="preserve">) targeted the Hordian Empire under the guise of mocking "fools in general" — plausible deniability. Same method: recruit artists, fund generously, produce content targeting a specific enemy. Carnivals stormed and destroyed the Ship in effigy; Luther condemned them; reformers replaced Imperial works with "correct masterpieces" attributed to Dürer, Raphael, Shakespeare. The </w:t>
      </w:r>
      <w:hyperlink r:id="rId71">
        <w:r>
          <w:rPr>
            <w:b w:val="0"/>
            <w:i w:val="0"/>
            <w:color w:val="B8860B"/>
          </w:rPr>
          <w:t>King James Version</w:t>
        </w:r>
      </w:hyperlink>
      <w:r>
        <w:rPr>
          <w:b w:val="0"/>
          <w:i w:val="0"/>
        </w:rPr>
        <w:t xml:space="preserve"> and Vulgate are Reformation propaganda — Hordian chronicles seized, redacted, translated into </w:t>
      </w:r>
      <w:hyperlink r:id="rId45">
        <w:r>
          <w:rPr>
            <w:b w:val="0"/>
            <w:i w:val="0"/>
            <w:color w:val="B8860B"/>
          </w:rPr>
          <w:t>Latin</w:t>
        </w:r>
      </w:hyperlink>
      <w:r>
        <w:rPr>
          <w:b w:val="0"/>
          <w:i w:val="0"/>
        </w:rPr>
        <w:t>, displaced via Scaligerian chronology. Same desks, same patrons, same agenda.</w:t>
      </w:r>
    </w:p>
    <w:p>
      <w:pPr>
        <w:pStyle w:val="Heading3"/>
      </w:pPr>
      <w:r>
        <w:t>The Chain Continues</w:t>
      </w:r>
    </w:p>
    <w:p>
      <w:r>
        <w:rPr>
          <w:b w:val="0"/>
          <w:i w:val="0"/>
        </w:rPr>
        <w:t xml:space="preserve">The chain begins with the </w:t>
      </w:r>
      <w:hyperlink r:id="rId72">
        <w:r>
          <w:rPr>
            <w:b w:val="0"/>
            <w:i w:val="0"/>
            <w:color w:val="B8860B"/>
          </w:rPr>
          <w:t>Protestant fracturing of the Hordian Empire</w:t>
        </w:r>
      </w:hyperlink>
      <w:r>
        <w:rPr>
          <w:b w:val="0"/>
          <w:i w:val="0"/>
        </w:rPr>
        <w:t xml:space="preserve">. When the Deep State could not defeat the Rus-Horde militarily, they turned to cultural warfare: </w:t>
      </w:r>
      <w:r>
        <w:rPr>
          <w:b/>
          <w:i w:val="0"/>
        </w:rPr>
        <w:t>mocking</w:t>
      </w:r>
      <w:r>
        <w:rPr>
          <w:b w:val="0"/>
          <w:i w:val="0"/>
        </w:rPr>
        <w:t xml:space="preserve"> Hordian literature, replacing its languages with </w:t>
      </w:r>
      <w:hyperlink r:id="rId45">
        <w:r>
          <w:rPr>
            <w:b w:val="0"/>
            <w:i w:val="0"/>
            <w:color w:val="B8860B"/>
          </w:rPr>
          <w:t>Latin</w:t>
        </w:r>
      </w:hyperlink>
      <w:r>
        <w:rPr>
          <w:b w:val="0"/>
          <w:i w:val="0"/>
        </w:rPr>
        <w:t xml:space="preserve"> derivatives, systematically erasing the memory of the empire. Those who remembered </w:t>
      </w:r>
      <w:hyperlink r:id="rId72">
        <w:r>
          <w:rPr>
            <w:b w:val="0"/>
            <w:i w:val="0"/>
            <w:color w:val="B8860B"/>
          </w:rPr>
          <w:t>Prester John</w:t>
        </w:r>
      </w:hyperlink>
      <w:r>
        <w:rPr>
          <w:b w:val="0"/>
          <w:i w:val="0"/>
        </w:rPr>
        <w:t xml:space="preserve"> — Fomenko: Ivan Kalita / Khan Batuy — were ridiculed until the real kingdom was forgotten. Those who spoke of the true location of </w:t>
      </w:r>
      <w:hyperlink r:id="rId73">
        <w:r>
          <w:rPr>
            <w:b w:val="0"/>
            <w:i w:val="0"/>
            <w:color w:val="B8860B"/>
          </w:rPr>
          <w:t>Jerusalem</w:t>
        </w:r>
      </w:hyperlink>
      <w:r>
        <w:rPr>
          <w:b w:val="0"/>
          <w:i w:val="0"/>
        </w:rPr>
        <w:t xml:space="preserve"> were accused of blasphemy and put to death.</w:t>
      </w:r>
    </w:p>
    <w:p>
      <w:r>
        <w:rPr>
          <w:b w:val="0"/>
          <w:i w:val="0"/>
        </w:rPr>
        <w:t xml:space="preserve">The </w:t>
      </w:r>
      <w:hyperlink r:id="rId74">
        <w:r>
          <w:rPr>
            <w:b w:val="0"/>
            <w:i w:val="0"/>
            <w:color w:val="B8860B"/>
          </w:rPr>
          <w:t>Romanov seizure</w:t>
        </w:r>
      </w:hyperlink>
      <w:r>
        <w:rPr>
          <w:b w:val="0"/>
          <w:i w:val="0"/>
        </w:rPr>
        <w:t xml:space="preserve"> formalized this into state policy for Russia. The </w:t>
      </w:r>
      <w:hyperlink r:id="rId75">
        <w:r>
          <w:rPr>
            <w:b w:val="0"/>
            <w:i w:val="0"/>
            <w:color w:val="B8860B"/>
          </w:rPr>
          <w:t>Scaligerian chronology</w:t>
        </w:r>
      </w:hyperlink>
      <w:r>
        <w:rPr>
          <w:b w:val="0"/>
          <w:i w:val="0"/>
        </w:rPr>
        <w:t xml:space="preserve"> provided the fraudulent timeline. The </w:t>
      </w:r>
      <w:hyperlink r:id="rId76">
        <w:r>
          <w:rPr>
            <w:b w:val="0"/>
            <w:i w:val="0"/>
            <w:color w:val="B8860B"/>
          </w:rPr>
          <w:t>Soviet historiography</w:t>
        </w:r>
      </w:hyperlink>
      <w:r>
        <w:rPr>
          <w:b w:val="0"/>
          <w:i w:val="0"/>
        </w:rPr>
        <w:t xml:space="preserve"> added a final falsification layer. At each stage: control the story, ridicule alternatives, punish dissent. Mockingbird made this apparatus </w:t>
      </w:r>
      <w:r>
        <w:rPr>
          <w:b/>
          <w:i w:val="0"/>
        </w:rPr>
        <w:t>state-sponsored under the American flag</w:t>
      </w:r>
      <w:r>
        <w:rPr>
          <w:b w:val="0"/>
          <w:i w:val="0"/>
        </w:rPr>
        <w:t xml:space="preserve"> — declassifying its existence while continuing under new names.</w:t>
      </w:r>
    </w:p>
    <w:p>
      <w:pPr>
        <w:pStyle w:val="Heading3"/>
      </w:pPr>
      <w:r>
        <w:t>The Primary Goal: Erasing the Russian Empire</w:t>
      </w:r>
    </w:p>
    <w:p>
      <w:r>
        <w:rPr>
          <w:b w:val="0"/>
          <w:i w:val="0"/>
        </w:rPr>
        <w:t xml:space="preserve">The through-line connecting Protestant mockery, Romanov redaction, Soviet falsification, and Mockingbird-era media control: </w:t>
      </w:r>
      <w:r>
        <w:rPr>
          <w:b/>
          <w:i w:val="0"/>
        </w:rPr>
        <w:t>the total erasure of the Rus-Horde Empire</w:t>
      </w:r>
      <w:r>
        <w:rPr>
          <w:b w:val="0"/>
          <w:i w:val="0"/>
        </w:rPr>
        <w:t xml:space="preserve"> — its literature, science, medicine, music, religion. Every layer, from the </w:t>
      </w:r>
      <w:hyperlink r:id="rId77">
        <w:r>
          <w:rPr>
            <w:b w:val="0"/>
            <w:i w:val="0"/>
            <w:color w:val="B8860B"/>
          </w:rPr>
          <w:t>1627 decree</w:t>
        </w:r>
      </w:hyperlink>
      <w:r>
        <w:rPr>
          <w:b w:val="0"/>
          <w:i w:val="0"/>
        </w:rPr>
        <w:t xml:space="preserve"> burning Russian chronicles to Cold War anti-Soviet propaganda, serves this goal. The Cold War functioned as cover: hostility toward </w:t>
      </w:r>
      <w:r>
        <w:rPr>
          <w:b w:val="0"/>
          <w:i/>
        </w:rPr>
        <w:t>Soviet Russia</w:t>
      </w:r>
      <w:r>
        <w:rPr>
          <w:b w:val="0"/>
          <w:i w:val="0"/>
        </w:rPr>
        <w:t xml:space="preserve"> made it impossible to distinguish opposing communism from suppressing knowledge of the civilization. Anti-Russian sentiment did not end with the Soviet collapse. The target was never communism — it was </w:t>
      </w:r>
      <w:r>
        <w:rPr>
          <w:b/>
          <w:i w:val="0"/>
        </w:rPr>
        <w:t>Russia itself</w:t>
      </w:r>
      <w:r>
        <w:rPr>
          <w:b w:val="0"/>
          <w:i w:val="0"/>
        </w:rPr>
        <w:t>.</w:t>
      </w:r>
    </w:p>
    <w:p/>
    <w:p>
      <w:pPr>
        <w:sectPr>
          <w:headerReference w:type="default" r:id="rId67"/>
          <w:footerReference w:type="default" r:id="rId68"/>
          <w:pgSz w:w="8640" w:h="12960"/>
          <w:pgMar w:top="1020" w:right="1134" w:bottom="1134" w:left="1134" w:header="720" w:footer="720" w:gutter="0"/>
          <w:cols w:space="720"/>
          <w:titlePg/>
          <w:docGrid w:linePitch="360"/>
        </w:sectPr>
      </w:pPr>
    </w:p>
    <w:p>
      <w:pPr>
        <w:pStyle w:val="Heading2"/>
      </w:pPr>
      <w:r>
        <w:rPr>
          <w:b/>
        </w:rPr>
        <w:t>Chapter 4: Censorship and Book Burning: The Historical Record</w:t>
      </w:r>
    </w:p>
    <w:p>
      <w:r>
        <w:rPr>
          <w:b w:val="0"/>
          <w:i w:val="0"/>
        </w:rPr>
        <w:t xml:space="preserve">This article provides the detailed historical timeline supporting </w:t>
      </w:r>
      <w:hyperlink r:id="rId80">
        <w:r>
          <w:rPr>
            <w:b w:val="0"/>
            <w:i w:val="0"/>
            <w:color w:val="B8860B"/>
          </w:rPr>
          <w:t>Censorship and Book Burning: From Alexandria to the Internet</w:t>
        </w:r>
      </w:hyperlink>
      <w:r>
        <w:rPr>
          <w:b w:val="0"/>
          <w:i w:val="0"/>
        </w:rPr>
        <w:t>. For the pattern analysis and 21st century censorship, see that article.</w:t>
      </w:r>
    </w:p>
    <w:p>
      <w:pPr>
        <w:pStyle w:val="Heading2"/>
      </w:pPr>
      <w:r>
        <w:t>Ancient Record Destruction</w:t>
      </w:r>
    </w:p>
    <w:p>
      <w:pPr>
        <w:pStyle w:val="Heading3"/>
      </w:pPr>
      <w:r>
        <w:t>The Library of Alexandria</w:t>
      </w:r>
    </w:p>
    <w:p>
      <w:r>
        <w:rPr>
          <w:b w:val="0"/>
          <w:i w:val="0"/>
        </w:rPr>
        <w:t xml:space="preserve">The destruction of the Library of Alexandria is the most famous case, but its framing as a single event obscures a more important truth: the library was </w:t>
      </w:r>
      <w:r>
        <w:rPr>
          <w:b/>
          <w:i w:val="0"/>
        </w:rPr>
        <w:t>repeatedly</w:t>
      </w:r>
      <w:r>
        <w:rPr>
          <w:b w:val="0"/>
          <w:i w:val="0"/>
        </w:rPr>
        <w:t xml:space="preserve"> targeted across centuries, by multiple factions, precisely because it contained records that threatened successive power structures.</w:t>
      </w:r>
    </w:p>
    <w:p>
      <w:pPr>
        <w:pStyle w:val="ListBullet"/>
        <w:spacing w:before="20" w:after="20"/>
      </w:pPr>
      <w:r>
        <w:rPr>
          <w:b w:val="0"/>
          <w:i w:val="0"/>
          <w:sz w:val="19"/>
        </w:rPr>
      </w:r>
      <w:r>
        <w:rPr>
          <w:b/>
          <w:i w:val="0"/>
          <w:sz w:val="19"/>
        </w:rPr>
        <w:t>Caesar's siege fire</w:t>
      </w:r>
      <w:r>
        <w:rPr>
          <w:b w:val="0"/>
          <w:i w:val="0"/>
          <w:sz w:val="19"/>
        </w:rPr>
        <w:t xml:space="preserve"> (48 BC, Scaligerian) — destruction of dockside warehouses, possibly including scroll repositories</w:t>
      </w:r>
    </w:p>
    <w:p>
      <w:pPr>
        <w:pStyle w:val="ListBullet"/>
        <w:spacing w:before="20" w:after="20"/>
      </w:pPr>
      <w:r>
        <w:rPr>
          <w:b w:val="0"/>
          <w:i w:val="0"/>
          <w:sz w:val="19"/>
        </w:rPr>
      </w:r>
      <w:r>
        <w:rPr>
          <w:b/>
          <w:i w:val="0"/>
          <w:sz w:val="19"/>
        </w:rPr>
        <w:t>Christian mob destruction</w:t>
      </w:r>
      <w:r>
        <w:rPr>
          <w:b w:val="0"/>
          <w:i w:val="0"/>
          <w:sz w:val="19"/>
        </w:rPr>
        <w:t xml:space="preserve"> of the Serapeum (391 CE, Scaligerian) under Theophilus of Alexandria</w:t>
      </w:r>
    </w:p>
    <w:p>
      <w:pPr>
        <w:pStyle w:val="ListBullet"/>
        <w:spacing w:before="20" w:after="20"/>
      </w:pPr>
      <w:r>
        <w:rPr>
          <w:b w:val="0"/>
          <w:i w:val="0"/>
          <w:sz w:val="19"/>
        </w:rPr>
      </w:r>
      <w:r>
        <w:rPr>
          <w:b/>
          <w:i w:val="0"/>
          <w:sz w:val="19"/>
        </w:rPr>
        <w:t>Arab conquest</w:t>
      </w:r>
      <w:r>
        <w:rPr>
          <w:b w:val="0"/>
          <w:i w:val="0"/>
          <w:sz w:val="19"/>
        </w:rPr>
        <w:t xml:space="preserve"> seizure (642 CE, Scaligerian) — attributed to Caliph Omar's alleged order</w:t>
      </w:r>
    </w:p>
    <w:p>
      <w:r>
        <w:rPr>
          <w:b w:val="0"/>
          <w:i w:val="0"/>
        </w:rPr>
        <w:t>Each faction blamed the previous one. The end result: an irreplaceable collection of ancient astronomical, historical, and cosmological records — records that might have preserved pre-catastrophe knowledge — was completely eliminated.</w:t>
      </w:r>
    </w:p>
    <w:p>
      <w:r>
        <w:rPr>
          <w:b w:val="0"/>
          <w:i w:val="0"/>
        </w:rPr>
        <w:t>Under Fomenko's analysis, these "separate" destructions may represent a single event duplicated across phantom centuries.</w:t>
      </w:r>
    </w:p>
    <w:p>
      <w:pPr>
        <w:pStyle w:val="Heading3"/>
      </w:pPr>
      <w:r>
        <w:t>Qin Shi Huang's Book Burning (213 BC, Scaligerian)</w:t>
      </w:r>
    </w:p>
    <w:p>
      <w:r>
        <w:rPr>
          <w:b w:val="0"/>
          <w:i w:val="0"/>
        </w:rPr>
        <w:t>The first Emperor of unified China ordered the burning of all books that did not deal with agriculture, medicine, or divination — and specifically targeted historical records of rival states. Scholars who resisted were reportedly buried alive. The official justification: preventing the use of historical precedent to criticise the present dynasty.</w:t>
      </w:r>
    </w:p>
    <w:p>
      <w:pPr>
        <w:pStyle w:val="Heading3"/>
      </w:pPr>
      <w:r>
        <w:t>Roman Imperial Censorship</w:t>
      </w:r>
    </w:p>
    <w:p>
      <w:r>
        <w:rPr>
          <w:b w:val="0"/>
          <w:i w:val="0"/>
        </w:rPr>
        <w:t>Roman authorities systematically destroyed texts deemed subversive, including Etruscan religious literature, Druidic oral traditions (suppressed through the destruction of the Druidic class itself in Gaul and Britain), and "sibylline" prophetic texts that were periodically purged and rewritten under state control.</w:t>
      </w:r>
    </w:p>
    <w:p>
      <w:pPr>
        <w:pStyle w:val="Heading2"/>
      </w:pPr>
      <w:r>
        <w:t>Medieval and Early Modern Destruction</w:t>
      </w:r>
    </w:p>
    <w:p>
      <w:pPr>
        <w:pStyle w:val="Heading3"/>
      </w:pPr>
      <w:r>
        <w:t>The Christianisation Campaigns</w:t>
      </w:r>
    </w:p>
    <w:p>
      <w:r>
        <w:rPr>
          <w:b w:val="0"/>
          <w:i w:val="0"/>
        </w:rPr>
        <w:t>The conversion of Europe involved systematic destruction of pagan libraries, temple records, and oral traditions:</w:t>
      </w:r>
    </w:p>
    <w:p>
      <w:pPr>
        <w:pStyle w:val="ListBullet"/>
        <w:spacing w:before="20" w:after="20"/>
      </w:pPr>
      <w:r>
        <w:rPr>
          <w:b w:val="0"/>
          <w:i w:val="0"/>
          <w:sz w:val="19"/>
        </w:rPr>
      </w:r>
      <w:r>
        <w:rPr>
          <w:b/>
          <w:i w:val="0"/>
          <w:sz w:val="19"/>
        </w:rPr>
        <w:t>Monastic "preservation"</w:t>
      </w:r>
      <w:r>
        <w:rPr>
          <w:b w:val="0"/>
          <w:i w:val="0"/>
          <w:sz w:val="19"/>
        </w:rPr>
        <w:t xml:space="preserve"> often meant </w:t>
      </w:r>
      <w:r>
        <w:rPr>
          <w:b/>
          <w:i w:val="0"/>
          <w:sz w:val="19"/>
        </w:rPr>
        <w:t>selective copying</w:t>
      </w:r>
      <w:r>
        <w:rPr>
          <w:b w:val="0"/>
          <w:i w:val="0"/>
          <w:sz w:val="19"/>
        </w:rPr>
        <w:t>. Texts deemed incompatible with Christian cosmology were simply not copied, ensuring their extinction when the original scrolls decayed.</w:t>
      </w:r>
    </w:p>
    <w:p>
      <w:pPr>
        <w:pStyle w:val="ListBullet"/>
        <w:spacing w:before="20" w:after="20"/>
      </w:pPr>
      <w:r>
        <w:rPr>
          <w:b w:val="0"/>
          <w:i w:val="0"/>
          <w:sz w:val="19"/>
        </w:rPr>
      </w:r>
      <w:r>
        <w:rPr>
          <w:b/>
          <w:i w:val="0"/>
          <w:sz w:val="19"/>
        </w:rPr>
        <w:t>The destruction of Mayan codices</w:t>
      </w:r>
      <w:r>
        <w:rPr>
          <w:b w:val="0"/>
          <w:i w:val="0"/>
          <w:sz w:val="19"/>
        </w:rPr>
        <w:t xml:space="preserve"> by Bishop Diego de Landa (1562) — only four codices survived out of what was likely thousands. De Landa burned them specifically because they contained astronomical and historical records that contradicted the Biblical timeline.</w:t>
      </w:r>
    </w:p>
    <w:p>
      <w:pPr>
        <w:pStyle w:val="ListBullet"/>
        <w:spacing w:before="20" w:after="20"/>
      </w:pPr>
      <w:r>
        <w:rPr>
          <w:b w:val="0"/>
          <w:i w:val="0"/>
          <w:sz w:val="19"/>
        </w:rPr>
      </w:r>
      <w:r>
        <w:rPr>
          <w:b/>
          <w:i w:val="0"/>
          <w:sz w:val="19"/>
        </w:rPr>
        <w:t>The Inquisition's Index Librorum Prohibitorum</w:t>
      </w:r>
      <w:r>
        <w:rPr>
          <w:b w:val="0"/>
          <w:i w:val="0"/>
          <w:sz w:val="19"/>
        </w:rPr>
        <w:t xml:space="preserve"> (1559–1966) — a continuously maintained list of forbidden books, enforced across Catholic Europe for over four centuries.</w:t>
      </w:r>
    </w:p>
    <w:p>
      <w:pPr>
        <w:pStyle w:val="Heading3"/>
      </w:pPr>
      <w:r>
        <w:t>The Reformation and Counter-Reformation</w:t>
      </w:r>
    </w:p>
    <w:p>
      <w:r>
        <w:rPr>
          <w:b w:val="0"/>
          <w:i w:val="0"/>
        </w:rPr>
        <w:t xml:space="preserve">Both sides burned the other's books. The net effect: records from the pre-Reformation period were subjected to </w:t>
      </w:r>
      <w:r>
        <w:rPr>
          <w:b/>
          <w:i w:val="0"/>
        </w:rPr>
        <w:t>double censorship</w:t>
      </w:r>
      <w:r>
        <w:rPr>
          <w:b w:val="0"/>
          <w:i w:val="0"/>
        </w:rPr>
        <w:t>, with Catholics and Protestants each destroying texts that undermined their version of history.</w:t>
      </w:r>
    </w:p>
    <w:p>
      <w:pPr>
        <w:pStyle w:val="Heading2"/>
      </w:pPr>
      <w:r>
        <w:t>18th–19th Century: Systematic Restructuring</w:t>
      </w:r>
    </w:p>
    <w:p>
      <w:pPr>
        <w:pStyle w:val="Heading3"/>
      </w:pPr>
      <w:r>
        <w:t>Scaliger and Petavius</w:t>
      </w:r>
    </w:p>
    <w:p>
      <w:r>
        <w:rPr>
          <w:b w:val="0"/>
          <w:i w:val="0"/>
        </w:rPr>
        <w:t xml:space="preserve">Joseph Scaliger (1540–1609) and Dionysius Petavius (1583–1652) constructed the chronological framework that all subsequent Western historiography depends upon. As Fomenko's New Chronology demonstrates, this framework contains systematic errors and deliberate duplications that extend recorded history far beyond its actual span. The Scaligerian chronology was not a "discovery" — it was a </w:t>
      </w:r>
      <w:r>
        <w:rPr>
          <w:b/>
          <w:i w:val="0"/>
        </w:rPr>
        <w:t>construction</w:t>
      </w:r>
      <w:r>
        <w:rPr>
          <w:b w:val="0"/>
          <w:i w:val="0"/>
        </w:rPr>
        <w:t>, and it was enforced through the institutional authority of the Church and later the universities.</w:t>
      </w:r>
    </w:p>
    <w:p>
      <w:r>
        <w:rPr>
          <w:b w:val="0"/>
          <w:i w:val="0"/>
        </w:rPr>
        <w:t xml:space="preserve">Any records that contradicted this chronology were not destroyed — they were </w:t>
      </w:r>
      <w:r>
        <w:rPr>
          <w:b/>
          <w:i w:val="0"/>
        </w:rPr>
        <w:t>reinterpreted</w:t>
      </w:r>
      <w:r>
        <w:rPr>
          <w:b w:val="0"/>
          <w:i w:val="0"/>
        </w:rPr>
        <w:t xml:space="preserve"> within the Scaligerian framework, making their original meaning invisible.</w:t>
      </w:r>
    </w:p>
    <w:p>
      <w:pPr>
        <w:pStyle w:val="Heading3"/>
      </w:pPr>
      <w:r>
        <w:t>Napoleon's Egyptian Campaign and the Rosetta Stone</w:t>
      </w:r>
    </w:p>
    <w:p>
      <w:r>
        <w:rPr>
          <w:b w:val="0"/>
          <w:i w:val="0"/>
        </w:rPr>
        <w:t>Napoleon's 1798 Egyptian campaign included extensive seizure of Egyptian records and artefacts. While the Rosetta Stone enabled the decipherment of hieroglyphics, the selection of which records to study, translate, and publish — and which to store in basements — has always been controlled by institutional gatekeepers.</w:t>
      </w:r>
    </w:p>
    <w:p>
      <w:pPr>
        <w:pStyle w:val="Heading2"/>
      </w:pPr>
      <w:r>
        <w:t>20th Century: Industrial-Scale Destruction</w:t>
      </w:r>
    </w:p>
    <w:p>
      <w:r>
        <w:rPr>
          <w:b w:val="0"/>
          <w:i w:val="0"/>
        </w:rPr>
        <w:t>The 20th century brought censorship to an industrial scale, with multiple overlapping campaigns:</w:t>
      </w:r>
    </w:p>
    <w:p>
      <w:pPr>
        <w:pStyle w:val="Heading3"/>
      </w:pPr>
      <w:r>
        <w:t>The Bolshevik Revolution (1917) and Soviet Censorship</w:t>
      </w:r>
    </w:p>
    <w:p>
      <w:r>
        <w:rPr>
          <w:b w:val="0"/>
          <w:i w:val="0"/>
        </w:rPr>
        <w:t xml:space="preserve">The Bolsheviks did not merely censor — they </w:t>
      </w:r>
      <w:r>
        <w:rPr>
          <w:b/>
          <w:i w:val="0"/>
        </w:rPr>
        <w:t>rewrote history in real time</w:t>
      </w:r>
      <w:r>
        <w:rPr>
          <w:b w:val="0"/>
          <w:i w:val="0"/>
        </w:rPr>
        <w:t>. Soviet historiography (see related article) involved:</w:t>
      </w:r>
    </w:p>
    <w:p>
      <w:pPr>
        <w:pStyle w:val="ListBullet"/>
        <w:spacing w:before="20" w:after="20"/>
      </w:pPr>
      <w:r>
        <w:rPr>
          <w:b w:val="0"/>
          <w:i w:val="0"/>
          <w:sz w:val="19"/>
        </w:rPr>
        <w:t>Destruction of Tsarist-era archives and church records</w:t>
      </w:r>
    </w:p>
    <w:p>
      <w:pPr>
        <w:pStyle w:val="ListBullet"/>
        <w:spacing w:before="20" w:after="20"/>
      </w:pPr>
      <w:r>
        <w:rPr>
          <w:b w:val="0"/>
          <w:i w:val="0"/>
          <w:sz w:val="19"/>
        </w:rPr>
        <w:t>Physical elimination of the pre-revolutionary intellectual class (the 1922 "Philosophers' Steamer" deportations; see related article)</w:t>
      </w:r>
    </w:p>
    <w:p>
      <w:pPr>
        <w:pStyle w:val="ListBullet"/>
        <w:spacing w:before="20" w:after="20"/>
      </w:pPr>
      <w:r>
        <w:rPr>
          <w:b w:val="0"/>
          <w:i w:val="0"/>
          <w:sz w:val="19"/>
        </w:rPr>
        <w:t>Continuous revision of encyclopedias and reference works to reflect current Party doctrine</w:t>
      </w:r>
    </w:p>
    <w:p>
      <w:pPr>
        <w:pStyle w:val="ListBullet"/>
        <w:spacing w:before="20" w:after="20"/>
      </w:pPr>
      <w:r>
        <w:rPr>
          <w:b w:val="0"/>
          <w:i w:val="0"/>
          <w:sz w:val="19"/>
        </w:rPr>
        <w:t>The "memory hole" — Orwell's term, drawn from Soviet practice — whereby disgraced officials were literally erased from photographs and records</w:t>
      </w:r>
    </w:p>
    <w:p>
      <w:r>
        <w:rPr>
          <w:b w:val="0"/>
          <w:i w:val="0"/>
        </w:rPr>
        <w:t xml:space="preserve">Lenin himself articulated the principle: </w:t>
      </w:r>
      <w:r>
        <w:rPr>
          <w:b w:val="0"/>
          <w:i/>
        </w:rPr>
        <w:t>"All over the world, wherever there are capitalists, freedom of the press means freedom to buy up newspapers, to buy writers, to bribe, buy and fake 'public opinion' for the benefit of the bourgeoisie."</w:t>
      </w:r>
    </w:p>
    <w:p>
      <w:pPr>
        <w:pStyle w:val="Heading3"/>
      </w:pPr>
      <w:r>
        <w:t>Nazi Book Burning (1933)</w:t>
      </w:r>
    </w:p>
    <w:p>
      <w:r>
        <w:rPr>
          <w:b w:val="0"/>
          <w:i w:val="0"/>
        </w:rPr>
        <w:t xml:space="preserve">The </w:t>
      </w:r>
      <w:r>
        <w:rPr>
          <w:b w:val="0"/>
          <w:i/>
        </w:rPr>
        <w:t>Bücherverbrennungen</w:t>
      </w:r>
      <w:r>
        <w:rPr>
          <w:b w:val="0"/>
          <w:i w:val="0"/>
        </w:rPr>
        <w:t xml:space="preserve"> of May 1933 are the iconic image of 20th century censorship. Student organisations, directed by the Propaganda Ministry, burned approximately 25,000 books in Berlin alone. Targeted works included those by Jewish authors, Marxists, pacifists, and — notably — sexologists and researchers whose work challenged conventional categories.</w:t>
      </w:r>
    </w:p>
    <w:p>
      <w:r>
        <w:rPr>
          <w:b w:val="0"/>
          <w:i w:val="0"/>
        </w:rPr>
        <w:t xml:space="preserve">But the Nazi case also illustrates </w:t>
      </w:r>
      <w:r>
        <w:rPr>
          <w:b/>
          <w:i w:val="0"/>
        </w:rPr>
        <w:t>selective preservation</w:t>
      </w:r>
      <w:r>
        <w:rPr>
          <w:b w:val="0"/>
          <w:i w:val="0"/>
        </w:rPr>
        <w:t>: the regime maintained extensive private archives of seized material for its own research purposes. The destruction was public; the preservation was secret.</w:t>
      </w:r>
    </w:p>
    <w:p>
      <w:pPr>
        <w:pStyle w:val="Heading3"/>
      </w:pPr>
      <w:r>
        <w:t>Allied Bombing of German Archives (1943–1945)</w:t>
      </w:r>
    </w:p>
    <w:p>
      <w:r>
        <w:rPr>
          <w:b w:val="0"/>
          <w:i w:val="0"/>
        </w:rPr>
        <w:t>The Allied strategic bombing campaign destroyed vast quantities of German historical archives, municipal records, and library collections. The destruction of the Preußische Staatsbibliothek and numerous city archives across Germany eliminated records stretching back centuries. Whether this was incidental to the bombing campaign or partly intentional remains debated.</w:t>
      </w:r>
    </w:p>
    <w:p>
      <w:pPr>
        <w:pStyle w:val="Heading3"/>
      </w:pPr>
      <w:r>
        <w:t>Operation Paperclip and the Seizure of Records (1945)</w:t>
      </w:r>
    </w:p>
    <w:p>
      <w:r>
        <w:rPr>
          <w:b w:val="0"/>
          <w:i w:val="0"/>
        </w:rPr>
        <w:t>The American and Soviet seizure of German scientific, intelligence, and historical records after 1945 removed enormous quantities of material from public access. Much of this remains classified or restricted eight decades later.</w:t>
      </w:r>
    </w:p>
    <w:p>
      <w:pPr>
        <w:pStyle w:val="Heading3"/>
      </w:pPr>
      <w:r>
        <w:t>The Chinese Cultural Revolution (1966–1976)</w:t>
      </w:r>
    </w:p>
    <w:p>
      <w:r>
        <w:rPr>
          <w:b w:val="0"/>
          <w:i w:val="0"/>
        </w:rPr>
        <w:t>Mao's Cultural Revolution resulted in the systematic destruction of temples, historical sites, classical texts, genealogical records, and cultural artefacts across China. The "Four Olds" campaign (old customs, old culture, old habits, old ideas) specifically targeted historical records and family lineage documents that connected the Chinese population to their pre-revolutionary past.</w:t>
      </w:r>
    </w:p>
    <w:p>
      <w:pPr>
        <w:pStyle w:val="Heading3"/>
      </w:pPr>
      <w:r>
        <w:t>Operation Mockingbird (1948–1975+)</w:t>
      </w:r>
    </w:p>
    <w:p>
      <w:r>
        <w:rPr>
          <w:b w:val="0"/>
          <w:i w:val="0"/>
        </w:rPr>
        <w:t xml:space="preserve">The CIA's documented program to infiltrate and control media outlets represents a shift from </w:t>
      </w:r>
      <w:r>
        <w:rPr>
          <w:b/>
          <w:i w:val="0"/>
        </w:rPr>
        <w:t>destruction</w:t>
      </w:r>
      <w:r>
        <w:rPr>
          <w:b w:val="0"/>
          <w:i w:val="0"/>
        </w:rPr>
        <w:t xml:space="preserve"> of records to </w:t>
      </w:r>
      <w:r>
        <w:rPr>
          <w:b/>
          <w:i w:val="0"/>
        </w:rPr>
        <w:t>control of the narrative surrounding them</w:t>
      </w:r>
      <w:r>
        <w:rPr>
          <w:b w:val="0"/>
          <w:i w:val="0"/>
        </w:rPr>
        <w:t xml:space="preserve">. Rather than burn books, you ensure the books that get published support the approved version. See </w:t>
      </w:r>
      <w:hyperlink r:id="rId49">
        <w:r>
          <w:rPr>
            <w:b w:val="0"/>
            <w:i w:val="0"/>
            <w:color w:val="B8860B"/>
          </w:rPr>
          <w:t>Operation Mockingbird</w:t>
        </w:r>
      </w:hyperlink>
      <w:r>
        <w:rPr>
          <w:b w:val="0"/>
          <w:i w:val="0"/>
        </w:rPr>
        <w:t>.</w:t>
      </w:r>
    </w:p>
    <w:p>
      <w:pPr>
        <w:pStyle w:val="Heading2"/>
      </w:pPr>
      <w:r>
        <w:t>21st Century: Digital Censorship</w:t>
      </w:r>
    </w:p>
    <w:p>
      <w:r>
        <w:rPr>
          <w:b w:val="0"/>
          <w:i w:val="0"/>
        </w:rPr>
        <w:t>The internet initially appeared to democratise access to information. That window is closing.</w:t>
      </w:r>
    </w:p>
    <w:p>
      <w:r>
        <w:rPr>
          <w:b w:val="0"/>
          <w:i w:val="0"/>
        </w:rPr>
      </w:r>
      <w:r>
        <w:rPr>
          <w:b/>
          <w:i w:val="0"/>
        </w:rPr>
        <w:t>Platform Monopoly:</w:t>
      </w:r>
      <w:r>
        <w:rPr>
          <w:b w:val="0"/>
          <w:i w:val="0"/>
        </w:rPr>
        <w:t xml:space="preserve"> Concentration into Discord, YouTube, Facebook/Meta, Google created new chokepoints. YouTube's algorithm changes (2019–present) suppress independent research. Discord's moderation enables permanent bans with no appeal. Google buries independent sites. The author's permanent Discord ban — primary platform for independent chronology/cosmology researchers — severed collaborative networks; no specific violation cited.</w:t>
      </w:r>
    </w:p>
    <w:p>
      <w:r>
        <w:rPr>
          <w:b w:val="0"/>
          <w:i w:val="0"/>
        </w:rPr>
      </w:r>
      <w:r>
        <w:rPr>
          <w:b/>
          <w:i w:val="0"/>
        </w:rPr>
        <w:t>Digital Memory Holes:</w:t>
      </w:r>
      <w:r>
        <w:rPr>
          <w:b w:val="0"/>
          <w:i w:val="0"/>
        </w:rPr>
        <w:t xml:space="preserve"> Wayback Machine limitations; link rot (~25% of 2013 pages inaccessible); algorithmic suppression (content de-ranked rather than deleted). The method changed from fire to algorithm; the function is identical: control which records survive, control which narrative prevails.</w:t>
      </w:r>
    </w:p>
    <w:p>
      <w:pPr>
        <w:pStyle w:val="Heading2"/>
      </w:pPr>
      <w:r>
        <w:t>Sources</w:t>
      </w:r>
    </w:p>
    <w:p>
      <w:pPr>
        <w:pStyle w:val="ListBullet"/>
        <w:spacing w:before="20" w:after="20"/>
      </w:pPr>
      <w:r>
        <w:rPr>
          <w:b w:val="0"/>
          <w:i w:val="0"/>
          <w:sz w:val="19"/>
        </w:rPr>
        <w:t xml:space="preserve">Fomenko, Anatoly, </w:t>
      </w:r>
      <w:r>
        <w:rPr>
          <w:b w:val="0"/>
          <w:i/>
          <w:sz w:val="19"/>
        </w:rPr>
        <w:t>History: Fiction or Science?</w:t>
      </w:r>
      <w:r>
        <w:rPr>
          <w:b w:val="0"/>
          <w:i w:val="0"/>
          <w:sz w:val="19"/>
        </w:rPr>
        <w:t xml:space="preserve"> — on Scaliger/Petavius chronological construction</w:t>
      </w:r>
    </w:p>
    <w:p>
      <w:pPr>
        <w:pStyle w:val="ListBullet"/>
        <w:spacing w:before="20" w:after="20"/>
      </w:pPr>
      <w:r>
        <w:rPr>
          <w:b w:val="0"/>
          <w:i w:val="0"/>
          <w:sz w:val="19"/>
        </w:rPr>
        <w:t>Lenin, Collected Works, Vol. 32 — on press control</w:t>
      </w:r>
    </w:p>
    <w:p>
      <w:pPr>
        <w:pStyle w:val="ListBullet"/>
        <w:spacing w:before="20" w:after="20"/>
      </w:pPr>
      <w:r>
        <w:rPr>
          <w:b w:val="0"/>
          <w:i w:val="0"/>
          <w:sz w:val="19"/>
        </w:rPr>
        <w:t xml:space="preserve">Orwell, George, </w:t>
      </w:r>
      <w:r>
        <w:rPr>
          <w:b w:val="0"/>
          <w:i/>
          <w:sz w:val="19"/>
        </w:rPr>
        <w:t>Nineteen Eighty-Four</w:t>
      </w:r>
      <w:r>
        <w:rPr>
          <w:b w:val="0"/>
          <w:i w:val="0"/>
          <w:sz w:val="19"/>
        </w:rPr>
        <w:t xml:space="preserve"> (1949) — "memory hole" concept drawn from Soviet practice</w:t>
      </w:r>
    </w:p>
    <w:p/>
    <w:p>
      <w:pPr>
        <w:sectPr>
          <w:headerReference w:type="default" r:id="rId78"/>
          <w:footerReference w:type="default" r:id="rId79"/>
          <w:pgSz w:w="8640" w:h="12960"/>
          <w:pgMar w:top="1020" w:right="1134" w:bottom="1134" w:left="1134" w:header="720" w:footer="720" w:gutter="0"/>
          <w:cols w:space="720"/>
          <w:titlePg/>
          <w:docGrid w:linePitch="360"/>
        </w:sectPr>
      </w:pPr>
    </w:p>
    <w:p>
      <w:pPr>
        <w:pStyle w:val="Heading2"/>
      </w:pPr>
      <w:r>
        <w:rPr>
          <w:b/>
        </w:rPr>
        <w:t>Chapter 5: Historical Antibodies: Detailed Profiles</w:t>
      </w:r>
    </w:p>
    <w:p>
      <w:r>
        <w:rPr>
          <w:b w:val="0"/>
          <w:i w:val="0"/>
        </w:rPr>
        <w:t xml:space="preserve">This appendix provides the full evidentiary record for the antibody figures introduced in </w:t>
      </w:r>
      <w:hyperlink r:id="rId83">
        <w:r>
          <w:rPr>
            <w:b w:val="0"/>
            <w:i w:val="0"/>
            <w:color w:val="B8860B"/>
          </w:rPr>
          <w:t>Historical Antibodies: Independent Agents Against Erasure</w:t>
        </w:r>
      </w:hyperlink>
      <w:r>
        <w:rPr>
          <w:b w:val="0"/>
          <w:i w:val="0"/>
        </w:rPr>
        <w:t>. The main article covers the concept and pattern; this appendix preserves the primary-source material.</w:t>
      </w:r>
    </w:p>
    <w:p>
      <w:pPr>
        <w:pBdr>
          <w:bottom w:val="single" w:sz="6" w:space="1" w:color="CCCCCC"/>
        </w:pBdr>
      </w:pPr>
    </w:p>
    <w:p>
      <w:pPr>
        <w:pStyle w:val="Heading2"/>
      </w:pPr>
      <w:r>
        <w:t>C.S. Lewis (1898–1963): Full Encoding Analysis</w:t>
      </w:r>
    </w:p>
    <w:p>
      <w:pPr>
        <w:pStyle w:val="Heading3"/>
      </w:pPr>
      <w:r>
        <w:t>The Academic Layer: The Discarded Image (1964)</w:t>
      </w:r>
    </w:p>
    <w:p>
      <w:r>
        <w:rPr>
          <w:b w:val="0"/>
          <w:i w:val="0"/>
        </w:rPr>
        <w:t>Lewis's final scholarly work, published posthumously, is a survey of the medieval "Model" — the pre-Copernican cosmological framework that governed European thought until the 17th century. Lewis describes a cosmos in which:</w:t>
      </w:r>
    </w:p>
    <w:p>
      <w:pPr>
        <w:pStyle w:val="ListBullet"/>
        <w:spacing w:before="20" w:after="20"/>
      </w:pPr>
      <w:r>
        <w:rPr>
          <w:b w:val="0"/>
          <w:i w:val="0"/>
          <w:sz w:val="19"/>
        </w:rPr>
        <w:t xml:space="preserve">Each planet is governed by an </w:t>
      </w:r>
      <w:r>
        <w:rPr>
          <w:b/>
          <w:i w:val="0"/>
          <w:sz w:val="19"/>
        </w:rPr>
        <w:t>Intelligence</w:t>
      </w:r>
      <w:r>
        <w:rPr>
          <w:b w:val="0"/>
          <w:i w:val="0"/>
          <w:sz w:val="19"/>
        </w:rPr>
        <w:t xml:space="preserve"> (a conscious entity that shapes earthly affairs within its sphere)</w:t>
      </w:r>
    </w:p>
    <w:p>
      <w:pPr>
        <w:pStyle w:val="ListBullet"/>
        <w:spacing w:before="20" w:after="20"/>
      </w:pPr>
      <w:r>
        <w:rPr>
          <w:b w:val="0"/>
          <w:i w:val="0"/>
          <w:sz w:val="19"/>
        </w:rPr>
        <w:t xml:space="preserve">The planetary Intelligences are </w:t>
      </w:r>
      <w:r>
        <w:rPr>
          <w:b/>
          <w:i w:val="0"/>
          <w:sz w:val="19"/>
        </w:rPr>
        <w:t>the pagan gods renamed</w:t>
      </w:r>
      <w:r>
        <w:rPr>
          <w:b w:val="0"/>
          <w:i w:val="0"/>
          <w:sz w:val="19"/>
        </w:rPr>
        <w:t xml:space="preserve"> — Jupiter is Jove, Mars is the war-god, Venus is the love-goddess, Saturn is the time-keeper</w:t>
      </w:r>
    </w:p>
    <w:p>
      <w:pPr>
        <w:pStyle w:val="ListBullet"/>
        <w:spacing w:before="20" w:after="20"/>
      </w:pPr>
      <w:r>
        <w:rPr>
          <w:b w:val="0"/>
          <w:i w:val="0"/>
          <w:sz w:val="19"/>
        </w:rPr>
        <w:t xml:space="preserve">Medieval Christian scholars accepted this architecture, disagreeing with the pagans </w:t>
      </w:r>
      <w:r>
        <w:rPr>
          <w:b/>
          <w:i w:val="0"/>
          <w:sz w:val="19"/>
        </w:rPr>
        <w:t>"only in language (in voce tantum)"</w:t>
      </w:r>
      <w:r>
        <w:rPr>
          <w:b w:val="0"/>
          <w:i w:val="0"/>
          <w:sz w:val="19"/>
        </w:rPr>
        <w:t xml:space="preserve"> — calling the Intelligences "angels" rather than "gods"</w:t>
      </w:r>
    </w:p>
    <w:p>
      <w:pPr>
        <w:pStyle w:val="ListBullet"/>
        <w:spacing w:before="20" w:after="20"/>
      </w:pPr>
      <w:r>
        <w:rPr>
          <w:b w:val="0"/>
          <w:i w:val="0"/>
          <w:sz w:val="19"/>
        </w:rPr>
        <w:t xml:space="preserve">The cosmos is </w:t>
      </w:r>
      <w:r>
        <w:rPr>
          <w:b/>
          <w:i w:val="0"/>
          <w:sz w:val="19"/>
        </w:rPr>
        <w:t>alive</w:t>
      </w:r>
      <w:r>
        <w:rPr>
          <w:b w:val="0"/>
          <w:i w:val="0"/>
          <w:sz w:val="19"/>
        </w:rPr>
        <w:t>, not mechanical — the spheres produce the Music of the Spheres, and every celestial motion has meaning</w:t>
      </w:r>
    </w:p>
    <w:p>
      <w:r>
        <w:rPr>
          <w:b w:val="0"/>
          <w:i w:val="0"/>
        </w:rPr>
        <w:t xml:space="preserve">Key passage: </w:t>
      </w:r>
      <w:r>
        <w:rPr>
          <w:b w:val="0"/>
          <w:i/>
        </w:rPr>
        <w:t>"The Pagan elements embedded in it involved a conception of God, and of man's place in the universe, which, if not in logical contradiction to Christianity, were subtly out of harmony with it."</w:t>
      </w:r>
    </w:p>
    <w:p>
      <w:r>
        <w:rPr>
          <w:b w:val="0"/>
          <w:i w:val="0"/>
        </w:rPr>
        <w:t xml:space="preserve">Lewis is stating, in plain academic language, that Christianity </w:t>
      </w:r>
      <w:r>
        <w:rPr>
          <w:b/>
          <w:i w:val="0"/>
        </w:rPr>
        <w:t>absorbed a polytheistic planetary cosmology</w:t>
      </w:r>
      <w:r>
        <w:rPr>
          <w:b w:val="0"/>
          <w:i w:val="0"/>
        </w:rPr>
        <w:t xml:space="preserve"> and relabeled it. The medieval universe was not monotheistic in structure — it was a hierarchy of planetary gods wearing Christian names. Lewis described this as a scholar; he encoded it as a novelist.</w:t>
      </w:r>
    </w:p>
    <w:p>
      <w:pPr>
        <w:pStyle w:val="Heading3"/>
      </w:pPr>
      <w:r>
        <w:t>The Fictional Layer: The Space Trilogy (1938–1945)</w:t>
      </w:r>
    </w:p>
    <w:p>
      <w:r>
        <w:rPr>
          <w:b w:val="0"/>
          <w:i w:val="0"/>
        </w:rPr>
        <w:t xml:space="preserve">In </w:t>
      </w:r>
      <w:r>
        <w:rPr>
          <w:b w:val="0"/>
          <w:i/>
        </w:rPr>
        <w:t>Out of the Silent Planet</w:t>
      </w:r>
      <w:r>
        <w:rPr>
          <w:b w:val="0"/>
          <w:i w:val="0"/>
        </w:rPr>
        <w:t xml:space="preserve">, </w:t>
      </w:r>
      <w:r>
        <w:rPr>
          <w:b w:val="0"/>
          <w:i/>
        </w:rPr>
        <w:t>Perelandra</w:t>
      </w:r>
      <w:r>
        <w:rPr>
          <w:b w:val="0"/>
          <w:i w:val="0"/>
        </w:rPr>
        <w:t xml:space="preserve">, and </w:t>
      </w:r>
      <w:r>
        <w:rPr>
          <w:b w:val="0"/>
          <w:i/>
        </w:rPr>
        <w:t>That Hideous Strength</w:t>
      </w:r>
      <w:r>
        <w:rPr>
          <w:b w:val="0"/>
          <w:i w:val="0"/>
        </w:rPr>
        <w:t xml:space="preserve">, Lewis creates a cosmos where each planet is ruled by an </w:t>
      </w:r>
      <w:r>
        <w:rPr>
          <w:b/>
          <w:i w:val="0"/>
        </w:rPr>
        <w:t>Oyarsa</w:t>
      </w:r>
      <w:r>
        <w:rPr>
          <w:b w:val="0"/>
          <w:i w:val="0"/>
        </w:rPr>
        <w:t xml:space="preserve"> — a being who is simultaneously the pagan god, the planetary Intelligence of the medieval model, and an angel. Earth ("Thulcandra") is the "Silent Planet" because its Oyarsa fell — became the Bent One — and was quarantined from the rest of the solar system.</w:t>
      </w:r>
    </w:p>
    <w:p>
      <w:r>
        <w:rPr>
          <w:b w:val="0"/>
          <w:i w:val="0"/>
        </w:rPr>
        <w:t xml:space="preserve">Key passages from </w:t>
      </w:r>
      <w:r>
        <w:rPr>
          <w:b w:val="0"/>
          <w:i/>
        </w:rPr>
        <w:t>That Hideous Strength</w:t>
      </w:r>
      <w:r>
        <w:rPr>
          <w:b w:val="0"/>
          <w:i w:val="0"/>
        </w:rPr>
        <w:t>:</w:t>
      </w:r>
    </w:p>
    <w:p>
      <w:pPr>
        <w:pStyle w:val="Quote"/>
      </w:pPr>
      <w:r>
        <w:rPr>
          <w:b w:val="0"/>
          <w:i/>
          <w:sz w:val="19"/>
        </w:rPr>
        <w:t>"There is no Oyarsa in Heaven who has not got his representative on Earth. There is no Oyarsa in Heaven who has not got thousands. There was an Italian Saturn as well as a heavenly one, and a Cretan Jove as well as an Olympian. It was these earthly wraiths of the high intelligences that men met in old times when they reported that they had seen the gods."</w:t>
      </w:r>
    </w:p>
    <w:p>
      <w:pPr>
        <w:pStyle w:val="Quote"/>
      </w:pPr>
      <w:r>
        <w:rPr>
          <w:b w:val="0"/>
          <w:i/>
          <w:sz w:val="19"/>
        </w:rPr>
        <w:t>"The word angel rather begs the question. Even in St. Paul one gets glimpses of a population that won't exactly fit into our two columns of angels and devils. And if you go back further… all the gods, elves, dwarfs, water-people, fate, longaevi."</w:t>
      </w:r>
    </w:p>
    <w:p>
      <w:pPr>
        <w:pStyle w:val="Quote"/>
      </w:pPr>
      <w:r>
        <w:rPr>
          <w:b w:val="0"/>
          <w:i/>
          <w:sz w:val="19"/>
        </w:rPr>
        <w:t>"The gods of the heathen aren't merely devils as many of our friends would say. They are merely the celestial powers under their old, pre-Christian names."</w:t>
      </w:r>
    </w:p>
    <w:p>
      <w:r>
        <w:rPr>
          <w:b w:val="0"/>
          <w:i w:val="0"/>
        </w:rPr>
        <w:t xml:space="preserve">Lewis is explicitly stating that polytheism was </w:t>
      </w:r>
      <w:r>
        <w:rPr>
          <w:b/>
          <w:i w:val="0"/>
        </w:rPr>
        <w:t>correct</w:t>
      </w:r>
      <w:r>
        <w:rPr>
          <w:b w:val="0"/>
          <w:i w:val="0"/>
        </w:rPr>
        <w:t xml:space="preserve"> — the pre-Christian world accurately perceived multiple planetary beings governing earthly affairs — and that Christianity's great simplification was to collapse these distinct entities into a generic "angel" category. This is a radical claim disguised as fantasy fiction, published by a man known as </w:t>
      </w:r>
      <w:r>
        <w:rPr>
          <w:b/>
          <w:i w:val="0"/>
        </w:rPr>
        <w:t>the most effective Christian apologist of the 20th century</w:t>
      </w:r>
      <w:r>
        <w:rPr>
          <w:b w:val="0"/>
          <w:i w:val="0"/>
        </w:rPr>
        <w:t>. No one questioned it because no one expected it from him.</w:t>
      </w:r>
    </w:p>
    <w:p>
      <w:pPr>
        <w:pStyle w:val="Heading3"/>
      </w:pPr>
      <w:r>
        <w:t>The Structural Layer: The Chronicles of Narnia (1950–1956)</w:t>
      </w:r>
    </w:p>
    <w:p>
      <w:r>
        <w:rPr>
          <w:b w:val="0"/>
          <w:i w:val="0"/>
        </w:rPr>
        <w:t xml:space="preserve">Michael Ward's </w:t>
      </w:r>
      <w:r>
        <w:rPr>
          <w:b w:val="0"/>
          <w:i/>
        </w:rPr>
        <w:t>Planet Narnia</w:t>
      </w:r>
      <w:r>
        <w:rPr>
          <w:b w:val="0"/>
          <w:i w:val="0"/>
        </w:rPr>
        <w:t xml:space="preserve"> (2008) demonstrates that each Narnia book is governed by the atmosphere and character of a specific planet from the medieval cosmological model:</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788"/>
        <w:gridCol w:w="788"/>
        <w:gridCol w:w="1434"/>
        <w:gridCol w:w="3362"/>
      </w:tblGrid>
      <w:tr>
        <w:tc>
          <w:tcPr>
            <w:tcW w:type="dxa" w:w="788"/>
            <w:shd w:val="clear" w:color="auto" w:fill="F0F0F0"/>
          </w:tcPr>
          <w:p>
            <w:pPr>
              <w:spacing w:before="20" w:after="20"/>
              <w:jc w:val="center"/>
            </w:pPr>
            <w:r>
              <w:rPr>
                <w:rFonts w:ascii="Libre Franklin" w:hAnsi="Libre Franklin"/>
                <w:b/>
                <w:sz w:val="18"/>
              </w:rPr>
              <w:t>Book</w:t>
            </w:r>
          </w:p>
        </w:tc>
        <w:tc>
          <w:tcPr>
            <w:tcW w:type="dxa" w:w="788"/>
            <w:shd w:val="clear" w:color="auto" w:fill="F0F0F0"/>
          </w:tcPr>
          <w:p>
            <w:pPr>
              <w:spacing w:before="20" w:after="20"/>
              <w:jc w:val="center"/>
            </w:pPr>
            <w:r>
              <w:rPr>
                <w:rFonts w:ascii="Libre Franklin" w:hAnsi="Libre Franklin"/>
                <w:b/>
                <w:sz w:val="18"/>
              </w:rPr>
              <w:t>Planet</w:t>
            </w:r>
          </w:p>
        </w:tc>
        <w:tc>
          <w:tcPr>
            <w:tcW w:type="dxa" w:w="1434"/>
            <w:shd w:val="clear" w:color="auto" w:fill="F0F0F0"/>
          </w:tcPr>
          <w:p>
            <w:pPr>
              <w:spacing w:before="20" w:after="20"/>
              <w:jc w:val="center"/>
            </w:pPr>
            <w:r>
              <w:rPr>
                <w:rFonts w:ascii="Libre Franklin" w:hAnsi="Libre Franklin"/>
                <w:b/>
                <w:sz w:val="18"/>
              </w:rPr>
              <w:t>Key Atmosphere</w:t>
            </w:r>
          </w:p>
        </w:tc>
        <w:tc>
          <w:tcPr>
            <w:tcW w:type="dxa" w:w="3362"/>
            <w:shd w:val="clear" w:color="auto" w:fill="F0F0F0"/>
          </w:tcPr>
          <w:p>
            <w:pPr>
              <w:spacing w:before="20" w:after="20"/>
              <w:jc w:val="center"/>
            </w:pPr>
            <w:r>
              <w:rPr>
                <w:rFonts w:ascii="Libre Franklin" w:hAnsi="Libre Franklin"/>
                <w:b/>
                <w:sz w:val="18"/>
              </w:rPr>
              <w:t>Evidence</w:t>
            </w:r>
          </w:p>
        </w:tc>
      </w:tr>
      <w:tr>
        <w:tc>
          <w:tcPr>
            <w:tcW w:type="dxa" w:w="788"/>
          </w:tcPr>
          <w:p>
            <w:pPr>
              <w:spacing w:before="20" w:after="20"/>
            </w:pPr>
            <w:r>
              <w:rPr>
                <w:b w:val="0"/>
                <w:i/>
                <w:sz w:val="18"/>
              </w:rPr>
              <w:t>The Lion, the Witch and the Wardrobe</w:t>
            </w:r>
          </w:p>
        </w:tc>
        <w:tc>
          <w:tcPr>
            <w:tcW w:type="dxa" w:w="788"/>
          </w:tcPr>
          <w:p>
            <w:pPr>
              <w:spacing w:before="20" w:after="20"/>
            </w:pPr>
            <w:r>
              <w:rPr>
                <w:b w:val="0"/>
                <w:i w:val="0"/>
                <w:sz w:val="18"/>
              </w:rPr>
            </w:r>
            <w:r>
              <w:rPr>
                <w:b/>
                <w:i w:val="0"/>
                <w:sz w:val="18"/>
              </w:rPr>
              <w:t>Jupiter</w:t>
            </w:r>
            <w:r>
              <w:rPr>
                <w:b w:val="0"/>
                <w:i w:val="0"/>
                <w:sz w:val="18"/>
              </w:rPr>
            </w:r>
          </w:p>
        </w:tc>
        <w:tc>
          <w:tcPr>
            <w:tcW w:type="dxa" w:w="1434"/>
          </w:tcPr>
          <w:p>
            <w:pPr>
              <w:spacing w:before="20" w:after="20"/>
            </w:pPr>
            <w:r>
              <w:rPr>
                <w:b w:val="0"/>
                <w:i w:val="0"/>
                <w:sz w:val="18"/>
              </w:rPr>
              <w:t>Kingship, winter-to-spring, festivity, joviality</w:t>
            </w:r>
          </w:p>
        </w:tc>
        <w:tc>
          <w:tcPr>
            <w:tcW w:type="dxa" w:w="3362"/>
          </w:tcPr>
          <w:p>
            <w:pPr>
              <w:spacing w:before="20" w:after="20"/>
            </w:pPr>
            <w:r>
              <w:rPr>
                <w:b w:val="0"/>
                <w:i w:val="0"/>
                <w:sz w:val="18"/>
              </w:rPr>
              <w:t>Aslan as Jupiter-king; the defeat of perpetual winter; Father Christmas's arrival; the coronation</w:t>
            </w:r>
          </w:p>
        </w:tc>
      </w:tr>
      <w:tr>
        <w:tc>
          <w:tcPr>
            <w:tcW w:type="dxa" w:w="788"/>
          </w:tcPr>
          <w:p>
            <w:pPr>
              <w:spacing w:before="20" w:after="20"/>
            </w:pPr>
            <w:r>
              <w:rPr>
                <w:b w:val="0"/>
                <w:i/>
                <w:sz w:val="18"/>
              </w:rPr>
              <w:t>Prince Caspian</w:t>
            </w:r>
          </w:p>
        </w:tc>
        <w:tc>
          <w:tcPr>
            <w:tcW w:type="dxa" w:w="788"/>
          </w:tcPr>
          <w:p>
            <w:pPr>
              <w:spacing w:before="20" w:after="20"/>
            </w:pPr>
            <w:r>
              <w:rPr>
                <w:b w:val="0"/>
                <w:i w:val="0"/>
                <w:sz w:val="18"/>
              </w:rPr>
            </w:r>
            <w:r>
              <w:rPr>
                <w:b/>
                <w:i w:val="0"/>
                <w:sz w:val="18"/>
              </w:rPr>
              <w:t>Mars</w:t>
            </w:r>
            <w:r>
              <w:rPr>
                <w:b w:val="0"/>
                <w:i w:val="0"/>
                <w:sz w:val="18"/>
              </w:rPr>
            </w:r>
          </w:p>
        </w:tc>
        <w:tc>
          <w:tcPr>
            <w:tcW w:type="dxa" w:w="1434"/>
          </w:tcPr>
          <w:p>
            <w:pPr>
              <w:spacing w:before="20" w:after="20"/>
            </w:pPr>
            <w:r>
              <w:rPr>
                <w:b w:val="0"/>
                <w:i w:val="0"/>
                <w:sz w:val="18"/>
              </w:rPr>
              <w:t>War, chivalry, courage, martial valor</w:t>
            </w:r>
          </w:p>
        </w:tc>
        <w:tc>
          <w:tcPr>
            <w:tcW w:type="dxa" w:w="3362"/>
          </w:tcPr>
          <w:p>
            <w:pPr>
              <w:spacing w:before="20" w:after="20"/>
            </w:pPr>
            <w:r>
              <w:rPr>
                <w:b w:val="0"/>
                <w:i w:val="0"/>
                <w:sz w:val="18"/>
              </w:rPr>
              <w:t>Battle narrative; Reepicheep's martial honor; trees going to war; the entire plot is a military campaign</w:t>
            </w:r>
          </w:p>
        </w:tc>
      </w:tr>
      <w:tr>
        <w:tc>
          <w:tcPr>
            <w:tcW w:type="dxa" w:w="788"/>
          </w:tcPr>
          <w:p>
            <w:pPr>
              <w:spacing w:before="20" w:after="20"/>
            </w:pPr>
            <w:r>
              <w:rPr>
                <w:b w:val="0"/>
                <w:i/>
                <w:sz w:val="18"/>
              </w:rPr>
              <w:t>The Voyage of the Dawn Treader</w:t>
            </w:r>
          </w:p>
        </w:tc>
        <w:tc>
          <w:tcPr>
            <w:tcW w:type="dxa" w:w="788"/>
          </w:tcPr>
          <w:p>
            <w:pPr>
              <w:spacing w:before="20" w:after="20"/>
            </w:pPr>
            <w:r>
              <w:rPr>
                <w:b w:val="0"/>
                <w:i w:val="0"/>
                <w:sz w:val="18"/>
              </w:rPr>
            </w:r>
            <w:r>
              <w:rPr>
                <w:b/>
                <w:i w:val="0"/>
                <w:sz w:val="18"/>
              </w:rPr>
              <w:t>Sol</w:t>
            </w:r>
            <w:r>
              <w:rPr>
                <w:b w:val="0"/>
                <w:i w:val="0"/>
                <w:sz w:val="18"/>
              </w:rPr>
              <w:t xml:space="preserve"> (Sun)</w:t>
            </w:r>
          </w:p>
        </w:tc>
        <w:tc>
          <w:tcPr>
            <w:tcW w:type="dxa" w:w="1434"/>
          </w:tcPr>
          <w:p>
            <w:pPr>
              <w:spacing w:before="20" w:after="20"/>
            </w:pPr>
            <w:r>
              <w:rPr>
                <w:b w:val="0"/>
                <w:i w:val="0"/>
                <w:sz w:val="18"/>
              </w:rPr>
              <w:t>Gold, light, revelation, dragon-treasure</w:t>
            </w:r>
          </w:p>
        </w:tc>
        <w:tc>
          <w:tcPr>
            <w:tcW w:type="dxa" w:w="3362"/>
          </w:tcPr>
          <w:p>
            <w:pPr>
              <w:spacing w:before="20" w:after="20"/>
            </w:pPr>
            <w:r>
              <w:rPr>
                <w:b w:val="0"/>
                <w:i w:val="0"/>
                <w:sz w:val="18"/>
              </w:rPr>
              <w:t>Eustace's golden dragon transformation; the utter east as pure light; gold imagery throughout</w:t>
            </w:r>
          </w:p>
        </w:tc>
      </w:tr>
      <w:tr>
        <w:tc>
          <w:tcPr>
            <w:tcW w:type="dxa" w:w="788"/>
          </w:tcPr>
          <w:p>
            <w:pPr>
              <w:spacing w:before="20" w:after="20"/>
            </w:pPr>
            <w:r>
              <w:rPr>
                <w:b w:val="0"/>
                <w:i/>
                <w:sz w:val="18"/>
              </w:rPr>
              <w:t>The Silver Chair</w:t>
            </w:r>
          </w:p>
        </w:tc>
        <w:tc>
          <w:tcPr>
            <w:tcW w:type="dxa" w:w="788"/>
          </w:tcPr>
          <w:p>
            <w:pPr>
              <w:spacing w:before="20" w:after="20"/>
            </w:pPr>
            <w:r>
              <w:rPr>
                <w:b w:val="0"/>
                <w:i w:val="0"/>
                <w:sz w:val="18"/>
              </w:rPr>
            </w:r>
            <w:r>
              <w:rPr>
                <w:b/>
                <w:i w:val="0"/>
                <w:sz w:val="18"/>
              </w:rPr>
              <w:t>Luna</w:t>
            </w:r>
            <w:r>
              <w:rPr>
                <w:b w:val="0"/>
                <w:i w:val="0"/>
                <w:sz w:val="18"/>
              </w:rPr>
              <w:t xml:space="preserve"> (Moon)</w:t>
            </w:r>
          </w:p>
        </w:tc>
        <w:tc>
          <w:tcPr>
            <w:tcW w:type="dxa" w:w="1434"/>
          </w:tcPr>
          <w:p>
            <w:pPr>
              <w:spacing w:before="20" w:after="20"/>
            </w:pPr>
            <w:r>
              <w:rPr>
                <w:b w:val="0"/>
                <w:i w:val="0"/>
                <w:sz w:val="18"/>
              </w:rPr>
              <w:t>Madness, enchantment, silver, underground</w:t>
            </w:r>
          </w:p>
        </w:tc>
        <w:tc>
          <w:tcPr>
            <w:tcW w:type="dxa" w:w="3362"/>
          </w:tcPr>
          <w:p>
            <w:pPr>
              <w:spacing w:before="20" w:after="20"/>
            </w:pPr>
            <w:r>
              <w:rPr>
                <w:b w:val="0"/>
                <w:i w:val="0"/>
                <w:sz w:val="18"/>
              </w:rPr>
              <w:t>The Silver Chair as lunar enchantment; underground imprisonment; the Lady of the Green Kirtle's lunacy-inducing spell</w:t>
            </w:r>
          </w:p>
        </w:tc>
      </w:tr>
      <w:tr>
        <w:tc>
          <w:tcPr>
            <w:tcW w:type="dxa" w:w="788"/>
          </w:tcPr>
          <w:p>
            <w:pPr>
              <w:spacing w:before="20" w:after="20"/>
            </w:pPr>
            <w:r>
              <w:rPr>
                <w:b w:val="0"/>
                <w:i/>
                <w:sz w:val="18"/>
              </w:rPr>
              <w:t>The Horse and His Boy</w:t>
            </w:r>
          </w:p>
        </w:tc>
        <w:tc>
          <w:tcPr>
            <w:tcW w:type="dxa" w:w="788"/>
          </w:tcPr>
          <w:p>
            <w:pPr>
              <w:spacing w:before="20" w:after="20"/>
            </w:pPr>
            <w:r>
              <w:rPr>
                <w:b w:val="0"/>
                <w:i w:val="0"/>
                <w:sz w:val="18"/>
              </w:rPr>
            </w:r>
            <w:r>
              <w:rPr>
                <w:b/>
                <w:i w:val="0"/>
                <w:sz w:val="18"/>
              </w:rPr>
              <w:t>Mercury</w:t>
            </w:r>
            <w:r>
              <w:rPr>
                <w:b w:val="0"/>
                <w:i w:val="0"/>
                <w:sz w:val="18"/>
              </w:rPr>
            </w:r>
          </w:p>
        </w:tc>
        <w:tc>
          <w:tcPr>
            <w:tcW w:type="dxa" w:w="1434"/>
          </w:tcPr>
          <w:p>
            <w:pPr>
              <w:spacing w:before="20" w:after="20"/>
            </w:pPr>
            <w:r>
              <w:rPr>
                <w:b w:val="0"/>
                <w:i w:val="0"/>
                <w:sz w:val="18"/>
              </w:rPr>
              <w:t>Speed, eloquence, twinning, travel</w:t>
            </w:r>
          </w:p>
        </w:tc>
        <w:tc>
          <w:tcPr>
            <w:tcW w:type="dxa" w:w="3362"/>
          </w:tcPr>
          <w:p>
            <w:pPr>
              <w:spacing w:before="20" w:after="20"/>
            </w:pPr>
            <w:r>
              <w:rPr>
                <w:b w:val="0"/>
                <w:i w:val="0"/>
                <w:sz w:val="18"/>
              </w:rPr>
              <w:t>A journey story; Shasta/Cor as twins separated and reunited; the rapid pace; Aravis's storytelling</w:t>
            </w:r>
          </w:p>
        </w:tc>
      </w:tr>
      <w:tr>
        <w:tc>
          <w:tcPr>
            <w:tcW w:type="dxa" w:w="788"/>
          </w:tcPr>
          <w:p>
            <w:pPr>
              <w:spacing w:before="20" w:after="20"/>
            </w:pPr>
            <w:r>
              <w:rPr>
                <w:b w:val="0"/>
                <w:i/>
                <w:sz w:val="18"/>
              </w:rPr>
              <w:t>The Magician's Nephew</w:t>
            </w:r>
          </w:p>
        </w:tc>
        <w:tc>
          <w:tcPr>
            <w:tcW w:type="dxa" w:w="788"/>
          </w:tcPr>
          <w:p>
            <w:pPr>
              <w:spacing w:before="20" w:after="20"/>
            </w:pPr>
            <w:r>
              <w:rPr>
                <w:b w:val="0"/>
                <w:i w:val="0"/>
                <w:sz w:val="18"/>
              </w:rPr>
            </w:r>
            <w:r>
              <w:rPr>
                <w:b/>
                <w:i w:val="0"/>
                <w:sz w:val="18"/>
              </w:rPr>
              <w:t>Venus</w:t>
            </w:r>
            <w:r>
              <w:rPr>
                <w:b w:val="0"/>
                <w:i w:val="0"/>
                <w:sz w:val="18"/>
              </w:rPr>
            </w:r>
          </w:p>
        </w:tc>
        <w:tc>
          <w:tcPr>
            <w:tcW w:type="dxa" w:w="1434"/>
          </w:tcPr>
          <w:p>
            <w:pPr>
              <w:spacing w:before="20" w:after="20"/>
            </w:pPr>
            <w:r>
              <w:rPr>
                <w:b w:val="0"/>
                <w:i w:val="0"/>
                <w:sz w:val="18"/>
              </w:rPr>
              <w:t>Creation, fecundity, youth, sweetness</w:t>
            </w:r>
          </w:p>
        </w:tc>
        <w:tc>
          <w:tcPr>
            <w:tcW w:type="dxa" w:w="3362"/>
          </w:tcPr>
          <w:p>
            <w:pPr>
              <w:spacing w:before="20" w:after="20"/>
            </w:pPr>
            <w:r>
              <w:rPr>
                <w:b w:val="0"/>
                <w:i w:val="0"/>
                <w:sz w:val="18"/>
              </w:rPr>
              <w:t>The creation of Narnia; the garden; the apple of life; Digory's mother healed; generative power</w:t>
            </w:r>
          </w:p>
        </w:tc>
      </w:tr>
      <w:tr>
        <w:tc>
          <w:tcPr>
            <w:tcW w:type="dxa" w:w="788"/>
          </w:tcPr>
          <w:p>
            <w:pPr>
              <w:spacing w:before="20" w:after="20"/>
            </w:pPr>
            <w:r>
              <w:rPr>
                <w:b w:val="0"/>
                <w:i/>
                <w:sz w:val="18"/>
              </w:rPr>
              <w:t>The Last Battle</w:t>
            </w:r>
          </w:p>
        </w:tc>
        <w:tc>
          <w:tcPr>
            <w:tcW w:type="dxa" w:w="788"/>
          </w:tcPr>
          <w:p>
            <w:pPr>
              <w:spacing w:before="20" w:after="20"/>
            </w:pPr>
            <w:r>
              <w:rPr>
                <w:b w:val="0"/>
                <w:i w:val="0"/>
                <w:sz w:val="18"/>
              </w:rPr>
            </w:r>
            <w:r>
              <w:rPr>
                <w:b/>
                <w:i w:val="0"/>
                <w:sz w:val="18"/>
              </w:rPr>
              <w:t>Saturn</w:t>
            </w:r>
            <w:r>
              <w:rPr>
                <w:b w:val="0"/>
                <w:i w:val="0"/>
                <w:sz w:val="18"/>
              </w:rPr>
            </w:r>
          </w:p>
        </w:tc>
        <w:tc>
          <w:tcPr>
            <w:tcW w:type="dxa" w:w="1434"/>
          </w:tcPr>
          <w:p>
            <w:pPr>
              <w:spacing w:before="20" w:after="20"/>
            </w:pPr>
            <w:r>
              <w:rPr>
                <w:b w:val="0"/>
                <w:i w:val="0"/>
                <w:sz w:val="18"/>
              </w:rPr>
              <w:t>Time, endings, treachery, justice, the final age</w:t>
            </w:r>
          </w:p>
        </w:tc>
        <w:tc>
          <w:tcPr>
            <w:tcW w:type="dxa" w:w="3362"/>
          </w:tcPr>
          <w:p>
            <w:pPr>
              <w:spacing w:before="20" w:after="20"/>
            </w:pPr>
            <w:r>
              <w:rPr>
                <w:b w:val="0"/>
                <w:i w:val="0"/>
                <w:sz w:val="18"/>
              </w:rPr>
              <w:t>The end of Narnia; the dwarfs' saturnine refusal; Father Time awakened; the last judgment</w:t>
            </w:r>
          </w:p>
        </w:tc>
      </w:tr>
    </w:tbl>
    <w:p/>
    <w:p>
      <w:r>
        <w:rPr>
          <w:b w:val="0"/>
          <w:i w:val="0"/>
        </w:rPr>
        <w:t xml:space="preserve">Ward's key insight: Lewis </w:t>
      </w:r>
      <w:r>
        <w:rPr>
          <w:b/>
          <w:i w:val="0"/>
        </w:rPr>
        <w:t>never mentioned</w:t>
      </w:r>
      <w:r>
        <w:rPr>
          <w:b w:val="0"/>
          <w:i w:val="0"/>
        </w:rPr>
        <w:t xml:space="preserve"> this structure publicly. It was invisible unless the reader already knew the medieval planetary model — which Lewis had spent his academic career studying and which he described in </w:t>
      </w:r>
      <w:r>
        <w:rPr>
          <w:b w:val="0"/>
          <w:i/>
        </w:rPr>
        <w:t>The Discarded Image</w:t>
      </w:r>
      <w:r>
        <w:rPr>
          <w:b w:val="0"/>
          <w:i w:val="0"/>
        </w:rPr>
        <w:t xml:space="preserve">. This was not allegory (which Lewis famously disliked) but </w:t>
      </w:r>
      <w:r>
        <w:rPr>
          <w:b/>
          <w:i w:val="0"/>
        </w:rPr>
        <w:t>atmospheric encoding</w:t>
      </w:r>
      <w:r>
        <w:rPr>
          <w:b w:val="0"/>
          <w:i w:val="0"/>
        </w:rPr>
        <w:t xml:space="preserve"> — each book </w:t>
      </w:r>
      <w:r>
        <w:rPr>
          <w:b w:val="0"/>
          <w:i/>
        </w:rPr>
        <w:t>feels</w:t>
      </w:r>
      <w:r>
        <w:rPr>
          <w:b w:val="0"/>
          <w:i w:val="0"/>
        </w:rPr>
        <w:t xml:space="preserve"> like its planet without naming it.</w:t>
      </w:r>
    </w:p>
    <w:p>
      <w:pPr>
        <w:pStyle w:val="Heading3"/>
      </w:pPr>
      <w:r>
        <w:t>Why It Matters for the Timeline</w:t>
      </w:r>
    </w:p>
    <w:p>
      <w:r>
        <w:rPr>
          <w:b w:val="0"/>
          <w:i w:val="0"/>
        </w:rPr>
        <w:t xml:space="preserve">Lewis did not merely describe the pre-Christian cosmos in academic terms. He </w:t>
      </w:r>
      <w:r>
        <w:rPr>
          <w:b/>
          <w:i w:val="0"/>
        </w:rPr>
        <w:t>rebuilt it as a living experience</w:t>
      </w:r>
      <w:r>
        <w:rPr>
          <w:b w:val="0"/>
          <w:i w:val="0"/>
        </w:rPr>
        <w:t xml:space="preserve"> in the most widely-read children's literature of the 20th century. Millions of readers absorbed the atmospheric reality of planetary Intelligences — the martial spirit of Mars, the jovial kingship of Jupiter, saturnine finality — without ever knowing they were engaging with polytheistic cosmology.</w:t>
      </w:r>
    </w:p>
    <w:p>
      <w:r>
        <w:rPr>
          <w:b w:val="0"/>
          <w:i w:val="0"/>
        </w:rPr>
        <w:t xml:space="preserve">This is the antibody function: </w:t>
      </w:r>
      <w:r>
        <w:rPr>
          <w:b/>
          <w:i w:val="0"/>
        </w:rPr>
        <w:t>embedding suppressed knowledge in a form that cannot be destroyed without destroying something the culture values</w:t>
      </w:r>
      <w:r>
        <w:rPr>
          <w:b w:val="0"/>
          <w:i w:val="0"/>
        </w:rPr>
        <w:t>. You cannot ban the Narnia books. You cannot expel Lewis from the canon. The encoding is permanent.</w:t>
      </w:r>
    </w:p>
    <w:p>
      <w:pPr>
        <w:pBdr>
          <w:bottom w:val="single" w:sz="6" w:space="1" w:color="CCCCCC"/>
        </w:pBdr>
      </w:pPr>
    </w:p>
    <w:p>
      <w:pPr>
        <w:pStyle w:val="Heading2"/>
      </w:pPr>
      <w:r>
        <w:t>Daniel Ellsberg (1931–2023): Full Chronology</w:t>
      </w:r>
    </w:p>
    <w:p>
      <w:pPr>
        <w:pStyle w:val="Heading3"/>
      </w:pPr>
      <w:r>
        <w:t>Background and Career</w:t>
      </w:r>
    </w:p>
    <w:p>
      <w:pPr>
        <w:pStyle w:val="ListBullet"/>
        <w:spacing w:before="20" w:after="20"/>
      </w:pPr>
      <w:r>
        <w:rPr>
          <w:b w:val="0"/>
          <w:i w:val="0"/>
          <w:sz w:val="19"/>
        </w:rPr>
      </w:r>
      <w:r>
        <w:rPr>
          <w:b/>
          <w:i w:val="0"/>
          <w:sz w:val="19"/>
        </w:rPr>
        <w:t>1931</w:t>
      </w:r>
      <w:r>
        <w:rPr>
          <w:b w:val="0"/>
          <w:i w:val="0"/>
          <w:sz w:val="19"/>
        </w:rPr>
        <w:t>: Born in Chicago to a Jewish family that had converted to Christian Science</w:t>
      </w:r>
    </w:p>
    <w:p>
      <w:pPr>
        <w:pStyle w:val="ListBullet"/>
        <w:spacing w:before="20" w:after="20"/>
      </w:pPr>
      <w:r>
        <w:rPr>
          <w:b w:val="0"/>
          <w:i w:val="0"/>
          <w:sz w:val="19"/>
        </w:rPr>
      </w:r>
      <w:r>
        <w:rPr>
          <w:b/>
          <w:i w:val="0"/>
          <w:sz w:val="19"/>
        </w:rPr>
        <w:t>1952</w:t>
      </w:r>
      <w:r>
        <w:rPr>
          <w:b w:val="0"/>
          <w:i w:val="0"/>
          <w:sz w:val="19"/>
        </w:rPr>
        <w:t>: B.A. in Economics from Harvard, summa cum laude</w:t>
      </w:r>
    </w:p>
    <w:p>
      <w:pPr>
        <w:pStyle w:val="ListBullet"/>
        <w:spacing w:before="20" w:after="20"/>
      </w:pPr>
      <w:r>
        <w:rPr>
          <w:b w:val="0"/>
          <w:i w:val="0"/>
          <w:sz w:val="19"/>
        </w:rPr>
      </w:r>
      <w:r>
        <w:rPr>
          <w:b/>
          <w:i w:val="0"/>
          <w:sz w:val="19"/>
        </w:rPr>
        <w:t>1954–1957</w:t>
      </w:r>
      <w:r>
        <w:rPr>
          <w:b w:val="0"/>
          <w:i w:val="0"/>
          <w:sz w:val="19"/>
        </w:rPr>
        <w:t>: U.S. Marine Corps officer, 1st Lieutenant, platoon leader and rifle company commander</w:t>
      </w:r>
    </w:p>
    <w:p>
      <w:pPr>
        <w:pStyle w:val="ListBullet"/>
        <w:spacing w:before="20" w:after="20"/>
      </w:pPr>
      <w:r>
        <w:rPr>
          <w:b w:val="0"/>
          <w:i w:val="0"/>
          <w:sz w:val="19"/>
        </w:rPr>
      </w:r>
      <w:r>
        <w:rPr>
          <w:b/>
          <w:i w:val="0"/>
          <w:sz w:val="19"/>
        </w:rPr>
        <w:t>1959</w:t>
      </w:r>
      <w:r>
        <w:rPr>
          <w:b w:val="0"/>
          <w:i w:val="0"/>
          <w:sz w:val="19"/>
        </w:rPr>
        <w:t>: Ph.D. candidate at Harvard (completed 1962); joins RAND Corporation as strategic analyst</w:t>
      </w:r>
    </w:p>
    <w:p>
      <w:pPr>
        <w:pStyle w:val="ListBullet"/>
        <w:spacing w:before="20" w:after="20"/>
      </w:pPr>
      <w:r>
        <w:rPr>
          <w:b w:val="0"/>
          <w:i w:val="0"/>
          <w:sz w:val="19"/>
        </w:rPr>
      </w:r>
      <w:r>
        <w:rPr>
          <w:b/>
          <w:i w:val="0"/>
          <w:sz w:val="19"/>
        </w:rPr>
        <w:t>1961</w:t>
      </w:r>
      <w:r>
        <w:rPr>
          <w:b w:val="0"/>
          <w:i w:val="0"/>
          <w:sz w:val="19"/>
        </w:rPr>
        <w:t>: Consultant to the Kennedy White House and Pentagon on nuclear war planning; given access to the Single Integrated Operational Plan (SIOP) — the U.S. blueprint for general nuclear war</w:t>
      </w:r>
    </w:p>
    <w:p>
      <w:pPr>
        <w:pStyle w:val="ListBullet"/>
        <w:spacing w:before="20" w:after="20"/>
      </w:pPr>
      <w:r>
        <w:rPr>
          <w:b w:val="0"/>
          <w:i w:val="0"/>
          <w:sz w:val="19"/>
        </w:rPr>
      </w:r>
      <w:r>
        <w:rPr>
          <w:b/>
          <w:i w:val="0"/>
          <w:sz w:val="19"/>
        </w:rPr>
        <w:t>1964</w:t>
      </w:r>
      <w:r>
        <w:rPr>
          <w:b w:val="0"/>
          <w:i w:val="0"/>
          <w:sz w:val="19"/>
        </w:rPr>
        <w:t>: Transferred to the Pentagon as special assistant to Assistant Secretary of Defense John McNaughton</w:t>
      </w:r>
    </w:p>
    <w:p>
      <w:pPr>
        <w:pStyle w:val="Heading3"/>
      </w:pPr>
      <w:r>
        <w:t>The Gulf of Tonkin (August 4, 1964)</w:t>
      </w:r>
    </w:p>
    <w:p>
      <w:r>
        <w:rPr>
          <w:b w:val="0"/>
          <w:i w:val="0"/>
        </w:rPr>
        <w:t xml:space="preserve">On the night of August 4, 1964, Ellsberg was </w:t>
      </w:r>
      <w:r>
        <w:rPr>
          <w:b/>
          <w:i w:val="0"/>
        </w:rPr>
        <w:t>on duty in the Pentagon</w:t>
      </w:r>
      <w:r>
        <w:rPr>
          <w:b w:val="0"/>
          <w:i w:val="0"/>
        </w:rPr>
        <w:t xml:space="preserve"> receiving real-time cable traffic from the USS Maddox and USS Turner Joy in the Gulf of Tonkin. The ships reported a second North Vietnamese torpedo attack. Within hours, President Johnson ordered retaliatory air strikes. On August 7, Congress passed the Gulf of Tonkin Resolution, authorizing unlimited military force in Southeast Asia without a formal declaration of war.</w:t>
      </w:r>
    </w:p>
    <w:p>
      <w:r>
        <w:rPr>
          <w:b w:val="0"/>
          <w:i w:val="0"/>
        </w:rPr>
        <w:t>Ellsberg knew from the real-time traffic that the reports were confused and contradictory. Subsequent evidence confirmed:</w:t>
      </w:r>
    </w:p>
    <w:p>
      <w:pPr>
        <w:pStyle w:val="ListBullet"/>
        <w:spacing w:before="20" w:after="20"/>
      </w:pPr>
      <w:r>
        <w:rPr>
          <w:b w:val="0"/>
          <w:i w:val="0"/>
          <w:sz w:val="19"/>
        </w:rPr>
      </w:r>
      <w:r>
        <w:rPr>
          <w:b/>
          <w:i w:val="0"/>
          <w:sz w:val="19"/>
        </w:rPr>
        <w:t>Captain John Herrick</w:t>
      </w:r>
      <w:r>
        <w:rPr>
          <w:b w:val="0"/>
          <w:i w:val="0"/>
          <w:sz w:val="19"/>
        </w:rPr>
        <w:t xml:space="preserve"> (commander of the Maddox) cabled within hours: </w:t>
      </w:r>
      <w:r>
        <w:rPr>
          <w:b w:val="0"/>
          <w:i/>
          <w:sz w:val="19"/>
        </w:rPr>
        <w:t>"Review of action makes many contacts and torpedoes fired appear doubtful… Suggest complete evaluation before any further action taken."</w:t>
      </w:r>
    </w:p>
    <w:p>
      <w:pPr>
        <w:pStyle w:val="ListBullet"/>
        <w:spacing w:before="20" w:after="20"/>
      </w:pPr>
      <w:r>
        <w:rPr>
          <w:b w:val="0"/>
          <w:i w:val="0"/>
          <w:sz w:val="19"/>
        </w:rPr>
      </w:r>
      <w:r>
        <w:rPr>
          <w:b/>
          <w:i w:val="0"/>
          <w:sz w:val="19"/>
        </w:rPr>
        <w:t>President Johnson</w:t>
      </w:r>
      <w:r>
        <w:rPr>
          <w:b w:val="0"/>
          <w:i w:val="0"/>
          <w:sz w:val="19"/>
        </w:rPr>
        <w:t xml:space="preserve"> told Undersecretary of State George Ball: </w:t>
      </w:r>
      <w:r>
        <w:rPr>
          <w:b w:val="0"/>
          <w:i/>
          <w:sz w:val="19"/>
        </w:rPr>
        <w:t>"Hell, those dumb, stupid sailors were just shooting at flying fish!"</w:t>
      </w:r>
      <w:r>
        <w:rPr>
          <w:b w:val="0"/>
          <w:i w:val="0"/>
          <w:sz w:val="19"/>
        </w:rPr>
        <w:t xml:space="preserve"> He also said privately: </w:t>
      </w:r>
      <w:r>
        <w:rPr>
          <w:b w:val="0"/>
          <w:i/>
          <w:sz w:val="19"/>
        </w:rPr>
        <w:t>"For all I know, our navy was shooting at whales out there."</w:t>
      </w:r>
    </w:p>
    <w:p>
      <w:pPr>
        <w:pStyle w:val="ListBullet"/>
        <w:spacing w:before="20" w:after="20"/>
      </w:pPr>
      <w:r>
        <w:rPr>
          <w:b w:val="0"/>
          <w:i w:val="0"/>
          <w:sz w:val="19"/>
        </w:rPr>
      </w:r>
      <w:r>
        <w:rPr>
          <w:b/>
          <w:i w:val="0"/>
          <w:sz w:val="19"/>
        </w:rPr>
        <w:t>James Stockdale</w:t>
      </w:r>
      <w:r>
        <w:rPr>
          <w:b w:val="0"/>
          <w:i w:val="0"/>
          <w:sz w:val="19"/>
        </w:rPr>
        <w:t xml:space="preserve">, pilot flying overhead during the alleged attack: </w:t>
      </w:r>
      <w:r>
        <w:rPr>
          <w:b w:val="0"/>
          <w:i/>
          <w:sz w:val="19"/>
        </w:rPr>
        <w:t>"I had the best seat in the house to watch that event, and our destroyers were just shooting at phantom targets — there were no PT boats there… There was nothing there but black water and American fire power."</w:t>
      </w:r>
    </w:p>
    <w:p>
      <w:pPr>
        <w:pStyle w:val="ListBullet"/>
        <w:spacing w:before="20" w:after="20"/>
      </w:pPr>
      <w:r>
        <w:rPr>
          <w:b w:val="0"/>
          <w:i w:val="0"/>
          <w:sz w:val="19"/>
        </w:rPr>
      </w:r>
      <w:r>
        <w:rPr>
          <w:b/>
          <w:i w:val="0"/>
          <w:sz w:val="19"/>
        </w:rPr>
        <w:t>Robert McNamara</w:t>
      </w:r>
      <w:r>
        <w:rPr>
          <w:b w:val="0"/>
          <w:i w:val="0"/>
          <w:sz w:val="19"/>
        </w:rPr>
        <w:t xml:space="preserve"> (Secretary of Defense), in </w:t>
      </w:r>
      <w:r>
        <w:rPr>
          <w:b w:val="0"/>
          <w:i/>
          <w:sz w:val="19"/>
        </w:rPr>
        <w:t>The Fog of War</w:t>
      </w:r>
      <w:r>
        <w:rPr>
          <w:b w:val="0"/>
          <w:i w:val="0"/>
          <w:sz w:val="19"/>
        </w:rPr>
        <w:t xml:space="preserve"> (2003): </w:t>
      </w:r>
      <w:r>
        <w:rPr>
          <w:b w:val="0"/>
          <w:i/>
          <w:sz w:val="19"/>
        </w:rPr>
        <w:t>"It didn't happen."</w:t>
      </w:r>
    </w:p>
    <w:p>
      <w:pPr>
        <w:pStyle w:val="ListBullet"/>
        <w:spacing w:before="20" w:after="20"/>
      </w:pPr>
      <w:r>
        <w:rPr>
          <w:b w:val="0"/>
          <w:i w:val="0"/>
          <w:sz w:val="19"/>
        </w:rPr>
      </w:r>
      <w:r>
        <w:rPr>
          <w:b/>
          <w:i w:val="0"/>
          <w:sz w:val="19"/>
        </w:rPr>
        <w:t>Robert Hanyok</w:t>
      </w:r>
      <w:r>
        <w:rPr>
          <w:b w:val="0"/>
          <w:i w:val="0"/>
          <w:sz w:val="19"/>
        </w:rPr>
        <w:t xml:space="preserve"> (NSA historian), in a classified 2001 study (declassified 2005): NSA </w:t>
      </w:r>
      <w:r>
        <w:rPr>
          <w:b/>
          <w:i w:val="0"/>
          <w:sz w:val="19"/>
        </w:rPr>
        <w:t>"deliberately skewed"</w:t>
      </w:r>
      <w:r>
        <w:rPr>
          <w:b w:val="0"/>
          <w:i w:val="0"/>
          <w:sz w:val="19"/>
        </w:rPr>
        <w:t xml:space="preserve"> its intelligence reports to support the conclusion that a second attack had occurred</w:t>
      </w:r>
    </w:p>
    <w:p>
      <w:pPr>
        <w:pStyle w:val="ListBullet"/>
        <w:spacing w:before="20" w:after="20"/>
      </w:pPr>
      <w:r>
        <w:rPr>
          <w:b w:val="0"/>
          <w:i w:val="0"/>
          <w:sz w:val="19"/>
        </w:rPr>
      </w:r>
      <w:r>
        <w:rPr>
          <w:b/>
          <w:i w:val="0"/>
          <w:sz w:val="19"/>
        </w:rPr>
        <w:t>General Võ Nguyên Giáp</w:t>
      </w:r>
      <w:r>
        <w:rPr>
          <w:b w:val="0"/>
          <w:i w:val="0"/>
          <w:sz w:val="19"/>
        </w:rPr>
        <w:t xml:space="preserve"> (North Vietnamese commander): </w:t>
      </w:r>
      <w:r>
        <w:rPr>
          <w:b w:val="0"/>
          <w:i/>
          <w:sz w:val="19"/>
        </w:rPr>
        <w:t>"Absolutely nothing"</w:t>
      </w:r>
      <w:r>
        <w:rPr>
          <w:b w:val="0"/>
          <w:i w:val="0"/>
          <w:sz w:val="19"/>
        </w:rPr>
        <w:t xml:space="preserve"> happened on August 4</w:t>
      </w:r>
    </w:p>
    <w:p>
      <w:r>
        <w:rPr>
          <w:b w:val="0"/>
          <w:i w:val="0"/>
        </w:rPr>
        <w:t>The Gulf of Tonkin Resolution became the legal basis for the entire Vietnam War. Over 58,000 Americans and over 3 million Vietnamese died in a war authorized by an event that never took place.</w:t>
      </w:r>
    </w:p>
    <w:p>
      <w:pPr>
        <w:pStyle w:val="Heading3"/>
      </w:pPr>
      <w:r>
        <w:t>The Pentagon Papers (1971)</w:t>
      </w:r>
    </w:p>
    <w:p>
      <w:r>
        <w:rPr>
          <w:b w:val="0"/>
          <w:i w:val="0"/>
        </w:rPr>
        <w:t xml:space="preserve">From 1967, Ellsberg worked on the top-secret </w:t>
      </w:r>
      <w:r>
        <w:rPr>
          <w:b/>
          <w:i w:val="0"/>
        </w:rPr>
        <w:t>McNamara Study</w:t>
      </w:r>
      <w:r>
        <w:rPr>
          <w:b w:val="0"/>
          <w:i w:val="0"/>
        </w:rPr>
        <w:t xml:space="preserve"> — a 7,000-page internal analysis of U.S. decision-making in Vietnam from 1945 to 1967, later known as the Pentagon Papers. The study documented systematic deception across the Truman, Eisenhower, Kennedy, and Johnson administrations.</w:t>
      </w:r>
    </w:p>
    <w:p>
      <w:r>
        <w:rPr>
          <w:b w:val="0"/>
          <w:i w:val="0"/>
        </w:rPr>
        <w:t xml:space="preserve">In 1969, Ellsberg began photocopying the study with the help of his colleague Anthony Russo. In 1971, he provided copies to </w:t>
      </w:r>
      <w:r>
        <w:rPr>
          <w:b w:val="0"/>
          <w:i/>
        </w:rPr>
        <w:t>The New York Times</w:t>
      </w:r>
      <w:r>
        <w:rPr>
          <w:b w:val="0"/>
          <w:i w:val="0"/>
        </w:rPr>
        <w:t xml:space="preserve">, </w:t>
      </w:r>
      <w:r>
        <w:rPr>
          <w:b w:val="0"/>
          <w:i/>
        </w:rPr>
        <w:t>The Washington Post</w:t>
      </w:r>
      <w:r>
        <w:rPr>
          <w:b w:val="0"/>
          <w:i w:val="0"/>
        </w:rPr>
        <w:t xml:space="preserve">, and eventually 17 other newspapers. The Nixon administration obtained a federal court injunction to halt publication — the first prior restraint on a newspaper in American history — but the Supreme Court ruled 6–3 in </w:t>
      </w:r>
      <w:r>
        <w:rPr>
          <w:b w:val="0"/>
          <w:i/>
        </w:rPr>
        <w:t>New York Times Co. v. United States</w:t>
      </w:r>
      <w:r>
        <w:rPr>
          <w:b w:val="0"/>
          <w:i w:val="0"/>
        </w:rPr>
        <w:t xml:space="preserve"> that publication could proceed.</w:t>
      </w:r>
    </w:p>
    <w:p>
      <w:r>
        <w:rPr>
          <w:b w:val="0"/>
          <w:i w:val="0"/>
        </w:rPr>
        <w:t>Ellsberg was charged under the Espionage Act of 1917. The case was dismissed in 1973 when it was revealed that the Nixon administration had:</w:t>
      </w:r>
    </w:p>
    <w:p>
      <w:pPr>
        <w:pStyle w:val="ListBullet"/>
        <w:spacing w:before="20" w:after="20"/>
      </w:pPr>
      <w:r>
        <w:rPr>
          <w:b w:val="0"/>
          <w:i w:val="0"/>
          <w:sz w:val="19"/>
        </w:rPr>
        <w:t>Burglarized Lewis Fielding's (Ellsberg's psychiatrist's) office</w:t>
      </w:r>
    </w:p>
    <w:p>
      <w:pPr>
        <w:pStyle w:val="ListBullet"/>
        <w:spacing w:before="20" w:after="20"/>
      </w:pPr>
      <w:r>
        <w:rPr>
          <w:b w:val="0"/>
          <w:i w:val="0"/>
          <w:sz w:val="19"/>
        </w:rPr>
        <w:t>Wiretapped Ellsberg without court authorization</w:t>
      </w:r>
    </w:p>
    <w:p>
      <w:pPr>
        <w:pStyle w:val="ListBullet"/>
        <w:spacing w:before="20" w:after="20"/>
      </w:pPr>
      <w:r>
        <w:rPr>
          <w:b w:val="0"/>
          <w:i w:val="0"/>
          <w:sz w:val="19"/>
        </w:rPr>
        <w:t>Offered the presiding judge (William Matthew Byrne Jr.) the directorship of the FBI during trial</w:t>
      </w:r>
    </w:p>
    <w:p>
      <w:r>
        <w:rPr>
          <w:b w:val="0"/>
          <w:i w:val="0"/>
        </w:rPr>
        <w:t xml:space="preserve">The burglary of Fielding's office was carried out by the </w:t>
      </w:r>
      <w:r>
        <w:rPr>
          <w:b/>
          <w:i w:val="0"/>
        </w:rPr>
        <w:t>White House "Plumbers"</w:t>
      </w:r>
      <w:r>
        <w:rPr>
          <w:b w:val="0"/>
          <w:i w:val="0"/>
        </w:rPr>
        <w:t xml:space="preserve"> — the same unit that went on to conduct the Watergate break-in.</w:t>
      </w:r>
    </w:p>
    <w:p>
      <w:pPr>
        <w:pStyle w:val="Heading3"/>
      </w:pPr>
      <w:r>
        <w:t>Later Activism (1971–2023)</w:t>
      </w:r>
    </w:p>
    <w:p>
      <w:pPr>
        <w:pStyle w:val="ListBullet"/>
        <w:spacing w:before="20" w:after="20"/>
      </w:pPr>
      <w:r>
        <w:rPr>
          <w:b w:val="0"/>
          <w:i w:val="0"/>
          <w:sz w:val="19"/>
        </w:rPr>
      </w:r>
      <w:r>
        <w:rPr>
          <w:b/>
          <w:i w:val="0"/>
          <w:sz w:val="19"/>
        </w:rPr>
        <w:t>2002–2003</w:t>
      </w:r>
      <w:r>
        <w:rPr>
          <w:b w:val="0"/>
          <w:i w:val="0"/>
          <w:sz w:val="19"/>
        </w:rPr>
        <w:t>: Warned repeatedly that a "Tonkin Gulf scenario" was being prepared to justify the Iraq War — a warning fully vindicated by the fabricated WMD intelligence</w:t>
      </w:r>
    </w:p>
    <w:p>
      <w:pPr>
        <w:pStyle w:val="ListBullet"/>
        <w:spacing w:before="20" w:after="20"/>
      </w:pPr>
      <w:r>
        <w:rPr>
          <w:b w:val="0"/>
          <w:i w:val="0"/>
          <w:sz w:val="19"/>
        </w:rPr>
      </w:r>
      <w:r>
        <w:rPr>
          <w:b/>
          <w:i w:val="0"/>
          <w:sz w:val="19"/>
        </w:rPr>
        <w:t>2006</w:t>
      </w:r>
      <w:r>
        <w:rPr>
          <w:b w:val="0"/>
          <w:i w:val="0"/>
          <w:sz w:val="19"/>
        </w:rPr>
        <w:t>: Publicly supported Chelsea Manning and WikiLeaks</w:t>
      </w:r>
    </w:p>
    <w:p>
      <w:pPr>
        <w:pStyle w:val="ListBullet"/>
        <w:spacing w:before="20" w:after="20"/>
      </w:pPr>
      <w:r>
        <w:rPr>
          <w:b w:val="0"/>
          <w:i w:val="0"/>
          <w:sz w:val="19"/>
        </w:rPr>
      </w:r>
      <w:r>
        <w:rPr>
          <w:b/>
          <w:i w:val="0"/>
          <w:sz w:val="19"/>
        </w:rPr>
        <w:t>2013</w:t>
      </w:r>
      <w:r>
        <w:rPr>
          <w:b w:val="0"/>
          <w:i w:val="0"/>
          <w:sz w:val="19"/>
        </w:rPr>
        <w:t>: Called Edward Snowden's NSA revelations "the most important leak in American history"</w:t>
      </w:r>
    </w:p>
    <w:p>
      <w:pPr>
        <w:pStyle w:val="ListBullet"/>
        <w:spacing w:before="20" w:after="20"/>
      </w:pPr>
      <w:r>
        <w:rPr>
          <w:b w:val="0"/>
          <w:i w:val="0"/>
          <w:sz w:val="19"/>
        </w:rPr>
      </w:r>
      <w:r>
        <w:rPr>
          <w:b/>
          <w:i w:val="0"/>
          <w:sz w:val="19"/>
        </w:rPr>
        <w:t>2017</w:t>
      </w:r>
      <w:r>
        <w:rPr>
          <w:b w:val="0"/>
          <w:i w:val="0"/>
          <w:sz w:val="19"/>
        </w:rPr>
        <w:t>: Publicly defended Julian Assange and WikiLeaks' right to publish classified material</w:t>
      </w:r>
    </w:p>
    <w:p>
      <w:pPr>
        <w:pStyle w:val="ListBullet"/>
        <w:spacing w:before="20" w:after="20"/>
      </w:pPr>
      <w:r>
        <w:rPr>
          <w:b w:val="0"/>
          <w:i w:val="0"/>
          <w:sz w:val="19"/>
        </w:rPr>
      </w:r>
      <w:r>
        <w:rPr>
          <w:b/>
          <w:i w:val="0"/>
          <w:sz w:val="19"/>
        </w:rPr>
        <w:t>2021</w:t>
      </w:r>
      <w:r>
        <w:rPr>
          <w:b w:val="0"/>
          <w:i w:val="0"/>
          <w:sz w:val="19"/>
        </w:rPr>
        <w:t xml:space="preserve">: At age 90, released the classified 1958 Taiwan Strait crisis documents revealing U.S. plans for nuclear strikes on China that projected </w:t>
      </w:r>
      <w:r>
        <w:rPr>
          <w:b/>
          <w:i w:val="0"/>
          <w:sz w:val="19"/>
        </w:rPr>
        <w:t>600 million deaths</w:t>
      </w:r>
      <w:r>
        <w:rPr>
          <w:b w:val="0"/>
          <w:i w:val="0"/>
          <w:sz w:val="19"/>
        </w:rPr>
      </w:r>
    </w:p>
    <w:p>
      <w:pPr>
        <w:pStyle w:val="ListBullet"/>
        <w:spacing w:before="20" w:after="20"/>
      </w:pPr>
      <w:r>
        <w:rPr>
          <w:b w:val="0"/>
          <w:i w:val="0"/>
          <w:sz w:val="19"/>
        </w:rPr>
      </w:r>
      <w:r>
        <w:rPr>
          <w:b/>
          <w:i w:val="0"/>
          <w:sz w:val="19"/>
        </w:rPr>
        <w:t>2023</w:t>
      </w:r>
      <w:r>
        <w:rPr>
          <w:b w:val="0"/>
          <w:i w:val="0"/>
          <w:sz w:val="19"/>
        </w:rPr>
        <w:t>: Died June 16, age 92, from pancreatic cancer. Announced his diagnosis publicly and continued advocacy until his death</w:t>
      </w:r>
    </w:p>
    <w:p>
      <w:pPr>
        <w:pStyle w:val="Heading3"/>
      </w:pPr>
      <w:r>
        <w:t>The Antibody Function</w:t>
      </w:r>
    </w:p>
    <w:p>
      <w:r>
        <w:rPr>
          <w:b w:val="0"/>
          <w:i w:val="0"/>
        </w:rPr>
        <w:t xml:space="preserve">Richard Holbrooke called Ellsberg </w:t>
      </w:r>
      <w:r>
        <w:rPr>
          <w:b w:val="0"/>
          <w:i/>
        </w:rPr>
        <w:t>"one of those accidental characters of history who show the pattern of a whole era."</w:t>
      </w:r>
      <w:r>
        <w:rPr>
          <w:b w:val="0"/>
          <w:i w:val="0"/>
        </w:rPr>
        <w:t xml:space="preserve"> But Ellsberg was not accidental. He was a Marine officer, a RAND strategic analyst, a Pentagon insider — a man trained by the system to serve the system. His defection was not ideological (he was a Cold War hawk before Vietnam) but </w:t>
      </w:r>
      <w:r>
        <w:rPr>
          <w:b/>
          <w:i w:val="0"/>
        </w:rPr>
        <w:t>evidentiary</w:t>
      </w:r>
      <w:r>
        <w:rPr>
          <w:b w:val="0"/>
          <w:i w:val="0"/>
        </w:rPr>
        <w:t>: he saw the classified record and concluded that the government was lying to the people whose sons were dying.</w:t>
      </w:r>
    </w:p>
    <w:p>
      <w:r>
        <w:rPr>
          <w:b w:val="0"/>
          <w:i w:val="0"/>
        </w:rPr>
        <w:t>The Pentagon Papers did not end the Vietnam War immediately. But they shattered the presumption of governmental honesty that had sustained the war's public support. Every subsequent whistleblower — Manning, Snowden, Assange, Reality Winner — operates in the legal, cultural, and psychological space that Ellsberg created.</w:t>
      </w:r>
    </w:p>
    <w:p>
      <w:pPr>
        <w:pBdr>
          <w:bottom w:val="single" w:sz="6" w:space="1" w:color="CCCCCC"/>
        </w:pBdr>
      </w:pPr>
    </w:p>
    <w:p>
      <w:pPr>
        <w:pStyle w:val="Heading2"/>
      </w:pPr>
      <w:r>
        <w:t>Sources</w:t>
      </w:r>
    </w:p>
    <w:p>
      <w:pPr>
        <w:pStyle w:val="Heading3"/>
      </w:pPr>
      <w:r>
        <w:t>Lewis</w:t>
      </w:r>
    </w:p>
    <w:p>
      <w:pPr>
        <w:pStyle w:val="ListBullet"/>
        <w:spacing w:before="20" w:after="20"/>
      </w:pPr>
      <w:r>
        <w:rPr>
          <w:b w:val="0"/>
          <w:i w:val="0"/>
          <w:sz w:val="19"/>
        </w:rPr>
        <w:t xml:space="preserve">Lewis, C.S. </w:t>
      </w:r>
      <w:r>
        <w:rPr>
          <w:b w:val="0"/>
          <w:i/>
          <w:sz w:val="19"/>
        </w:rPr>
        <w:t>The Discarded Image: An Introduction to Medieval and Renaissance Literature.</w:t>
      </w:r>
      <w:r>
        <w:rPr>
          <w:b w:val="0"/>
          <w:i w:val="0"/>
          <w:sz w:val="19"/>
        </w:rPr>
        <w:t xml:space="preserve"> Cambridge, 1964.</w:t>
      </w:r>
    </w:p>
    <w:p>
      <w:pPr>
        <w:pStyle w:val="ListBullet"/>
        <w:spacing w:before="20" w:after="20"/>
      </w:pPr>
      <w:r>
        <w:rPr>
          <w:b w:val="0"/>
          <w:i w:val="0"/>
          <w:sz w:val="19"/>
        </w:rPr>
        <w:t xml:space="preserve">Lewis, C.S. </w:t>
      </w:r>
      <w:r>
        <w:rPr>
          <w:b w:val="0"/>
          <w:i/>
          <w:sz w:val="19"/>
        </w:rPr>
        <w:t>That Hideous Strength.</w:t>
      </w:r>
      <w:r>
        <w:rPr>
          <w:b w:val="0"/>
          <w:i w:val="0"/>
          <w:sz w:val="19"/>
        </w:rPr>
        <w:t xml:space="preserve"> London: John Lane, The Bodley Head, 1945.</w:t>
      </w:r>
    </w:p>
    <w:p>
      <w:pPr>
        <w:pStyle w:val="ListBullet"/>
        <w:spacing w:before="20" w:after="20"/>
      </w:pPr>
      <w:r>
        <w:rPr>
          <w:b w:val="0"/>
          <w:i w:val="0"/>
          <w:sz w:val="19"/>
        </w:rPr>
        <w:t xml:space="preserve">Lewis, C.S. </w:t>
      </w:r>
      <w:r>
        <w:rPr>
          <w:b w:val="0"/>
          <w:i/>
          <w:sz w:val="19"/>
        </w:rPr>
        <w:t>Out of the Silent Planet.</w:t>
      </w:r>
      <w:r>
        <w:rPr>
          <w:b w:val="0"/>
          <w:i w:val="0"/>
          <w:sz w:val="19"/>
        </w:rPr>
        <w:t xml:space="preserve"> London: John Lane, The Bodley Head, 1938.</w:t>
      </w:r>
    </w:p>
    <w:p>
      <w:pPr>
        <w:pStyle w:val="ListBullet"/>
        <w:spacing w:before="20" w:after="20"/>
      </w:pPr>
      <w:r>
        <w:rPr>
          <w:b w:val="0"/>
          <w:i w:val="0"/>
          <w:sz w:val="19"/>
        </w:rPr>
        <w:t xml:space="preserve">Ward, Michael. </w:t>
      </w:r>
      <w:r>
        <w:rPr>
          <w:b w:val="0"/>
          <w:i/>
          <w:sz w:val="19"/>
        </w:rPr>
        <w:t>Planet Narnia: The Seven Heavens in the Imagination of C.S. Lewis.</w:t>
      </w:r>
      <w:r>
        <w:rPr>
          <w:b w:val="0"/>
          <w:i w:val="0"/>
          <w:sz w:val="19"/>
        </w:rPr>
        <w:t xml:space="preserve"> Oxford University Press, 2008.</w:t>
      </w:r>
    </w:p>
    <w:p>
      <w:pPr>
        <w:pStyle w:val="Heading3"/>
      </w:pPr>
      <w:r>
        <w:t>Ellsberg</w:t>
      </w:r>
    </w:p>
    <w:p>
      <w:pPr>
        <w:pStyle w:val="ListBullet"/>
        <w:spacing w:before="20" w:after="20"/>
      </w:pPr>
      <w:r>
        <w:rPr>
          <w:b w:val="0"/>
          <w:i w:val="0"/>
          <w:sz w:val="19"/>
        </w:rPr>
        <w:t xml:space="preserve">Ellsberg, Daniel. </w:t>
      </w:r>
      <w:r>
        <w:rPr>
          <w:b w:val="0"/>
          <w:i/>
          <w:sz w:val="19"/>
        </w:rPr>
        <w:t>Secrets: A Memoir of Vietnam and the Pentagon Papers.</w:t>
      </w:r>
      <w:r>
        <w:rPr>
          <w:b w:val="0"/>
          <w:i w:val="0"/>
          <w:sz w:val="19"/>
        </w:rPr>
        <w:t xml:space="preserve"> Viking, 2002.</w:t>
      </w:r>
    </w:p>
    <w:p>
      <w:pPr>
        <w:pStyle w:val="ListBullet"/>
        <w:spacing w:before="20" w:after="20"/>
      </w:pPr>
      <w:r>
        <w:rPr>
          <w:b w:val="0"/>
          <w:i w:val="0"/>
          <w:sz w:val="19"/>
        </w:rPr>
        <w:t xml:space="preserve">McNamara, Robert S. </w:t>
      </w:r>
      <w:r>
        <w:rPr>
          <w:b w:val="0"/>
          <w:i/>
          <w:sz w:val="19"/>
        </w:rPr>
        <w:t>The Fog of War: Eleven Lessons from the Life of Robert S. McNamara</w:t>
      </w:r>
      <w:r>
        <w:rPr>
          <w:b w:val="0"/>
          <w:i w:val="0"/>
          <w:sz w:val="19"/>
        </w:rPr>
        <w:t xml:space="preserve"> (documentary). Dir. Errol Morris. Sony Pictures Classics, 2003.</w:t>
      </w:r>
    </w:p>
    <w:p>
      <w:pPr>
        <w:pStyle w:val="ListBullet"/>
        <w:spacing w:before="20" w:after="20"/>
      </w:pPr>
      <w:r>
        <w:rPr>
          <w:b w:val="0"/>
          <w:i w:val="0"/>
          <w:sz w:val="19"/>
        </w:rPr>
        <w:t xml:space="preserve">Hanyok, Robert J. "Skunks, Bogies, Silent Hounds, and the Flying Fish: The Gulf of Tonkin Mystery, 2–4 August 1964." </w:t>
      </w:r>
      <w:r>
        <w:rPr>
          <w:b w:val="0"/>
          <w:i/>
          <w:sz w:val="19"/>
        </w:rPr>
        <w:t>Cryptologic Quarterly</w:t>
      </w:r>
      <w:r>
        <w:rPr>
          <w:b w:val="0"/>
          <w:i w:val="0"/>
          <w:sz w:val="19"/>
        </w:rPr>
        <w:t xml:space="preserve"> (NSA), 2001. Declassified 2005.</w:t>
      </w:r>
    </w:p>
    <w:p>
      <w:pPr>
        <w:pStyle w:val="ListBullet"/>
        <w:spacing w:before="20" w:after="20"/>
      </w:pPr>
      <w:r>
        <w:rPr>
          <w:b w:val="0"/>
          <w:i/>
          <w:sz w:val="19"/>
        </w:rPr>
        <w:t>The Pentagon Papers</w:t>
      </w:r>
      <w:r>
        <w:rPr>
          <w:b w:val="0"/>
          <w:i w:val="0"/>
          <w:sz w:val="19"/>
        </w:rPr>
        <w:t xml:space="preserve"> (TV movie). Dir. Rod Holcomb. Perf. James Spader. FX Networks, 2003.</w:t>
      </w:r>
    </w:p>
    <w:p>
      <w:pPr>
        <w:pStyle w:val="ListBullet"/>
        <w:spacing w:before="20" w:after="20"/>
      </w:pPr>
      <w:r>
        <w:rPr>
          <w:b w:val="0"/>
          <w:i/>
          <w:sz w:val="19"/>
        </w:rPr>
        <w:t>The Most Dangerous Man in America: Daniel Ellsberg and the Pentagon Papers</w:t>
      </w:r>
      <w:r>
        <w:rPr>
          <w:b w:val="0"/>
          <w:i w:val="0"/>
          <w:sz w:val="19"/>
        </w:rPr>
        <w:t xml:space="preserve"> (documentary). Dir. Judith Ehrlich, Rick Goldsmith. First Run Features, 2009.</w:t>
      </w:r>
    </w:p>
    <w:p>
      <w:pPr>
        <w:pStyle w:val="ListBullet"/>
        <w:spacing w:before="20" w:after="20"/>
      </w:pPr>
      <w:r>
        <w:rPr>
          <w:b w:val="0"/>
          <w:i w:val="0"/>
          <w:sz w:val="19"/>
        </w:rPr>
        <w:t xml:space="preserve">Stockdale, James B. </w:t>
      </w:r>
      <w:r>
        <w:rPr>
          <w:b w:val="0"/>
          <w:i/>
          <w:sz w:val="19"/>
        </w:rPr>
        <w:t>In Love and War.</w:t>
      </w:r>
      <w:r>
        <w:rPr>
          <w:b w:val="0"/>
          <w:i w:val="0"/>
          <w:sz w:val="19"/>
        </w:rPr>
        <w:t xml:space="preserve"> Harper &amp; Row, 1984.</w:t>
      </w:r>
    </w:p>
    <w:p>
      <w:pPr>
        <w:pStyle w:val="ListBullet"/>
        <w:spacing w:before="20" w:after="20"/>
      </w:pPr>
      <w:r>
        <w:rPr>
          <w:b w:val="0"/>
          <w:i w:val="0"/>
          <w:sz w:val="19"/>
        </w:rPr>
        <w:t xml:space="preserve">Moise, Edwin E. </w:t>
      </w:r>
      <w:r>
        <w:rPr>
          <w:b w:val="0"/>
          <w:i/>
          <w:sz w:val="19"/>
        </w:rPr>
        <w:t>Tonkin Gulf and the Escalation of the Vietnam War.</w:t>
      </w:r>
      <w:r>
        <w:rPr>
          <w:b w:val="0"/>
          <w:i w:val="0"/>
          <w:sz w:val="19"/>
        </w:rPr>
        <w:t xml:space="preserve"> University of North Carolina Press, 1996.</w:t>
      </w:r>
    </w:p>
    <w:p/>
    <w:p>
      <w:pPr>
        <w:sectPr>
          <w:headerReference w:type="default" r:id="rId81"/>
          <w:footerReference w:type="default" r:id="rId82"/>
          <w:pgSz w:w="8640" w:h="12960"/>
          <w:pgMar w:top="1020" w:right="1134" w:bottom="1134" w:left="1134" w:header="720" w:footer="720" w:gutter="0"/>
          <w:cols w:space="720"/>
          <w:titlePg/>
          <w:docGrid w:linePitch="360"/>
        </w:sectPr>
      </w:pPr>
    </w:p>
    <w:p>
      <w:pPr>
        <w:pStyle w:val="Heading2"/>
      </w:pPr>
      <w:r>
        <w:rPr>
          <w:b/>
        </w:rPr>
        <w:t>Chapter 6: False Flags Investigation: Evidence Dossier</w:t>
      </w:r>
    </w:p>
    <w:p>
      <w:r>
        <w:rPr>
          <w:b w:val="0"/>
          <w:i w:val="0"/>
        </w:rPr>
        <w:t xml:space="preserve">This appendix collects the primary source evidence, references, and detailed analysis supporting the </w:t>
      </w:r>
      <w:hyperlink r:id="rId60">
        <w:r>
          <w:rPr>
            <w:b w:val="0"/>
            <w:i w:val="0"/>
            <w:color w:val="B8860B"/>
          </w:rPr>
          <w:t>False Flags</w:t>
        </w:r>
      </w:hyperlink>
      <w:r>
        <w:rPr>
          <w:b w:val="0"/>
          <w:i w:val="0"/>
        </w:rPr>
        <w:t xml:space="preserve"> article. Material is organised by event and by evidentiary category.</w:t>
      </w:r>
    </w:p>
    <w:p>
      <w:pPr>
        <w:pBdr>
          <w:bottom w:val="single" w:sz="6" w:space="1" w:color="CCCCCC"/>
        </w:pBdr>
      </w:pPr>
    </w:p>
    <w:p>
      <w:pPr>
        <w:pStyle w:val="Heading2"/>
      </w:pPr>
      <w:r>
        <w:t>I. Pearl Harbor: The Evidence of Advance Knowledge</w:t>
      </w:r>
    </w:p>
    <w:p>
      <w:pPr>
        <w:pStyle w:val="Heading3"/>
      </w:pPr>
      <w:r>
        <w:t>A. The McCollum Memo (October 7, 1940)</w:t>
      </w:r>
    </w:p>
    <w:p>
      <w:r>
        <w:rPr>
          <w:b w:val="0"/>
          <w:i w:val="0"/>
        </w:rPr>
        <w:t xml:space="preserve">Lieutenant Commander Arthur H. McCollum, Office of Naval Intelligence, submitted a memorandum to Navy Captains Walter S. Anderson and Dudley Knox. The memo — classified until 1994 — outlined eight specific provocations designed to lead Japan into an overt act of war. The concluding line: </w:t>
      </w:r>
      <w:r>
        <w:rPr>
          <w:b w:val="0"/>
          <w:i/>
        </w:rPr>
        <w:t>"If by these means Japan could be led to commit an overt act of war, so much the better."</w:t>
      </w:r>
    </w:p>
    <w:p>
      <w:r>
        <w:rPr>
          <w:b w:val="0"/>
          <w:i w:val="0"/>
        </w:rPr>
        <w:t xml:space="preserve">Full text declassified and published in Robert Stinnett, </w:t>
      </w:r>
      <w:r>
        <w:rPr>
          <w:b w:val="0"/>
          <w:i/>
        </w:rPr>
        <w:t>Day of Deceit</w:t>
      </w:r>
      <w:r>
        <w:rPr>
          <w:b w:val="0"/>
          <w:i w:val="0"/>
        </w:rPr>
        <w:t xml:space="preserve"> (2000), pp. 275–277. Stinnett claims all eight action items were implemented. Critics note there is no paper trail proving Roosevelt personally saw the memo, but the circumstantial evidence is strong: Roosevelt's own policies mirror the eight points exactly.</w:t>
      </w:r>
    </w:p>
    <w:p>
      <w:r>
        <w:rPr>
          <w:b w:val="0"/>
          <w:i w:val="0"/>
        </w:rPr>
      </w:r>
      <w:r>
        <w:rPr>
          <w:b/>
          <w:i w:val="0"/>
        </w:rPr>
        <w:t>Source:</w:t>
      </w:r>
      <w:r>
        <w:rPr>
          <w:b w:val="0"/>
          <w:i w:val="0"/>
        </w:rPr>
        <w:t xml:space="preserve"> </w:t>
      </w:r>
      <w:hyperlink r:id="rId86">
        <w:r>
          <w:rPr>
            <w:b w:val="0"/>
            <w:i w:val="0"/>
            <w:color w:val="B8860B"/>
          </w:rPr>
          <w:t>McCollum Memo</w:t>
        </w:r>
      </w:hyperlink>
      <w:r>
        <w:rPr>
          <w:b w:val="0"/>
          <w:i w:val="0"/>
        </w:rPr>
        <w:t>, National Archives.</w:t>
      </w:r>
    </w:p>
    <w:p>
      <w:pPr>
        <w:pStyle w:val="Heading3"/>
      </w:pPr>
      <w:r>
        <w:t>B. The Purple Code and Withheld Intelligence</w:t>
      </w:r>
    </w:p>
    <w:p>
      <w:r>
        <w:rPr>
          <w:b w:val="0"/>
          <w:i w:val="0"/>
        </w:rPr>
        <w:t>The U.S. Army cryptographers broke Japan's highest-security diplomatic code ("Purple") in 1940. Decrypted intercepts — codenamed "Magic" — were delivered to senior officials including Roosevelt almost daily.</w:t>
      </w:r>
    </w:p>
    <w:p>
      <w:r>
        <w:rPr>
          <w:b w:val="0"/>
          <w:i w:val="0"/>
        </w:rPr>
        <w:t xml:space="preserve">A 14-part message decoded on December 6–7, 1941, made plain Japan's intention to break off diplomatic relations. Roosevelt, upon reading just 13 parts, reportedly declared: </w:t>
      </w:r>
      <w:r>
        <w:rPr>
          <w:b w:val="0"/>
          <w:i/>
        </w:rPr>
        <w:t>"This means war."</w:t>
      </w:r>
      <w:r>
        <w:rPr>
          <w:b w:val="0"/>
          <w:i w:val="0"/>
        </w:rPr>
        <w:t xml:space="preserve"> General Marshall ordered a warning sent to Pacific bases, but due to "atmospheric transmission conditions" the message was sent via Western Union rather than military radio — and arrived </w:t>
      </w:r>
      <w:r>
        <w:rPr>
          <w:b/>
          <w:i w:val="0"/>
        </w:rPr>
        <w:t>after the attack was already underway</w:t>
      </w:r>
      <w:r>
        <w:rPr>
          <w:b w:val="0"/>
          <w:i w:val="0"/>
        </w:rPr>
        <w:t>.</w:t>
      </w:r>
    </w:p>
    <w:p>
      <w:r>
        <w:rPr>
          <w:b w:val="0"/>
          <w:i w:val="0"/>
        </w:rPr>
        <w:t>Key intercepts that were not forwarded to Hawaiian commanders:</w:t>
      </w:r>
    </w:p>
    <w:p>
      <w:pPr>
        <w:pStyle w:val="ListBullet"/>
        <w:spacing w:before="20" w:after="20"/>
      </w:pPr>
      <w:r>
        <w:rPr>
          <w:b w:val="0"/>
          <w:i w:val="0"/>
          <w:sz w:val="19"/>
        </w:rPr>
        <w:t>November 24, 1941: Admiral Yamamoto to strike force — order to advance into Hawaiian waters</w:t>
      </w:r>
    </w:p>
    <w:p>
      <w:pPr>
        <w:pStyle w:val="ListBullet"/>
        <w:spacing w:before="20" w:after="20"/>
      </w:pPr>
      <w:r>
        <w:rPr>
          <w:b w:val="0"/>
          <w:i w:val="0"/>
          <w:sz w:val="19"/>
        </w:rPr>
        <w:t>Station H, Hawaii, intercepted multiple messages indicating intentions of war in the days before December 7</w:t>
      </w:r>
    </w:p>
    <w:p>
      <w:pPr>
        <w:pStyle w:val="ListBullet"/>
        <w:spacing w:before="20" w:after="20"/>
      </w:pPr>
      <w:r>
        <w:rPr>
          <w:b w:val="0"/>
          <w:i w:val="0"/>
          <w:sz w:val="19"/>
        </w:rPr>
        <w:t>None were forwarded to Admiral Kimmel or General Short</w:t>
      </w:r>
    </w:p>
    <w:p>
      <w:r>
        <w:rPr>
          <w:b w:val="0"/>
          <w:i w:val="0"/>
        </w:rPr>
      </w:r>
      <w:r>
        <w:rPr>
          <w:b/>
          <w:i w:val="0"/>
        </w:rPr>
        <w:t>Sources:</w:t>
      </w:r>
      <w:r>
        <w:rPr>
          <w:b w:val="0"/>
          <w:i w:val="0"/>
        </w:rPr>
        <w:t xml:space="preserve"> Clausen &amp; Lee, </w:t>
      </w:r>
      <w:r>
        <w:rPr>
          <w:b w:val="0"/>
          <w:i/>
        </w:rPr>
        <w:t>Pearl Harbor: Final Judgement</w:t>
      </w:r>
      <w:r>
        <w:rPr>
          <w:b w:val="0"/>
          <w:i w:val="0"/>
        </w:rPr>
        <w:t xml:space="preserve"> (2001); Stinnett, </w:t>
      </w:r>
      <w:r>
        <w:rPr>
          <w:b w:val="0"/>
          <w:i/>
        </w:rPr>
        <w:t>Day of Deceit</w:t>
      </w:r>
      <w:r>
        <w:rPr>
          <w:b w:val="0"/>
          <w:i w:val="0"/>
        </w:rPr>
        <w:t xml:space="preserve">; </w:t>
      </w:r>
      <w:hyperlink r:id="rId87">
        <w:r>
          <w:rPr>
            <w:b w:val="0"/>
            <w:i w:val="0"/>
            <w:color w:val="B8860B"/>
          </w:rPr>
          <w:t>Pearl Harbor advance-knowledge conspiracy theory</w:t>
        </w:r>
      </w:hyperlink>
      <w:r>
        <w:rPr>
          <w:b w:val="0"/>
          <w:i w:val="0"/>
        </w:rPr>
        <w:t>.</w:t>
      </w:r>
    </w:p>
    <w:p>
      <w:pPr>
        <w:pStyle w:val="Heading3"/>
      </w:pPr>
      <w:r>
        <w:t>C. Statements by Officials</w:t>
      </w:r>
    </w:p>
    <w:p>
      <w:r>
        <w:rPr>
          <w:b w:val="0"/>
          <w:i w:val="0"/>
        </w:rPr>
      </w:r>
      <w:r>
        <w:rPr>
          <w:b/>
          <w:i w:val="0"/>
        </w:rPr>
        <w:t>Rear Admiral Frank Beatty</w:t>
      </w:r>
      <w:r>
        <w:rPr>
          <w:b w:val="0"/>
          <w:i w:val="0"/>
        </w:rPr>
        <w:t xml:space="preserve"> (aide to Secretary Knox, close to FDR's inner circle):</w:t>
      </w:r>
    </w:p>
    <w:p>
      <w:pPr>
        <w:pStyle w:val="Quote"/>
      </w:pPr>
      <w:r>
        <w:rPr>
          <w:b w:val="0"/>
          <w:i/>
          <w:sz w:val="19"/>
        </w:rPr>
        <w:t>"Prior to December 7, it was evident even to me... that we were pushing Japan into a corner. I believed that it was the desire of President Roosevelt, and Prime Minister Churchill, that we get into the war, as they felt the Allies could not win without us and all our efforts to cause the Germans to declare war on us failed."</w:t>
      </w:r>
    </w:p>
    <w:p>
      <w:r>
        <w:rPr>
          <w:b w:val="0"/>
          <w:i w:val="0"/>
        </w:rPr>
      </w:r>
      <w:r>
        <w:rPr>
          <w:b/>
          <w:i w:val="0"/>
        </w:rPr>
        <w:t>Jonathan Daniels</w:t>
      </w:r>
      <w:r>
        <w:rPr>
          <w:b w:val="0"/>
          <w:i w:val="0"/>
        </w:rPr>
        <w:t xml:space="preserve"> (FDR's administrative assistant):</w:t>
      </w:r>
    </w:p>
    <w:p>
      <w:pPr>
        <w:pStyle w:val="Quote"/>
      </w:pPr>
      <w:r>
        <w:rPr>
          <w:b w:val="0"/>
          <w:i w:val="0"/>
          <w:sz w:val="19"/>
        </w:rPr>
        <w:t xml:space="preserve">On Roosevelt's reaction to the attack: </w:t>
      </w:r>
      <w:r>
        <w:rPr>
          <w:b w:val="0"/>
          <w:i/>
          <w:sz w:val="19"/>
        </w:rPr>
        <w:t>"The blow was heavier than he had hoped it would necessarily be. But the risks paid off; even the loss was worth the price."</w:t>
      </w:r>
    </w:p>
    <w:p>
      <w:r>
        <w:rPr>
          <w:b w:val="0"/>
          <w:i w:val="0"/>
        </w:rPr>
      </w:r>
      <w:r>
        <w:rPr>
          <w:b/>
          <w:i w:val="0"/>
        </w:rPr>
        <w:t>Secretary Stimson's Diary:</w:t>
      </w:r>
      <w:r>
        <w:rPr>
          <w:b w:val="0"/>
          <w:i w:val="0"/>
        </w:rPr>
      </w:r>
    </w:p>
    <w:p>
      <w:pPr>
        <w:pStyle w:val="Quote"/>
      </w:pPr>
      <w:r>
        <w:rPr>
          <w:b w:val="0"/>
          <w:i/>
          <w:sz w:val="19"/>
        </w:rPr>
        <w:t>"In spite of the risk involved, however, in letting the Japanese fire the first shot, we realized that in order to have the full support of the American people, it was desirable to make sure that the Japanese be the ones to do this, so that there should remain no doubt in anyone's mind as to who were the aggressors."</w:t>
      </w:r>
    </w:p>
    <w:p>
      <w:r>
        <w:rPr>
          <w:b w:val="0"/>
          <w:i w:val="0"/>
        </w:rPr>
      </w:r>
      <w:r>
        <w:rPr>
          <w:b/>
          <w:i w:val="0"/>
        </w:rPr>
        <w:t>Vice Admiral Libby:</w:t>
      </w:r>
      <w:r>
        <w:rPr>
          <w:b w:val="0"/>
          <w:i w:val="0"/>
        </w:rPr>
      </w:r>
    </w:p>
    <w:p>
      <w:pPr>
        <w:pStyle w:val="Quote"/>
      </w:pPr>
      <w:r>
        <w:rPr>
          <w:b w:val="0"/>
          <w:i/>
          <w:sz w:val="19"/>
        </w:rPr>
        <w:t>"I will go to my grave convinced that FDR ordered Pearl Harbor to let happen."</w:t>
      </w:r>
    </w:p>
    <w:p>
      <w:r>
        <w:rPr>
          <w:b w:val="0"/>
          <w:i w:val="0"/>
        </w:rPr>
      </w:r>
      <w:r>
        <w:rPr>
          <w:b/>
          <w:i w:val="0"/>
        </w:rPr>
        <w:t>Admiral Kimmel:</w:t>
      </w:r>
      <w:r>
        <w:rPr>
          <w:b w:val="0"/>
          <w:i w:val="0"/>
        </w:rPr>
      </w:r>
    </w:p>
    <w:p>
      <w:pPr>
        <w:pStyle w:val="Quote"/>
      </w:pPr>
      <w:r>
        <w:rPr>
          <w:b w:val="0"/>
          <w:i/>
          <w:sz w:val="19"/>
        </w:rPr>
        <w:t>"I'll tell you what I believe. I think that most of the incriminating records have been destroyed. I doubt if the truth will ever emerge."</w:t>
      </w:r>
    </w:p>
    <w:p>
      <w:r>
        <w:rPr>
          <w:b w:val="0"/>
          <w:i w:val="0"/>
        </w:rPr>
      </w:r>
      <w:r>
        <w:rPr>
          <w:b/>
          <w:i w:val="0"/>
        </w:rPr>
        <w:t>Oliver Lyttelton</w:t>
      </w:r>
      <w:r>
        <w:rPr>
          <w:b w:val="0"/>
          <w:i w:val="0"/>
        </w:rPr>
        <w:t xml:space="preserve"> (British Minister of War Production):</w:t>
      </w:r>
    </w:p>
    <w:p>
      <w:pPr>
        <w:pStyle w:val="Quote"/>
      </w:pPr>
      <w:r>
        <w:rPr>
          <w:b w:val="0"/>
          <w:i/>
          <w:sz w:val="19"/>
        </w:rPr>
        <w:t>"Japan was provoked into attacking the Americans at Pearl Harbor. It is a travesty of history ever to say that America was forced into the war."</w:t>
      </w:r>
    </w:p>
    <w:p>
      <w:pPr>
        <w:pStyle w:val="Heading3"/>
      </w:pPr>
      <w:r>
        <w:t>D. The Missing Carriers and Expendable Fleet</w:t>
      </w:r>
    </w:p>
    <w:p>
      <w:r>
        <w:rPr>
          <w:b w:val="0"/>
          <w:i w:val="0"/>
        </w:rPr>
        <w:t>None of the three Pacific Fleet aircraft carriers were at Pearl Harbor during the attack:</w:t>
      </w:r>
    </w:p>
    <w:p>
      <w:pPr>
        <w:pStyle w:val="ListBullet"/>
        <w:spacing w:before="20" w:after="20"/>
      </w:pPr>
      <w:r>
        <w:rPr>
          <w:b w:val="0"/>
          <w:i w:val="0"/>
          <w:sz w:val="19"/>
        </w:rPr>
      </w:r>
      <w:r>
        <w:rPr>
          <w:b/>
          <w:i w:val="0"/>
          <w:sz w:val="19"/>
        </w:rPr>
        <w:t>USS Enterprise</w:t>
      </w:r>
      <w:r>
        <w:rPr>
          <w:b w:val="0"/>
          <w:i w:val="0"/>
          <w:sz w:val="19"/>
        </w:rPr>
        <w:t xml:space="preserve"> — delivering fighters to Wake Island (delayed by weather; originally due back December 6)</w:t>
      </w:r>
    </w:p>
    <w:p>
      <w:pPr>
        <w:pStyle w:val="ListBullet"/>
        <w:spacing w:before="20" w:after="20"/>
      </w:pPr>
      <w:r>
        <w:rPr>
          <w:b w:val="0"/>
          <w:i w:val="0"/>
          <w:sz w:val="19"/>
        </w:rPr>
      </w:r>
      <w:r>
        <w:rPr>
          <w:b/>
          <w:i w:val="0"/>
          <w:sz w:val="19"/>
        </w:rPr>
        <w:t>USS Lexington</w:t>
      </w:r>
      <w:r>
        <w:rPr>
          <w:b w:val="0"/>
          <w:i w:val="0"/>
          <w:sz w:val="19"/>
        </w:rPr>
        <w:t xml:space="preserve"> — delivering fighters to Midway Island</w:t>
      </w:r>
    </w:p>
    <w:p>
      <w:pPr>
        <w:pStyle w:val="ListBullet"/>
        <w:spacing w:before="20" w:after="20"/>
      </w:pPr>
      <w:r>
        <w:rPr>
          <w:b w:val="0"/>
          <w:i w:val="0"/>
          <w:sz w:val="19"/>
        </w:rPr>
      </w:r>
      <w:r>
        <w:rPr>
          <w:b/>
          <w:i w:val="0"/>
          <w:sz w:val="19"/>
        </w:rPr>
        <w:t>USS Saratoga</w:t>
      </w:r>
      <w:r>
        <w:rPr>
          <w:b w:val="0"/>
          <w:i w:val="0"/>
          <w:sz w:val="19"/>
        </w:rPr>
        <w:t xml:space="preserve"> — in routine refit at Puget Sound</w:t>
      </w:r>
    </w:p>
    <w:p>
      <w:r>
        <w:rPr>
          <w:b w:val="0"/>
          <w:i w:val="0"/>
        </w:rPr>
        <w:t xml:space="preserve">The ships that </w:t>
      </w:r>
      <w:r>
        <w:rPr>
          <w:b/>
          <w:i w:val="0"/>
        </w:rPr>
        <w:t>were</w:t>
      </w:r>
      <w:r>
        <w:rPr>
          <w:b w:val="0"/>
          <w:i w:val="0"/>
        </w:rPr>
        <w:t xml:space="preserve"> in port consisted primarily of obsolete battleships. Admiral Richardson had been relieved of command specifically for protesting the relocation of the fleet to the vulnerable Hawaiian position. No court martial was ever held for Kimmel or Short — because a trial would have required disclosure of the broken codes and withheld intelligence.</w:t>
      </w:r>
    </w:p>
    <w:p>
      <w:r>
        <w:rPr>
          <w:b w:val="0"/>
          <w:i w:val="0"/>
        </w:rPr>
      </w:r>
      <w:r>
        <w:rPr>
          <w:b/>
          <w:i w:val="0"/>
        </w:rPr>
        <w:t>Source:</w:t>
      </w:r>
      <w:r>
        <w:rPr>
          <w:b w:val="0"/>
          <w:i w:val="0"/>
        </w:rPr>
        <w:t xml:space="preserve"> Stinnett, </w:t>
      </w:r>
      <w:r>
        <w:rPr>
          <w:b w:val="0"/>
          <w:i/>
        </w:rPr>
        <w:t>Day of Deceit</w:t>
      </w:r>
      <w:r>
        <w:rPr>
          <w:b w:val="0"/>
          <w:i w:val="0"/>
        </w:rPr>
        <w:t xml:space="preserve">; </w:t>
      </w:r>
      <w:hyperlink r:id="rId88">
        <w:r>
          <w:rPr>
            <w:b w:val="0"/>
            <w:i w:val="0"/>
            <w:color w:val="B8860B"/>
          </w:rPr>
          <w:t>ibiblio.org/pha/myths/Missing_Carriers</w:t>
        </w:r>
      </w:hyperlink>
      <w:r>
        <w:rPr>
          <w:b w:val="0"/>
          <w:i w:val="0"/>
        </w:rPr>
        <w:t>.</w:t>
      </w:r>
    </w:p>
    <w:p>
      <w:pPr>
        <w:pStyle w:val="Heading3"/>
      </w:pPr>
      <w:r>
        <w:t>E. Unreleased Classified Material</w:t>
      </w:r>
    </w:p>
    <w:p>
      <w:r>
        <w:rPr>
          <w:b w:val="0"/>
          <w:i w:val="0"/>
        </w:rPr>
        <w:t>Significant Pearl Harbor documents remain classified or have disappeared:</w:t>
      </w:r>
    </w:p>
    <w:p>
      <w:pPr>
        <w:pStyle w:val="ListBullet"/>
        <w:spacing w:before="20" w:after="20"/>
      </w:pPr>
      <w:r>
        <w:rPr>
          <w:b w:val="0"/>
          <w:i w:val="0"/>
          <w:sz w:val="19"/>
        </w:rPr>
        <w:t>Documents from Station H intercepts during November 1941 have not been fully declassified despite repeated FOIA requests</w:t>
      </w:r>
    </w:p>
    <w:p>
      <w:pPr>
        <w:pStyle w:val="ListBullet"/>
        <w:spacing w:before="20" w:after="20"/>
      </w:pPr>
      <w:r>
        <w:rPr>
          <w:b w:val="0"/>
          <w:i w:val="0"/>
          <w:sz w:val="19"/>
        </w:rPr>
        <w:t>Sheet No. 94644, noted as from Akagi's transmitter containing a "movement code" report (likely with a reported position), remains classified</w:t>
      </w:r>
    </w:p>
    <w:p>
      <w:pPr>
        <w:pStyle w:val="ListBullet"/>
        <w:spacing w:before="20" w:after="20"/>
      </w:pPr>
      <w:r>
        <w:rPr>
          <w:b w:val="0"/>
          <w:i w:val="0"/>
          <w:sz w:val="19"/>
        </w:rPr>
        <w:t>Lurline's radio logs, surrendered to Lt. Cmdr. George Pease at the 14th Naval District, have disappeared entirely</w:t>
      </w:r>
    </w:p>
    <w:p>
      <w:pPr>
        <w:pStyle w:val="ListBullet"/>
        <w:spacing w:before="20" w:after="20"/>
      </w:pPr>
      <w:r>
        <w:rPr>
          <w:b w:val="0"/>
          <w:i w:val="0"/>
          <w:sz w:val="19"/>
        </w:rPr>
        <w:t>Many documents were reportedly destroyed during the war "due to fears of a Japanese invasion of Hawaii"</w:t>
      </w:r>
    </w:p>
    <w:p>
      <w:r>
        <w:rPr>
          <w:b w:val="0"/>
          <w:i w:val="0"/>
        </w:rPr>
      </w:r>
      <w:r>
        <w:rPr>
          <w:b/>
          <w:i w:val="0"/>
        </w:rPr>
        <w:t>Source:</w:t>
      </w:r>
      <w:r>
        <w:rPr>
          <w:b w:val="0"/>
          <w:i w:val="0"/>
        </w:rPr>
        <w:t xml:space="preserve"> Wilford, </w:t>
      </w:r>
      <w:r>
        <w:rPr>
          <w:b w:val="0"/>
          <w:i/>
        </w:rPr>
        <w:t>Pearl Harbor Redefined: USN Radio Intelligence in 1941</w:t>
      </w:r>
      <w:r>
        <w:rPr>
          <w:b w:val="0"/>
          <w:i w:val="0"/>
        </w:rPr>
        <w:t xml:space="preserve"> (2001).</w:t>
      </w:r>
    </w:p>
    <w:p>
      <w:pPr>
        <w:pBdr>
          <w:bottom w:val="single" w:sz="6" w:space="1" w:color="CCCCCC"/>
        </w:pBdr>
      </w:pPr>
    </w:p>
    <w:p>
      <w:pPr>
        <w:pStyle w:val="Heading2"/>
      </w:pPr>
      <w:r>
        <w:t>II. The Nuclear Question</w:t>
      </w:r>
    </w:p>
    <w:p>
      <w:pPr>
        <w:pStyle w:val="Heading3"/>
      </w:pPr>
      <w:r>
        <w:t>A. Conventional Devastation vs. Atomic Claims</w:t>
      </w:r>
    </w:p>
    <w:p>
      <w:r>
        <w:rPr>
          <w:b w:val="0"/>
          <w:i w:val="0"/>
        </w:rPr>
        <w:t>Before Hiroshima (August 6, 1945), sixty-six Japanese cities had been area-bombed with napalm:</w:t>
      </w:r>
    </w:p>
    <w:p>
      <w:pPr>
        <w:pStyle w:val="ListBullet"/>
        <w:spacing w:before="20" w:after="20"/>
      </w:pPr>
      <w:r>
        <w:rPr>
          <w:b w:val="0"/>
          <w:i w:val="0"/>
          <w:sz w:val="19"/>
        </w:rPr>
      </w:r>
      <w:r>
        <w:rPr>
          <w:b/>
          <w:i w:val="0"/>
          <w:sz w:val="19"/>
        </w:rPr>
        <w:t>Tokyo, March 10, 1945:</w:t>
      </w:r>
      <w:r>
        <w:rPr>
          <w:b w:val="0"/>
          <w:i w:val="0"/>
          <w:sz w:val="19"/>
        </w:rPr>
        <w:t xml:space="preserve"> 279 B-29s dropped 1,665 tons of napalm. ~100,000 killed in a single night. 270,000 buildings destroyed</w:t>
      </w:r>
    </w:p>
    <w:p>
      <w:pPr>
        <w:pStyle w:val="ListBullet"/>
        <w:spacing w:before="20" w:after="20"/>
      </w:pPr>
      <w:r>
        <w:rPr>
          <w:b w:val="0"/>
          <w:i w:val="0"/>
          <w:sz w:val="19"/>
        </w:rPr>
        <w:t xml:space="preserve">Total conventional firebombing: </w:t>
      </w:r>
      <w:r>
        <w:rPr>
          <w:b/>
          <w:i w:val="0"/>
          <w:sz w:val="19"/>
        </w:rPr>
        <w:t>180 square miles</w:t>
      </w:r>
      <w:r>
        <w:rPr>
          <w:b w:val="0"/>
          <w:i w:val="0"/>
          <w:sz w:val="19"/>
        </w:rPr>
        <w:t xml:space="preserve"> of 67 cities destroyed, 300,000+ killed, 400,000+ injured</w:t>
      </w:r>
    </w:p>
    <w:p>
      <w:pPr>
        <w:pStyle w:val="ListBullet"/>
        <w:spacing w:before="20" w:after="20"/>
      </w:pPr>
      <w:r>
        <w:rPr>
          <w:b w:val="0"/>
          <w:i w:val="0"/>
          <w:sz w:val="19"/>
        </w:rPr>
        <w:t xml:space="preserve">Hiroshima and Nagasaki were </w:t>
      </w:r>
      <w:r>
        <w:rPr>
          <w:b/>
          <w:i w:val="0"/>
          <w:sz w:val="19"/>
        </w:rPr>
        <w:t>deliberately left unbombed</w:t>
      </w:r>
      <w:r>
        <w:rPr>
          <w:b w:val="0"/>
          <w:i w:val="0"/>
          <w:sz w:val="19"/>
        </w:rPr>
        <w:t xml:space="preserve"> prior to the atomic attacks to provide undamaged demonstration targets</w:t>
      </w:r>
    </w:p>
    <w:p>
      <w:r>
        <w:rPr>
          <w:b w:val="0"/>
          <w:i w:val="0"/>
        </w:rPr>
        <w:t xml:space="preserve">The destruction attributed to the atomic bombs was therefore presented to a public already accustomed to massive city-level destruction from conventional bombing — but packaged with an entirely new narrative of </w:t>
      </w:r>
      <w:r>
        <w:rPr>
          <w:b/>
          <w:i w:val="0"/>
        </w:rPr>
        <w:t>instantaneous vaporization</w:t>
      </w:r>
      <w:r>
        <w:rPr>
          <w:b w:val="0"/>
          <w:i w:val="0"/>
        </w:rPr>
        <w:t xml:space="preserve"> and </w:t>
      </w:r>
      <w:r>
        <w:rPr>
          <w:b/>
          <w:i w:val="0"/>
        </w:rPr>
        <w:t>radiation that killed for miles</w:t>
      </w:r>
      <w:r>
        <w:rPr>
          <w:b w:val="0"/>
          <w:i w:val="0"/>
        </w:rPr>
        <w:t>.</w:t>
      </w:r>
    </w:p>
    <w:p>
      <w:r>
        <w:rPr>
          <w:b w:val="0"/>
          <w:i w:val="0"/>
        </w:rPr>
      </w:r>
      <w:r>
        <w:rPr>
          <w:b/>
          <w:i w:val="0"/>
        </w:rPr>
        <w:t>Sources:</w:t>
      </w:r>
      <w:r>
        <w:rPr>
          <w:b w:val="0"/>
          <w:i w:val="0"/>
        </w:rPr>
      </w:r>
    </w:p>
    <w:p>
      <w:pPr>
        <w:pStyle w:val="ListBullet"/>
        <w:spacing w:before="20" w:after="20"/>
      </w:pPr>
      <w:hyperlink r:id="rId89">
        <w:r>
          <w:rPr>
            <w:b w:val="0"/>
            <w:i w:val="0"/>
            <w:color w:val="B8860B"/>
            <w:sz w:val="19"/>
          </w:rPr>
          <w:t>Napalm in World War II</w:t>
        </w:r>
      </w:hyperlink>
      <w:r>
        <w:rPr>
          <w:b w:val="0"/>
          <w:i w:val="0"/>
          <w:sz w:val="19"/>
        </w:rPr>
        <w:t xml:space="preserve"> — Berkeley CSTMS</w:t>
      </w:r>
    </w:p>
    <w:p>
      <w:pPr>
        <w:pStyle w:val="ListBullet"/>
        <w:spacing w:before="20" w:after="20"/>
      </w:pPr>
      <w:r>
        <w:rPr>
          <w:b w:val="0"/>
          <w:i w:val="0"/>
          <w:sz w:val="19"/>
        </w:rPr>
        <w:t xml:space="preserve">Mark Selden, </w:t>
      </w:r>
      <w:hyperlink r:id="rId90">
        <w:r>
          <w:rPr>
            <w:b w:val="0"/>
            <w:i w:val="0"/>
            <w:color w:val="B8860B"/>
            <w:sz w:val="19"/>
          </w:rPr>
          <w:t>"A Forgotten Holocaust"</w:t>
        </w:r>
      </w:hyperlink>
      <w:r>
        <w:rPr>
          <w:b w:val="0"/>
          <w:i w:val="0"/>
          <w:sz w:val="19"/>
        </w:rPr>
        <w:t xml:space="preserve"> — Asia Pacific Journal</w:t>
      </w:r>
    </w:p>
    <w:p>
      <w:pPr>
        <w:pStyle w:val="ListBullet"/>
        <w:spacing w:before="20" w:after="20"/>
      </w:pPr>
      <w:hyperlink r:id="rId91">
        <w:r>
          <w:rPr>
            <w:b w:val="0"/>
            <w:i w:val="0"/>
            <w:color w:val="B8860B"/>
            <w:sz w:val="19"/>
          </w:rPr>
          <w:t>heiwaco.tripod.com/bomb.htm</w:t>
        </w:r>
      </w:hyperlink>
    </w:p>
    <w:p>
      <w:pPr>
        <w:pStyle w:val="Heading3"/>
      </w:pPr>
      <w:r>
        <w:t>B. The DU Hypothesis</w:t>
      </w:r>
    </w:p>
    <w:p>
      <w:r>
        <w:rPr>
          <w:b w:val="0"/>
          <w:i w:val="0"/>
        </w:rPr>
        <w:t xml:space="preserve">The symptoms reported by Hiroshima and Nagasaki survivors — progressive wasting diseases, cancers developing over years, generational health effects — are more consistent with </w:t>
      </w:r>
      <w:r>
        <w:rPr>
          <w:b/>
          <w:i w:val="0"/>
        </w:rPr>
        <w:t>depleted uranium contamination</w:t>
      </w:r>
      <w:r>
        <w:rPr>
          <w:b w:val="0"/>
          <w:i w:val="0"/>
        </w:rPr>
        <w:t xml:space="preserve"> than with acute radiation from a fission weapon:</w:t>
      </w:r>
    </w:p>
    <w:p>
      <w:pPr>
        <w:pStyle w:val="ListBullet"/>
        <w:spacing w:before="20" w:after="20"/>
      </w:pPr>
      <w:r>
        <w:rPr>
          <w:b w:val="0"/>
          <w:i w:val="0"/>
          <w:sz w:val="19"/>
        </w:rPr>
        <w:t>DU produces chronic, energy-draining illness through heavy metal toxicity and low-level alpha radiation</w:t>
      </w:r>
    </w:p>
    <w:p>
      <w:pPr>
        <w:pStyle w:val="ListBullet"/>
        <w:spacing w:before="20" w:after="20"/>
      </w:pPr>
      <w:r>
        <w:rPr>
          <w:b w:val="0"/>
          <w:i w:val="0"/>
          <w:sz w:val="19"/>
        </w:rPr>
        <w:t xml:space="preserve">Clean fission radiation at sub-lethal doses can produce </w:t>
      </w:r>
      <w:hyperlink r:id="rId92">
        <w:r>
          <w:rPr>
            <w:b w:val="0"/>
            <w:i w:val="0"/>
            <w:color w:val="B8860B"/>
            <w:sz w:val="19"/>
          </w:rPr>
          <w:t>radiation hormesis</w:t>
        </w:r>
      </w:hyperlink>
      <w:r>
        <w:rPr>
          <w:b w:val="0"/>
          <w:i w:val="0"/>
          <w:sz w:val="19"/>
        </w:rPr>
        <w:t xml:space="preserve"> — paradoxical health benefits</w:t>
      </w:r>
    </w:p>
    <w:p>
      <w:pPr>
        <w:pStyle w:val="ListBullet"/>
        <w:spacing w:before="20" w:after="20"/>
      </w:pPr>
      <w:r>
        <w:rPr>
          <w:b w:val="0"/>
          <w:i w:val="0"/>
          <w:sz w:val="19"/>
        </w:rPr>
        <w:t>The pattern of illness in Japan more closely resembles DU exposure zones in Iraq and the Balkans than predicted fission-bomb radiation profiles</w:t>
      </w:r>
    </w:p>
    <w:p>
      <w:pPr>
        <w:pStyle w:val="Heading3"/>
      </w:pPr>
      <w:r>
        <w:t>C. The Tsar Bomba as Narrative Countermeasure</w:t>
      </w:r>
    </w:p>
    <w:p>
      <w:r>
        <w:rPr>
          <w:b w:val="0"/>
          <w:i w:val="0"/>
        </w:rPr>
        <w:t>The Soviet Union detonated the AN602 hydrogen bomb ("Tsar Bomba") on October 30, 1961 — a claimed 50-megaton yield, the largest nuclear device ever tested. The manufactured footage showed a staggering mushroom cloud and reports claimed shockwaves were detected worldwide.</w:t>
      </w:r>
    </w:p>
    <w:p>
      <w:r>
        <w:rPr>
          <w:b w:val="0"/>
          <w:i w:val="0"/>
        </w:rPr>
        <w:t xml:space="preserve">Whether the Tsar Bomba was real, exaggerated, or entirely fictional, its </w:t>
      </w:r>
      <w:r>
        <w:rPr>
          <w:b/>
          <w:i w:val="0"/>
        </w:rPr>
        <w:t>narrative function</w:t>
      </w:r>
      <w:r>
        <w:rPr>
          <w:b w:val="0"/>
          <w:i w:val="0"/>
        </w:rPr>
        <w:t xml:space="preserve"> was clear: it trapped the West in its own nuclear mythology. Having insisted that fission bombs could incinerate cities in an instant, the Americans could not deny the Soviet claim of a fusion bomb orders of magnitude more powerful. The result was Mutually Assured Destruction — a </w:t>
      </w:r>
      <w:r>
        <w:rPr>
          <w:b/>
          <w:i w:val="0"/>
        </w:rPr>
        <w:t>strategic equilibrium</w:t>
      </w:r>
      <w:r>
        <w:rPr>
          <w:b w:val="0"/>
          <w:i w:val="0"/>
        </w:rPr>
        <w:t xml:space="preserve"> that prevented either side from using nuclear threats for unilateral advantage.</w:t>
      </w:r>
    </w:p>
    <w:p>
      <w:r>
        <w:rPr>
          <w:b w:val="0"/>
          <w:i w:val="0"/>
        </w:rPr>
        <w:t xml:space="preserve">The Russian "fusion bomb" was thus a </w:t>
      </w:r>
      <w:r>
        <w:rPr>
          <w:b/>
          <w:i w:val="0"/>
        </w:rPr>
        <w:t>narrative antibody</w:t>
      </w:r>
      <w:r>
        <w:rPr>
          <w:b w:val="0"/>
          <w:i w:val="0"/>
        </w:rPr>
        <w:t xml:space="preserve"> against the Deep State's "fission bomb" fear campaign.</w:t>
      </w:r>
    </w:p>
    <w:p>
      <w:pPr>
        <w:pBdr>
          <w:bottom w:val="single" w:sz="6" w:space="1" w:color="CCCCCC"/>
        </w:pBdr>
      </w:pPr>
    </w:p>
    <w:p>
      <w:pPr>
        <w:pStyle w:val="Heading2"/>
      </w:pPr>
      <w:r>
        <w:t>III. The Battle of Los Angeles (February 24–25, 1942)</w:t>
      </w:r>
    </w:p>
    <w:p>
      <w:pPr>
        <w:pStyle w:val="Heading3"/>
      </w:pPr>
      <w:r>
        <w:t>Timeline of Events</w:t>
      </w:r>
    </w:p>
    <w:p>
      <w:pPr>
        <w:pStyle w:val="ListBullet"/>
        <w:spacing w:before="20" w:after="20"/>
      </w:pPr>
      <w:r>
        <w:rPr>
          <w:b w:val="0"/>
          <w:i w:val="0"/>
          <w:sz w:val="19"/>
        </w:rPr>
      </w:r>
      <w:r>
        <w:rPr>
          <w:b/>
          <w:i w:val="0"/>
          <w:sz w:val="19"/>
        </w:rPr>
        <w:t>February 23, 1942:</w:t>
      </w:r>
      <w:r>
        <w:rPr>
          <w:b w:val="0"/>
          <w:i w:val="0"/>
          <w:sz w:val="19"/>
        </w:rPr>
        <w:t xml:space="preserve"> Japanese submarine I-17 shells Ellwood Oil Field near Santa Barbara — minimal damage but enormous psychological impact</w:t>
      </w:r>
    </w:p>
    <w:p>
      <w:pPr>
        <w:pStyle w:val="ListBullet"/>
        <w:spacing w:before="20" w:after="20"/>
      </w:pPr>
      <w:r>
        <w:rPr>
          <w:b w:val="0"/>
          <w:i w:val="0"/>
          <w:sz w:val="19"/>
        </w:rPr>
      </w:r>
      <w:r>
        <w:rPr>
          <w:b/>
          <w:i w:val="0"/>
          <w:sz w:val="19"/>
        </w:rPr>
        <w:t>February 24, 7:18 PM:</w:t>
      </w:r>
      <w:r>
        <w:rPr>
          <w:b w:val="0"/>
          <w:i w:val="0"/>
          <w:sz w:val="19"/>
        </w:rPr>
        <w:t xml:space="preserve"> Alert called after ONI warning of expected attack within 10 hours; lifted at 10:23 PM</w:t>
      </w:r>
    </w:p>
    <w:p>
      <w:pPr>
        <w:pStyle w:val="ListBullet"/>
        <w:spacing w:before="20" w:after="20"/>
      </w:pPr>
      <w:r>
        <w:rPr>
          <w:b w:val="0"/>
          <w:i w:val="0"/>
          <w:sz w:val="19"/>
        </w:rPr>
      </w:r>
      <w:r>
        <w:rPr>
          <w:b/>
          <w:i w:val="0"/>
          <w:sz w:val="19"/>
        </w:rPr>
        <w:t>February 25, 2:25 AM:</w:t>
      </w:r>
      <w:r>
        <w:rPr>
          <w:b w:val="0"/>
          <w:i w:val="0"/>
          <w:sz w:val="19"/>
        </w:rPr>
        <w:t xml:space="preserve"> Air raid sirens sound across Los Angeles County; total blackout ordered</w:t>
      </w:r>
    </w:p>
    <w:p>
      <w:pPr>
        <w:pStyle w:val="ListBullet"/>
        <w:spacing w:before="20" w:after="20"/>
      </w:pPr>
      <w:r>
        <w:rPr>
          <w:b w:val="0"/>
          <w:i w:val="0"/>
          <w:sz w:val="19"/>
        </w:rPr>
      </w:r>
      <w:r>
        <w:rPr>
          <w:b/>
          <w:i w:val="0"/>
          <w:sz w:val="19"/>
        </w:rPr>
        <w:t>3:16–4:14 AM:</w:t>
      </w:r>
      <w:r>
        <w:rPr>
          <w:b w:val="0"/>
          <w:i w:val="0"/>
          <w:sz w:val="19"/>
        </w:rPr>
        <w:t xml:space="preserve"> 37th Coast Artillery Brigade fires .50-caliber machine guns and 12.8-pound anti-aircraft shells; over 1,400 rounds expended</w:t>
      </w:r>
    </w:p>
    <w:p>
      <w:pPr>
        <w:pStyle w:val="ListBullet"/>
        <w:spacing w:before="20" w:after="20"/>
      </w:pPr>
      <w:r>
        <w:rPr>
          <w:b w:val="0"/>
          <w:i w:val="0"/>
          <w:sz w:val="19"/>
        </w:rPr>
      </w:r>
      <w:r>
        <w:rPr>
          <w:b/>
          <w:i w:val="0"/>
          <w:sz w:val="19"/>
        </w:rPr>
        <w:t>7:21 AM:</w:t>
      </w:r>
      <w:r>
        <w:rPr>
          <w:b w:val="0"/>
          <w:i w:val="0"/>
          <w:sz w:val="19"/>
        </w:rPr>
        <w:t xml:space="preserve"> All clear sounded</w:t>
      </w:r>
    </w:p>
    <w:p>
      <w:pPr>
        <w:pStyle w:val="Heading3"/>
      </w:pPr>
      <w:r>
        <w:t>Results</w:t>
      </w:r>
    </w:p>
    <w:p>
      <w:pPr>
        <w:pStyle w:val="ListBullet"/>
        <w:spacing w:before="20" w:after="20"/>
      </w:pPr>
      <w:r>
        <w:rPr>
          <w:b w:val="0"/>
          <w:i w:val="0"/>
          <w:sz w:val="19"/>
        </w:rPr>
        <w:t>No bombs dropped. No enemy aircraft downed. No wreckage recovered</w:t>
      </w:r>
    </w:p>
    <w:p>
      <w:pPr>
        <w:pStyle w:val="ListBullet"/>
        <w:spacing w:before="20" w:after="20"/>
      </w:pPr>
      <w:r>
        <w:rPr>
          <w:b w:val="0"/>
          <w:i w:val="0"/>
          <w:sz w:val="19"/>
        </w:rPr>
        <w:t>Five civilians died: three in car crashes, two of heart attacks</w:t>
      </w:r>
    </w:p>
    <w:p>
      <w:pPr>
        <w:pStyle w:val="ListBullet"/>
        <w:spacing w:before="20" w:after="20"/>
      </w:pPr>
      <w:r>
        <w:rPr>
          <w:b w:val="0"/>
          <w:i w:val="0"/>
          <w:sz w:val="19"/>
        </w:rPr>
        <w:t>Buildings and vehicles damaged by shell fragments</w:t>
      </w:r>
    </w:p>
    <w:p>
      <w:pPr>
        <w:pStyle w:val="Heading3"/>
      </w:pPr>
      <w:r>
        <w:t>Official Explanations</w:t>
      </w:r>
    </w:p>
    <w:p>
      <w:pPr>
        <w:pStyle w:val="ListBullet"/>
        <w:spacing w:before="20" w:after="20"/>
      </w:pPr>
      <w:r>
        <w:rPr>
          <w:b w:val="0"/>
          <w:i w:val="0"/>
          <w:sz w:val="19"/>
        </w:rPr>
        <w:t>Secretary Knox (Navy): "False alarm" due to war nerves</w:t>
      </w:r>
    </w:p>
    <w:p>
      <w:pPr>
        <w:pStyle w:val="ListBullet"/>
        <w:spacing w:before="20" w:after="20"/>
      </w:pPr>
      <w:r>
        <w:rPr>
          <w:b w:val="0"/>
          <w:i w:val="0"/>
          <w:sz w:val="19"/>
        </w:rPr>
        <w:t>General Marshall (Army): Possibly enemy agents using commercial airplanes for psychological warfare</w:t>
      </w:r>
    </w:p>
    <w:p>
      <w:pPr>
        <w:pStyle w:val="ListBullet"/>
        <w:spacing w:before="20" w:after="20"/>
      </w:pPr>
      <w:r>
        <w:rPr>
          <w:b w:val="0"/>
          <w:i w:val="0"/>
          <w:sz w:val="19"/>
        </w:rPr>
        <w:t>U.S. Office of Air Force History (1983): Weather balloons triggered the alarm</w:t>
      </w:r>
    </w:p>
    <w:p>
      <w:pPr>
        <w:pStyle w:val="ListBullet"/>
        <w:spacing w:before="20" w:after="20"/>
      </w:pPr>
      <w:r>
        <w:rPr>
          <w:b w:val="0"/>
          <w:i w:val="0"/>
          <w:sz w:val="19"/>
        </w:rPr>
        <w:t>Japan (post-war): Confirmed they flew no aircraft over Los Angeles</w:t>
      </w:r>
    </w:p>
    <w:p>
      <w:pPr>
        <w:pStyle w:val="Heading3"/>
      </w:pPr>
      <w:r>
        <w:t>The Anomaly</w:t>
      </w:r>
    </w:p>
    <w:p>
      <w:r>
        <w:rPr>
          <w:b w:val="0"/>
          <w:i w:val="0"/>
        </w:rPr>
        <w:t xml:space="preserve">Whatever was in the sky over Los Angeles that night </w:t>
      </w:r>
      <w:r>
        <w:rPr>
          <w:b/>
          <w:i w:val="0"/>
        </w:rPr>
        <w:t>survived 1,400+ anti-aircraft rounds without damage</w:t>
      </w:r>
      <w:r>
        <w:rPr>
          <w:b w:val="0"/>
          <w:i w:val="0"/>
        </w:rPr>
        <w:t xml:space="preserve">, did not drop bombs, and was not Japanese. The official explanation — a weather balloon — is the same explanation offered for Roswell five years later. Contemporary photographs show searchlights converging on a luminous object. (See </w:t>
      </w:r>
      <w:hyperlink r:id="rId93">
        <w:r>
          <w:rPr>
            <w:b w:val="0"/>
            <w:i w:val="0"/>
            <w:color w:val="B8860B"/>
          </w:rPr>
          <w:t>Mars Contacts Timeline</w:t>
        </w:r>
      </w:hyperlink>
      <w:r>
        <w:rPr>
          <w:b w:val="0"/>
          <w:i w:val="0"/>
        </w:rPr>
        <w:t xml:space="preserve"> for this entry in the broader pattern of anomalous aerial phenomena.)</w:t>
      </w:r>
    </w:p>
    <w:p>
      <w:pPr>
        <w:pBdr>
          <w:bottom w:val="single" w:sz="6" w:space="1" w:color="CCCCCC"/>
        </w:pBdr>
      </w:pPr>
    </w:p>
    <w:p>
      <w:pPr>
        <w:pStyle w:val="Heading2"/>
      </w:pPr>
      <w:r>
        <w:t>IV. The Encyclopedia of 20th-Century False Flags</w:t>
      </w:r>
    </w:p>
    <w:p>
      <w:pPr>
        <w:pStyle w:val="Heading3"/>
      </w:pPr>
      <w:r>
        <w:t>USS Maine (1898)</w:t>
      </w:r>
    </w:p>
    <w:p>
      <w:r>
        <w:rPr>
          <w:b w:val="0"/>
          <w:i w:val="0"/>
        </w:rPr>
        <w:t xml:space="preserve">The explosion that sank the USS Maine in Havana Harbor — blamed on Spain, triggering the Spanish-American War — was almost certainly internal. Evidence suggests the blast blew </w:t>
      </w:r>
      <w:r>
        <w:rPr>
          <w:b/>
          <w:i w:val="0"/>
        </w:rPr>
        <w:t>outward</w:t>
      </w:r>
      <w:r>
        <w:rPr>
          <w:b w:val="0"/>
          <w:i w:val="0"/>
        </w:rPr>
        <w:t xml:space="preserve"> from the hull, not inward as a mine would produce. Spain never claimed responsibility; Spanish officials actually helped rescue survivors. "Remember the Maine" was a media creation of William Randolph Hearst and Joseph Pulitzer.</w:t>
      </w:r>
    </w:p>
    <w:p>
      <w:pPr>
        <w:pStyle w:val="Heading3"/>
      </w:pPr>
      <w:r>
        <w:t>Reichstag Fire (1933)</w:t>
      </w:r>
    </w:p>
    <w:p>
      <w:r>
        <w:rPr>
          <w:b w:val="0"/>
          <w:i w:val="0"/>
        </w:rPr>
        <w:t xml:space="preserve">The burning of the German parliament building was blamed on communist Marinus van der Lubbe. Hitler used it to suspend civil liberties via the </w:t>
      </w:r>
      <w:hyperlink r:id="rId94">
        <w:r>
          <w:rPr>
            <w:b w:val="0"/>
            <w:i w:val="0"/>
            <w:color w:val="B8860B"/>
          </w:rPr>
          <w:t>Reichstag Fire Decree</w:t>
        </w:r>
      </w:hyperlink>
      <w:r>
        <w:rPr>
          <w:b w:val="0"/>
          <w:i w:val="0"/>
        </w:rPr>
        <w:t xml:space="preserve"> — the template for every emergency-powers seizure since. The German population was subsequently forced into Nazism through stolen elections, propaganda, and terror — not genuine popular support.</w:t>
      </w:r>
    </w:p>
    <w:p>
      <w:pPr>
        <w:pStyle w:val="Heading3"/>
      </w:pPr>
      <w:r>
        <w:t>Manchurian Incident (1931)</w:t>
      </w:r>
    </w:p>
    <w:p>
      <w:r>
        <w:rPr>
          <w:b w:val="0"/>
          <w:i w:val="0"/>
        </w:rPr>
        <w:t>The Japanese Kwantung Army detonated a bomb on the South Manchurian Railway and blamed it on Chinese forces — using the incident as pretext to occupy Manchuria and establish the puppet state of Manchukuo.</w:t>
      </w:r>
    </w:p>
    <w:p>
      <w:pPr>
        <w:pStyle w:val="Heading3"/>
      </w:pPr>
      <w:r>
        <w:t>Gulf of Tonkin (1964)</w:t>
      </w:r>
    </w:p>
    <w:p>
      <w:r>
        <w:rPr>
          <w:b w:val="0"/>
          <w:i w:val="0"/>
        </w:rPr>
        <w:t xml:space="preserve">The alleged North Vietnamese attack on USS Maddox — used by LBJ to escalate the Vietnam War through the Gulf of Tonkin Resolution — was </w:t>
      </w:r>
      <w:hyperlink r:id="rId95">
        <w:r>
          <w:rPr>
            <w:b w:val="0"/>
            <w:i w:val="0"/>
            <w:color w:val="B8860B"/>
          </w:rPr>
          <w:t>later acknowledged to have been largely fabricated</w:t>
        </w:r>
      </w:hyperlink>
      <w:r>
        <w:rPr>
          <w:b w:val="0"/>
          <w:i w:val="0"/>
        </w:rPr>
        <w:t>. NSA documents declassified in 2005 confirmed the second attack never occurred.</w:t>
      </w:r>
    </w:p>
    <w:p>
      <w:pPr>
        <w:pStyle w:val="Heading3"/>
      </w:pPr>
      <w:r>
        <w:t>USS Liberty (1967)</w:t>
      </w:r>
    </w:p>
    <w:p>
      <w:r>
        <w:rPr>
          <w:b w:val="0"/>
          <w:i w:val="0"/>
        </w:rPr>
        <w:t>Israel attacked the USS Liberty during the Six-Day War, killing 34 American sailors. Israel claimed mistaken identity despite the ship flying a large American flag and being clearly marked. Survivors maintain the attack was deliberate.</w:t>
      </w:r>
    </w:p>
    <w:p>
      <w:pPr>
        <w:pStyle w:val="Heading3"/>
      </w:pPr>
      <w:r>
        <w:t>Lavon Affair (1954)</w:t>
      </w:r>
    </w:p>
    <w:p>
      <w:r>
        <w:rPr>
          <w:b w:val="0"/>
          <w:i w:val="0"/>
        </w:rPr>
        <w:t>Israeli agents planted bombs in Egyptian civilian targets — cinemas, post offices — disguised as Muslim Brotherhood operations. The operation was exposed when an agent was caught. Israel initially denied involvement; the truth was formally acknowledged only in 2005.</w:t>
      </w:r>
    </w:p>
    <w:p>
      <w:pPr>
        <w:pStyle w:val="Heading3"/>
      </w:pPr>
      <w:r>
        <w:t>Operation Gladio (1960s–1990s)</w:t>
      </w:r>
    </w:p>
    <w:p>
      <w:r>
        <w:rPr>
          <w:b w:val="0"/>
          <w:i w:val="0"/>
        </w:rPr>
        <w:t>A NATO-backed network of stay-behind paramilitary operations conducted false flag terrorist attacks across Europe — particularly in Italy — to discredit left-wing movements. Bombings, assassinations, and kidnappings were carried out and blamed on communist groups.</w:t>
      </w:r>
    </w:p>
    <w:p>
      <w:pPr>
        <w:pStyle w:val="Heading3"/>
      </w:pPr>
      <w:r>
        <w:t>King David Hotel (1946)</w:t>
      </w:r>
    </w:p>
    <w:p>
      <w:r>
        <w:rPr>
          <w:b w:val="0"/>
          <w:i w:val="0"/>
        </w:rPr>
        <w:t>The Irgun (led by future Israeli Prime Minister Menachem Begin) bombed the British Mandate headquarters in Jerusalem, killing 91 people. The attackers disguised themselves as Arab workers.</w:t>
      </w:r>
    </w:p>
    <w:p>
      <w:pPr>
        <w:pStyle w:val="Heading3"/>
      </w:pPr>
      <w:r>
        <w:t>Operation Northwoods (1962)</w:t>
      </w:r>
    </w:p>
    <w:p>
      <w:r>
        <w:rPr>
          <w:b w:val="0"/>
          <w:i w:val="0"/>
        </w:rPr>
        <w:t>A proposed plan by the U.S. Joint Chiefs of Staff to stage terrorist attacks on American soil and blame them on Cuba — including sinking refugee boats, hijacking planes, and bombing American cities. The plan was rejected by President Kennedy. It was declassified in 1997.</w:t>
      </w:r>
    </w:p>
    <w:p>
      <w:pPr>
        <w:pStyle w:val="Heading3"/>
      </w:pPr>
      <w:r>
        <w:t>Oklahoma City (1995)</w:t>
      </w:r>
    </w:p>
    <w:p>
      <w:r>
        <w:rPr>
          <w:b w:val="0"/>
          <w:i w:val="0"/>
        </w:rPr>
        <w:t>The bombing of the Alfred P. Murrah Federal Building killed 168 people and was attributed to Timothy McVeigh. Multiple witnesses reported additional unexploded devices inside the building. Security camera footage was confiscated and never fully released.</w:t>
      </w:r>
    </w:p>
    <w:p>
      <w:pPr>
        <w:pStyle w:val="Heading3"/>
      </w:pPr>
      <w:r>
        <w:t>1972 Munich Olympics</w:t>
      </w:r>
    </w:p>
    <w:p>
      <w:r>
        <w:rPr>
          <w:b w:val="0"/>
          <w:i w:val="0"/>
        </w:rPr>
        <w:t>Eleven Israeli athletes were killed by the Palestinian group Black September. The security failures were comprehensive, the media coverage perfectly positioned, and the political consequences perfectly aligned with Israeli and Western intelligence objectives.</w:t>
      </w:r>
    </w:p>
    <w:p>
      <w:pPr>
        <w:pBdr>
          <w:bottom w:val="single" w:sz="6" w:space="1" w:color="CCCCCC"/>
        </w:pBdr>
      </w:pPr>
    </w:p>
    <w:p>
      <w:pPr>
        <w:pStyle w:val="Heading2"/>
      </w:pPr>
      <w:r>
        <w:t>V. Controlled Opposition Militant Groups</w:t>
      </w:r>
    </w:p>
    <w:p>
      <w:pPr>
        <w:pStyle w:val="Heading3"/>
      </w:pPr>
      <w:r>
        <w:t>Hamas</w:t>
      </w:r>
    </w:p>
    <w:p>
      <w:r>
        <w:rPr>
          <w:b w:val="0"/>
          <w:i w:val="0"/>
        </w:rPr>
        <w:t xml:space="preserve">Founded in 1987 during the First Intifada, Hamas was initially encouraged by Israel as a </w:t>
      </w:r>
      <w:r>
        <w:rPr>
          <w:b/>
          <w:i w:val="0"/>
        </w:rPr>
        <w:t>counterweight to the PLO</w:t>
      </w:r>
      <w:r>
        <w:rPr>
          <w:b w:val="0"/>
          <w:i w:val="0"/>
        </w:rPr>
        <w:t xml:space="preserve"> — a classic controlled opposition strategy. Former Israeli officials have acknowledged this. Hamas provides a permanent enemy justifying permanent military response while preventing Palestinian political unity.</w:t>
      </w:r>
    </w:p>
    <w:p>
      <w:pPr>
        <w:pStyle w:val="Heading3"/>
      </w:pPr>
      <w:r>
        <w:t>ISIS / ISIL</w:t>
      </w:r>
    </w:p>
    <w:p>
      <w:r>
        <w:rPr>
          <w:b w:val="0"/>
          <w:i w:val="0"/>
        </w:rPr>
        <w:t>Al-Qaeda was created by the CIA to fight a U.S. proxy war against the USSR in Afghanistan. ISIS is essentially Al-Qaeda rebranded. Hillary Clinton and Barack Obama both publicly acknowledged U.S. involvement in training and funding the precursor organizations.</w:t>
      </w:r>
    </w:p>
    <w:p>
      <w:pPr>
        <w:pStyle w:val="Heading3"/>
      </w:pPr>
      <w:r>
        <w:t>Remote-Controlled "Suicide Bombing"</w:t>
      </w:r>
    </w:p>
    <w:p>
      <w:r>
        <w:rPr>
          <w:b w:val="0"/>
          <w:i w:val="0"/>
        </w:rPr>
        <w:t>The simplest false flag technique: a bomb is detonated (possibly remotely), blame is assigned to a dead "suicide bomber" who cannot contest the narrative, and the desired political response follows automatically. The technology for remote detonation has existed since WWII. The perpetrator need not be the person carrying the device.</w:t>
      </w:r>
    </w:p>
    <w:p>
      <w:pPr>
        <w:pBdr>
          <w:bottom w:val="single" w:sz="6" w:space="1" w:color="CCCCCC"/>
        </w:pBdr>
      </w:pPr>
    </w:p>
    <w:p>
      <w:pPr>
        <w:pStyle w:val="Heading2"/>
      </w:pPr>
      <w:r>
        <w:t>VI. Source Bibliography</w:t>
      </w:r>
    </w:p>
    <w:p>
      <w:pPr>
        <w:pStyle w:val="Heading3"/>
      </w:pPr>
      <w:r>
        <w:t>Books</w:t>
      </w:r>
    </w:p>
    <w:p>
      <w:pPr>
        <w:pStyle w:val="ListBullet"/>
        <w:spacing w:before="20" w:after="20"/>
      </w:pPr>
      <w:r>
        <w:rPr>
          <w:b w:val="0"/>
          <w:i w:val="0"/>
          <w:sz w:val="19"/>
        </w:rPr>
        <w:t xml:space="preserve">Robert Stinnett, </w:t>
      </w:r>
      <w:r>
        <w:rPr>
          <w:b w:val="0"/>
          <w:i/>
          <w:sz w:val="19"/>
        </w:rPr>
        <w:t>Day of Deceit: The Truth about FDR and Pearl Harbor</w:t>
      </w:r>
      <w:r>
        <w:rPr>
          <w:b w:val="0"/>
          <w:i w:val="0"/>
          <w:sz w:val="19"/>
        </w:rPr>
        <w:t xml:space="preserve"> (Free Press, 2000)</w:t>
      </w:r>
    </w:p>
    <w:p>
      <w:pPr>
        <w:pStyle w:val="ListBullet"/>
        <w:spacing w:before="20" w:after="20"/>
      </w:pPr>
      <w:r>
        <w:rPr>
          <w:b w:val="0"/>
          <w:i w:val="0"/>
          <w:sz w:val="19"/>
        </w:rPr>
        <w:t xml:space="preserve">George Victor, </w:t>
      </w:r>
      <w:r>
        <w:rPr>
          <w:b w:val="0"/>
          <w:i/>
          <w:sz w:val="19"/>
        </w:rPr>
        <w:t>The Pearl Harbor Myth: Rethinking the Unthinkable</w:t>
      </w:r>
      <w:r>
        <w:rPr>
          <w:b w:val="0"/>
          <w:i w:val="0"/>
          <w:sz w:val="19"/>
        </w:rPr>
        <w:t xml:space="preserve"> (Potomac Books, 2007)</w:t>
      </w:r>
    </w:p>
    <w:p>
      <w:pPr>
        <w:pStyle w:val="ListBullet"/>
        <w:spacing w:before="20" w:after="20"/>
      </w:pPr>
      <w:r>
        <w:rPr>
          <w:b w:val="0"/>
          <w:i w:val="0"/>
          <w:sz w:val="19"/>
        </w:rPr>
        <w:t xml:space="preserve">Henry Clausen &amp; Bruce Lee, </w:t>
      </w:r>
      <w:r>
        <w:rPr>
          <w:b w:val="0"/>
          <w:i/>
          <w:sz w:val="19"/>
        </w:rPr>
        <w:t>Pearl Harbor: Final Judgement</w:t>
      </w:r>
      <w:r>
        <w:rPr>
          <w:b w:val="0"/>
          <w:i w:val="0"/>
          <w:sz w:val="19"/>
        </w:rPr>
        <w:t xml:space="preserve"> (HarperCollins, 2001)</w:t>
      </w:r>
    </w:p>
    <w:p>
      <w:pPr>
        <w:pStyle w:val="ListBullet"/>
        <w:spacing w:before="20" w:after="20"/>
      </w:pPr>
      <w:r>
        <w:rPr>
          <w:b w:val="0"/>
          <w:i w:val="0"/>
          <w:sz w:val="19"/>
        </w:rPr>
        <w:t xml:space="preserve">Gordon Prange et al., </w:t>
      </w:r>
      <w:r>
        <w:rPr>
          <w:b w:val="0"/>
          <w:i/>
          <w:sz w:val="19"/>
        </w:rPr>
        <w:t>At Dawn We Slept: The Untold Story of Pearl Harbor</w:t>
      </w:r>
      <w:r>
        <w:rPr>
          <w:b w:val="0"/>
          <w:i w:val="0"/>
          <w:sz w:val="19"/>
        </w:rPr>
        <w:t xml:space="preserve"> (1981)</w:t>
      </w:r>
    </w:p>
    <w:p>
      <w:pPr>
        <w:pStyle w:val="ListBullet"/>
        <w:spacing w:before="20" w:after="20"/>
      </w:pPr>
      <w:r>
        <w:rPr>
          <w:b w:val="0"/>
          <w:i w:val="0"/>
          <w:sz w:val="19"/>
        </w:rPr>
        <w:t xml:space="preserve">Roberta Wohlstetter, </w:t>
      </w:r>
      <w:r>
        <w:rPr>
          <w:b w:val="0"/>
          <w:i/>
          <w:sz w:val="19"/>
        </w:rPr>
        <w:t>Pearl Harbor: Warning and Decision</w:t>
      </w:r>
      <w:r>
        <w:rPr>
          <w:b w:val="0"/>
          <w:i w:val="0"/>
          <w:sz w:val="19"/>
        </w:rPr>
        <w:t xml:space="preserve"> (Stanford, 1962)</w:t>
      </w:r>
    </w:p>
    <w:p>
      <w:pPr>
        <w:pStyle w:val="ListBullet"/>
        <w:spacing w:before="20" w:after="20"/>
      </w:pPr>
      <w:r>
        <w:rPr>
          <w:b w:val="0"/>
          <w:i w:val="0"/>
          <w:sz w:val="19"/>
        </w:rPr>
        <w:t xml:space="preserve">Husband Kimmel, </w:t>
      </w:r>
      <w:r>
        <w:rPr>
          <w:b w:val="0"/>
          <w:i/>
          <w:sz w:val="19"/>
        </w:rPr>
        <w:t>Admiral Kimmel's Story</w:t>
      </w:r>
      <w:r>
        <w:rPr>
          <w:b w:val="0"/>
          <w:i w:val="0"/>
          <w:sz w:val="19"/>
        </w:rPr>
        <w:t xml:space="preserve"> (1955)</w:t>
      </w:r>
    </w:p>
    <w:p>
      <w:pPr>
        <w:pStyle w:val="ListBullet"/>
        <w:spacing w:before="20" w:after="20"/>
      </w:pPr>
      <w:r>
        <w:rPr>
          <w:b w:val="0"/>
          <w:i w:val="0"/>
          <w:sz w:val="19"/>
        </w:rPr>
        <w:t xml:space="preserve">John Costello, </w:t>
      </w:r>
      <w:r>
        <w:rPr>
          <w:b w:val="0"/>
          <w:i/>
          <w:sz w:val="19"/>
        </w:rPr>
        <w:t>The Pacific War 1941–1945</w:t>
      </w:r>
    </w:p>
    <w:p>
      <w:pPr>
        <w:pStyle w:val="ListBullet"/>
        <w:spacing w:before="20" w:after="20"/>
      </w:pPr>
      <w:r>
        <w:rPr>
          <w:b w:val="0"/>
          <w:i w:val="0"/>
          <w:sz w:val="19"/>
        </w:rPr>
        <w:t xml:space="preserve">John T. Flynn, </w:t>
      </w:r>
      <w:r>
        <w:rPr>
          <w:b w:val="0"/>
          <w:i/>
          <w:sz w:val="19"/>
        </w:rPr>
        <w:t>The Truth About Pearl Harbor</w:t>
      </w:r>
      <w:r>
        <w:rPr>
          <w:b w:val="0"/>
          <w:i w:val="0"/>
          <w:sz w:val="19"/>
        </w:rPr>
        <w:t xml:space="preserve"> (1945)</w:t>
      </w:r>
    </w:p>
    <w:p>
      <w:pPr>
        <w:pStyle w:val="ListBullet"/>
        <w:spacing w:before="20" w:after="20"/>
      </w:pPr>
      <w:r>
        <w:rPr>
          <w:b w:val="0"/>
          <w:i w:val="0"/>
          <w:sz w:val="19"/>
        </w:rPr>
        <w:t xml:space="preserve">James Rusbridger &amp; Eric Nave, </w:t>
      </w:r>
      <w:r>
        <w:rPr>
          <w:b w:val="0"/>
          <w:i/>
          <w:sz w:val="19"/>
        </w:rPr>
        <w:t>Betrayal at Pearl Harbor</w:t>
      </w:r>
      <w:r>
        <w:rPr>
          <w:b w:val="0"/>
          <w:i w:val="0"/>
          <w:sz w:val="19"/>
        </w:rPr>
        <w:t xml:space="preserve"> (1991)</w:t>
      </w:r>
    </w:p>
    <w:p>
      <w:pPr>
        <w:pStyle w:val="ListBullet"/>
        <w:spacing w:before="20" w:after="20"/>
      </w:pPr>
      <w:r>
        <w:rPr>
          <w:b w:val="0"/>
          <w:i w:val="0"/>
          <w:sz w:val="19"/>
        </w:rPr>
        <w:t xml:space="preserve">Jesse Fink, </w:t>
      </w:r>
      <w:r>
        <w:rPr>
          <w:b w:val="0"/>
          <w:i/>
          <w:sz w:val="19"/>
        </w:rPr>
        <w:t>The Eagle in the Mirror</w:t>
      </w:r>
      <w:r>
        <w:rPr>
          <w:b w:val="0"/>
          <w:i w:val="0"/>
          <w:sz w:val="19"/>
        </w:rPr>
        <w:t xml:space="preserve"> (2023)</w:t>
      </w:r>
    </w:p>
    <w:p>
      <w:pPr>
        <w:pStyle w:val="Heading3"/>
      </w:pPr>
      <w:r>
        <w:t>Articles and Documents</w:t>
      </w:r>
    </w:p>
    <w:p>
      <w:pPr>
        <w:pStyle w:val="ListBullet"/>
        <w:spacing w:before="20" w:after="20"/>
      </w:pPr>
      <w:r>
        <w:rPr>
          <w:b w:val="0"/>
          <w:i w:val="0"/>
          <w:sz w:val="19"/>
        </w:rPr>
        <w:t xml:space="preserve">James Perloff, </w:t>
      </w:r>
      <w:hyperlink r:id="rId96">
        <w:r>
          <w:rPr>
            <w:b w:val="0"/>
            <w:i w:val="0"/>
            <w:color w:val="B8860B"/>
            <w:sz w:val="19"/>
          </w:rPr>
          <w:t>"Pearl Harbor: Roosevelt's 9/11"</w:t>
        </w:r>
      </w:hyperlink>
      <w:r>
        <w:rPr>
          <w:b w:val="0"/>
          <w:i w:val="0"/>
          <w:sz w:val="19"/>
        </w:rPr>
        <w:t xml:space="preserve"> (2014)</w:t>
      </w:r>
    </w:p>
    <w:p>
      <w:pPr>
        <w:pStyle w:val="ListBullet"/>
        <w:spacing w:before="20" w:after="20"/>
      </w:pPr>
      <w:hyperlink r:id="rId97">
        <w:r>
          <w:rPr>
            <w:b w:val="0"/>
            <w:i w:val="0"/>
            <w:color w:val="B8860B"/>
            <w:sz w:val="19"/>
          </w:rPr>
          <w:t>FalseFlag.info: Pearl Harbor</w:t>
        </w:r>
      </w:hyperlink>
    </w:p>
    <w:p>
      <w:pPr>
        <w:pStyle w:val="ListBullet"/>
        <w:spacing w:before="20" w:after="20"/>
      </w:pPr>
      <w:hyperlink r:id="rId98">
        <w:r>
          <w:rPr>
            <w:b w:val="0"/>
            <w:i w:val="0"/>
            <w:color w:val="B8860B"/>
            <w:sz w:val="19"/>
          </w:rPr>
          <w:t>The Encyclopedia of False Flag Staged Operations</w:t>
        </w:r>
      </w:hyperlink>
    </w:p>
    <w:p>
      <w:pPr>
        <w:pStyle w:val="ListBullet"/>
        <w:spacing w:before="20" w:after="20"/>
      </w:pPr>
      <w:hyperlink r:id="rId87">
        <w:r>
          <w:rPr>
            <w:b w:val="0"/>
            <w:i w:val="0"/>
            <w:color w:val="B8860B"/>
            <w:sz w:val="19"/>
          </w:rPr>
          <w:t>Pearl Harbor advance-knowledge conspiracy theory</w:t>
        </w:r>
      </w:hyperlink>
      <w:r>
        <w:rPr>
          <w:b w:val="0"/>
          <w:i w:val="0"/>
          <w:sz w:val="19"/>
        </w:rPr>
        <w:t>, Wikipedia</w:t>
      </w:r>
    </w:p>
    <w:p>
      <w:pPr>
        <w:pStyle w:val="ListBullet"/>
        <w:spacing w:before="20" w:after="20"/>
      </w:pPr>
      <w:hyperlink r:id="rId86">
        <w:r>
          <w:rPr>
            <w:b w:val="0"/>
            <w:i w:val="0"/>
            <w:color w:val="B8860B"/>
            <w:sz w:val="19"/>
          </w:rPr>
          <w:t>McCollum memo</w:t>
        </w:r>
      </w:hyperlink>
      <w:r>
        <w:rPr>
          <w:b w:val="0"/>
          <w:i w:val="0"/>
          <w:sz w:val="19"/>
        </w:rPr>
        <w:t>, Wikipedia</w:t>
      </w:r>
    </w:p>
    <w:p>
      <w:pPr>
        <w:pStyle w:val="ListBullet"/>
        <w:spacing w:before="20" w:after="20"/>
      </w:pPr>
      <w:hyperlink r:id="rId99">
        <w:r>
          <w:rPr>
            <w:b w:val="0"/>
            <w:i w:val="0"/>
            <w:color w:val="B8860B"/>
            <w:sz w:val="19"/>
          </w:rPr>
          <w:t>Battle of Los Angeles</w:t>
        </w:r>
      </w:hyperlink>
      <w:r>
        <w:rPr>
          <w:b w:val="0"/>
          <w:i w:val="0"/>
          <w:sz w:val="19"/>
        </w:rPr>
        <w:t>, Wikipedia</w:t>
      </w:r>
    </w:p>
    <w:p>
      <w:pPr>
        <w:pStyle w:val="ListBullet"/>
        <w:spacing w:before="20" w:after="20"/>
      </w:pPr>
      <w:r>
        <w:rPr>
          <w:b w:val="0"/>
          <w:i w:val="0"/>
          <w:sz w:val="19"/>
        </w:rPr>
        <w:t xml:space="preserve">Mark Selden, </w:t>
      </w:r>
      <w:hyperlink r:id="rId90">
        <w:r>
          <w:rPr>
            <w:b w:val="0"/>
            <w:i w:val="0"/>
            <w:color w:val="B8860B"/>
            <w:sz w:val="19"/>
          </w:rPr>
          <w:t>"A Forgotten Holocaust"</w:t>
        </w:r>
      </w:hyperlink>
      <w:r>
        <w:rPr>
          <w:b w:val="0"/>
          <w:i w:val="0"/>
          <w:sz w:val="19"/>
        </w:rPr>
        <w:t>, Asia Pacific Journal</w:t>
      </w:r>
    </w:p>
    <w:p>
      <w:pPr>
        <w:pStyle w:val="ListBullet"/>
        <w:spacing w:before="20" w:after="20"/>
      </w:pPr>
      <w:hyperlink r:id="rId89">
        <w:r>
          <w:rPr>
            <w:b w:val="0"/>
            <w:i w:val="0"/>
            <w:color w:val="B8860B"/>
            <w:sz w:val="19"/>
          </w:rPr>
          <w:t>Napalm in World War II</w:t>
        </w:r>
      </w:hyperlink>
      <w:r>
        <w:rPr>
          <w:b w:val="0"/>
          <w:i w:val="0"/>
          <w:sz w:val="19"/>
        </w:rPr>
        <w:t>, UC Berkeley CSTMS</w:t>
      </w:r>
    </w:p>
    <w:p>
      <w:pPr>
        <w:pStyle w:val="ListBullet"/>
        <w:spacing w:before="20" w:after="20"/>
      </w:pPr>
      <w:r>
        <w:rPr>
          <w:b w:val="0"/>
          <w:i w:val="0"/>
          <w:sz w:val="19"/>
        </w:rPr>
        <w:t>NSA declassified documents on Gulf of Tonkin (2005)</w:t>
      </w:r>
    </w:p>
    <w:p>
      <w:pPr>
        <w:pStyle w:val="ListBullet"/>
        <w:spacing w:before="20" w:after="20"/>
      </w:pPr>
      <w:hyperlink r:id="rId100">
        <w:r>
          <w:rPr>
            <w:b w:val="0"/>
            <w:i w:val="0"/>
            <w:color w:val="B8860B"/>
            <w:sz w:val="19"/>
          </w:rPr>
          <w:t>WHATREALLYHAPPENED: Pearl Harbor</w:t>
        </w:r>
      </w:hyperlink>
    </w:p>
    <w:p>
      <w:pPr>
        <w:pStyle w:val="ListBullet"/>
        <w:spacing w:before="20" w:after="20"/>
      </w:pPr>
      <w:r>
        <w:rPr>
          <w:b w:val="0"/>
          <w:i w:val="0"/>
          <w:sz w:val="19"/>
        </w:rPr>
        <w:t xml:space="preserve">Timothy Wilford, </w:t>
      </w:r>
      <w:r>
        <w:rPr>
          <w:b w:val="0"/>
          <w:i/>
          <w:sz w:val="19"/>
        </w:rPr>
        <w:t>Pearl Harbor Redefined: USN Radio Intelligence in 1941</w:t>
      </w:r>
      <w:r>
        <w:rPr>
          <w:b w:val="0"/>
          <w:i w:val="0"/>
          <w:sz w:val="19"/>
        </w:rPr>
        <w:t xml:space="preserve"> (University Press of America, 2001)</w:t>
      </w:r>
    </w:p>
    <w:p>
      <w:pPr>
        <w:pStyle w:val="Heading3"/>
      </w:pPr>
      <w:r>
        <w:t>Cross-References in This Timeline</w:t>
      </w:r>
    </w:p>
    <w:p>
      <w:pPr>
        <w:pStyle w:val="ListBullet"/>
        <w:spacing w:before="20" w:after="20"/>
      </w:pPr>
      <w:hyperlink r:id="rId49">
        <w:r>
          <w:rPr>
            <w:b w:val="0"/>
            <w:i w:val="0"/>
            <w:color w:val="B8860B"/>
            <w:sz w:val="19"/>
          </w:rPr>
          <w:t>Operation Mockingbird</w:t>
        </w:r>
      </w:hyperlink>
      <w:r>
        <w:rPr>
          <w:b w:val="0"/>
          <w:i w:val="0"/>
          <w:sz w:val="19"/>
        </w:rPr>
        <w:t xml:space="preserve"> — the media apparatus that maintained false flag narratives</w:t>
      </w:r>
    </w:p>
    <w:p>
      <w:pPr>
        <w:pStyle w:val="ListBullet"/>
        <w:spacing w:before="20" w:after="20"/>
      </w:pPr>
      <w:hyperlink r:id="rId47">
        <w:r>
          <w:rPr>
            <w:b w:val="0"/>
            <w:i w:val="0"/>
            <w:color w:val="B8860B"/>
            <w:sz w:val="19"/>
          </w:rPr>
          <w:t>Predictive Programming</w:t>
        </w:r>
      </w:hyperlink>
      <w:r>
        <w:rPr>
          <w:b w:val="0"/>
          <w:i w:val="0"/>
          <w:sz w:val="19"/>
        </w:rPr>
        <w:t xml:space="preserve"> — use of fiction to pre-announce and then conceal false flag operations</w:t>
      </w:r>
    </w:p>
    <w:p>
      <w:pPr>
        <w:pStyle w:val="ListBullet"/>
        <w:spacing w:before="20" w:after="20"/>
      </w:pPr>
      <w:hyperlink r:id="rId69">
        <w:r>
          <w:rPr>
            <w:b w:val="0"/>
            <w:i w:val="0"/>
            <w:color w:val="B8860B"/>
            <w:sz w:val="19"/>
          </w:rPr>
          <w:t>Controlled Opposition</w:t>
        </w:r>
      </w:hyperlink>
      <w:r>
        <w:rPr>
          <w:b w:val="0"/>
          <w:i w:val="0"/>
          <w:sz w:val="19"/>
        </w:rPr>
        <w:t xml:space="preserve"> — management of dissent to prevent genuine exposure</w:t>
      </w:r>
    </w:p>
    <w:p>
      <w:pPr>
        <w:pStyle w:val="ListBullet"/>
        <w:spacing w:before="20" w:after="20"/>
      </w:pPr>
      <w:hyperlink r:id="rId101">
        <w:r>
          <w:rPr>
            <w:b w:val="0"/>
            <w:i w:val="0"/>
            <w:color w:val="B8860B"/>
            <w:sz w:val="19"/>
          </w:rPr>
          <w:t>The British Empire as Deep State Instrument</w:t>
        </w:r>
      </w:hyperlink>
      <w:r>
        <w:rPr>
          <w:b w:val="0"/>
          <w:i w:val="0"/>
          <w:sz w:val="19"/>
        </w:rPr>
        <w:t xml:space="preserve"> — the geopolitical architecture behind Israel, Japan, and the world wars</w:t>
      </w:r>
    </w:p>
    <w:p>
      <w:pPr>
        <w:pStyle w:val="ListBullet"/>
        <w:spacing w:before="20" w:after="20"/>
      </w:pPr>
      <w:hyperlink r:id="rId93">
        <w:r>
          <w:rPr>
            <w:b w:val="0"/>
            <w:i w:val="0"/>
            <w:color w:val="B8860B"/>
            <w:sz w:val="19"/>
          </w:rPr>
          <w:t>Mars Contacts Timeline</w:t>
        </w:r>
      </w:hyperlink>
      <w:r>
        <w:rPr>
          <w:b w:val="0"/>
          <w:i w:val="0"/>
          <w:sz w:val="19"/>
        </w:rPr>
        <w:t xml:space="preserve"> — the Battle of Los Angeles in the context of anomalous aerial phenomena</w:t>
      </w:r>
    </w:p>
    <w:p/>
    <w:p>
      <w:pPr>
        <w:sectPr>
          <w:headerReference w:type="default" r:id="rId84"/>
          <w:footerReference w:type="default" r:id="rId85"/>
          <w:pgSz w:w="8640" w:h="12960"/>
          <w:pgMar w:top="1020" w:right="1134" w:bottom="1134" w:left="1134" w:header="720" w:footer="720" w:gutter="0"/>
          <w:cols w:space="720"/>
          <w:titlePg/>
          <w:docGrid w:linePitch="360"/>
        </w:sectPr>
      </w:pPr>
    </w:p>
    <w:p>
      <w:pPr>
        <w:pStyle w:val="Heading2"/>
      </w:pPr>
      <w:r>
        <w:rPr>
          <w:b/>
        </w:rPr>
        <w:t>Chapter 7: Author Profiles</w:t>
      </w:r>
    </w:p>
    <w:p>
      <w:r>
        <w:rPr>
          <w:b w:val="0"/>
          <w:i w:val="0"/>
        </w:rPr>
        <w:t>Biographical and research profiles for every researcher cited in this investigation. Each profile covers the researcher's primary contribution, key methods, relationship to other authors in this network, and key works.</w:t>
      </w:r>
    </w:p>
    <w:p>
      <w:pPr>
        <w:pBdr>
          <w:bottom w:val="single" w:sz="6" w:space="1" w:color="CCCCCC"/>
        </w:pBdr>
      </w:pPr>
    </w:p>
    <w:p>
      <w:pPr>
        <w:pStyle w:val="Heading2"/>
      </w:pPr>
      <w:r>
        <w:t>Categorization</w:t>
      </w:r>
    </w:p>
    <w:p>
      <w:r>
        <w:rPr>
          <w:b w:val="0"/>
          <w:i w:val="0"/>
        </w:rPr>
        <w:t>Researchers fall into two broad categories, though many straddle both:</w:t>
      </w:r>
    </w:p>
    <w:p>
      <w:pPr>
        <w:pStyle w:val="Heading3"/>
      </w:pPr>
      <w:r>
        <w:t>Those Who Challenge the Mainstream Timeline</w:t>
      </w:r>
    </w:p>
    <w:p>
      <w:r>
        <w:rPr>
          <w:b w:val="0"/>
          <w:i w:val="0"/>
        </w:rPr>
        <w:t>Researchers demonstrating that received historical chronology is fabricated, inflated, or systematically wrong — through mathematical, astronomical, stratigraphic, or archaeological evidence.</w:t>
      </w:r>
    </w:p>
    <w:p>
      <w:r>
        <w:rPr>
          <w:b w:val="0"/>
          <w:i w:val="0"/>
        </w:rPr>
        <w:t xml:space="preserve">→ See also: </w:t>
      </w:r>
      <w:hyperlink r:id="rId104">
        <w:r>
          <w:rPr>
            <w:b w:val="0"/>
            <w:i w:val="0"/>
            <w:color w:val="B8860B"/>
          </w:rPr>
          <w:t>Authors Challenging the Mainstream Timeline</w:t>
        </w:r>
      </w:hyperlink>
    </w:p>
    <w:p>
      <w:pPr>
        <w:pStyle w:val="Heading3"/>
      </w:pPr>
      <w:r>
        <w:t>Those Who Read Ancient Sources as World Cataclysm</w:t>
      </w:r>
    </w:p>
    <w:p>
      <w:r>
        <w:rPr>
          <w:b w:val="0"/>
          <w:i w:val="0"/>
        </w:rPr>
        <w:t>Researchers demonstrating that ancient myth, scripture, art, geology, and archaeology record literal planetary and cosmic catastrophes within historical or proto-historical memory.</w:t>
      </w:r>
    </w:p>
    <w:p>
      <w:r>
        <w:rPr>
          <w:b w:val="0"/>
          <w:i w:val="0"/>
        </w:rPr>
        <w:t xml:space="preserve">→ See also: </w:t>
      </w:r>
      <w:hyperlink r:id="rId105">
        <w:r>
          <w:rPr>
            <w:b w:val="0"/>
            <w:i w:val="0"/>
            <w:color w:val="B8860B"/>
          </w:rPr>
          <w:t>Authors Who Read Ancient Sources as World Cataclysm</w:t>
        </w:r>
      </w:hyperlink>
    </w:p>
    <w:p>
      <w:pPr>
        <w:pBdr>
          <w:bottom w:val="single" w:sz="6" w:space="1" w:color="CCCCCC"/>
        </w:pBdr>
      </w:pPr>
    </w:p>
    <w:p>
      <w:pPr>
        <w:pStyle w:val="Heading2"/>
      </w:pPr>
      <w:r>
        <w:t>All Profiles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308"/>
        <w:gridCol w:w="1435"/>
        <w:gridCol w:w="3629"/>
      </w:tblGrid>
      <w:tr>
        <w:tc>
          <w:tcPr>
            <w:tcW w:type="dxa" w:w="1308"/>
            <w:shd w:val="clear" w:color="auto" w:fill="F0F0F0"/>
          </w:tcPr>
          <w:p>
            <w:pPr>
              <w:spacing w:before="20" w:after="20"/>
              <w:jc w:val="center"/>
            </w:pPr>
            <w:r>
              <w:rPr>
                <w:rFonts w:ascii="Libre Franklin" w:hAnsi="Libre Franklin"/>
                <w:b/>
                <w:sz w:val="18"/>
              </w:rPr>
              <w:t>Author</w:t>
            </w:r>
          </w:p>
        </w:tc>
        <w:tc>
          <w:tcPr>
            <w:tcW w:type="dxa" w:w="1435"/>
            <w:shd w:val="clear" w:color="auto" w:fill="F0F0F0"/>
          </w:tcPr>
          <w:p>
            <w:pPr>
              <w:spacing w:before="20" w:after="20"/>
              <w:jc w:val="center"/>
            </w:pPr>
            <w:r>
              <w:rPr>
                <w:rFonts w:ascii="Libre Franklin" w:hAnsi="Libre Franklin"/>
                <w:b/>
                <w:sz w:val="18"/>
              </w:rPr>
              <w:t>Primary Field</w:t>
            </w:r>
          </w:p>
        </w:tc>
        <w:tc>
          <w:tcPr>
            <w:tcW w:type="dxa" w:w="3629"/>
            <w:shd w:val="clear" w:color="auto" w:fill="F0F0F0"/>
          </w:tcPr>
          <w:p>
            <w:pPr>
              <w:spacing w:before="20" w:after="20"/>
              <w:jc w:val="center"/>
            </w:pPr>
            <w:r>
              <w:rPr>
                <w:rFonts w:ascii="Libre Franklin" w:hAnsi="Libre Franklin"/>
                <w:b/>
                <w:sz w:val="18"/>
              </w:rPr>
              <w:t>Key Contribution</w:t>
            </w:r>
          </w:p>
        </w:tc>
      </w:tr>
      <w:tr>
        <w:tc>
          <w:tcPr>
            <w:tcW w:type="dxa" w:w="1308"/>
          </w:tcPr>
          <w:p>
            <w:pPr>
              <w:spacing w:before="20" w:after="20"/>
            </w:pPr>
            <w:hyperlink r:id="rId106">
              <w:r>
                <w:rPr>
                  <w:b w:val="0"/>
                  <w:i w:val="0"/>
                  <w:color w:val="B8860B"/>
                  <w:sz w:val="18"/>
                </w:rPr>
                <w:t>N. A. Morozov</w:t>
              </w:r>
            </w:hyperlink>
          </w:p>
        </w:tc>
        <w:tc>
          <w:tcPr>
            <w:tcW w:type="dxa" w:w="1435"/>
          </w:tcPr>
          <w:p>
            <w:pPr>
              <w:spacing w:before="20" w:after="20"/>
            </w:pPr>
            <w:r>
              <w:rPr>
                <w:b w:val="0"/>
                <w:i w:val="0"/>
                <w:sz w:val="18"/>
              </w:rPr>
              <w:t>Mathematics/Astronomy</w:t>
            </w:r>
          </w:p>
        </w:tc>
        <w:tc>
          <w:tcPr>
            <w:tcW w:type="dxa" w:w="3629"/>
          </w:tcPr>
          <w:p>
            <w:pPr>
              <w:spacing w:before="20" w:after="20"/>
            </w:pPr>
            <w:r>
              <w:rPr>
                <w:b w:val="0"/>
                <w:i w:val="0"/>
                <w:sz w:val="18"/>
              </w:rPr>
              <w:t>First mathematical challenge to Scaligerian chronology</w:t>
            </w:r>
          </w:p>
        </w:tc>
      </w:tr>
      <w:tr>
        <w:tc>
          <w:tcPr>
            <w:tcW w:type="dxa" w:w="1308"/>
          </w:tcPr>
          <w:p>
            <w:pPr>
              <w:spacing w:before="20" w:after="20"/>
            </w:pPr>
            <w:hyperlink r:id="rId107">
              <w:r>
                <w:rPr>
                  <w:b w:val="0"/>
                  <w:i w:val="0"/>
                  <w:color w:val="B8860B"/>
                  <w:sz w:val="18"/>
                </w:rPr>
                <w:t>Wal Thornhill</w:t>
              </w:r>
            </w:hyperlink>
          </w:p>
        </w:tc>
        <w:tc>
          <w:tcPr>
            <w:tcW w:type="dxa" w:w="1435"/>
          </w:tcPr>
          <w:p>
            <w:pPr>
              <w:spacing w:before="20" w:after="20"/>
            </w:pPr>
            <w:r>
              <w:rPr>
                <w:b w:val="0"/>
                <w:i w:val="0"/>
                <w:sz w:val="18"/>
              </w:rPr>
              <w:t>Physics</w:t>
            </w:r>
          </w:p>
        </w:tc>
        <w:tc>
          <w:tcPr>
            <w:tcW w:type="dxa" w:w="3629"/>
          </w:tcPr>
          <w:p>
            <w:pPr>
              <w:spacing w:before="20" w:after="20"/>
            </w:pPr>
            <w:r>
              <w:rPr>
                <w:b w:val="0"/>
                <w:i w:val="0"/>
                <w:sz w:val="18"/>
              </w:rPr>
              <w:t>Electric Universe theory; plasma cosmology</w:t>
            </w:r>
          </w:p>
        </w:tc>
      </w:tr>
      <w:tr>
        <w:tc>
          <w:tcPr>
            <w:tcW w:type="dxa" w:w="1308"/>
          </w:tcPr>
          <w:p>
            <w:pPr>
              <w:spacing w:before="20" w:after="20"/>
            </w:pPr>
            <w:hyperlink r:id="rId108">
              <w:r>
                <w:rPr>
                  <w:b w:val="0"/>
                  <w:i w:val="0"/>
                  <w:color w:val="B8860B"/>
                  <w:sz w:val="18"/>
                </w:rPr>
                <w:t>Ralph Juergens</w:t>
              </w:r>
            </w:hyperlink>
          </w:p>
        </w:tc>
        <w:tc>
          <w:tcPr>
            <w:tcW w:type="dxa" w:w="1435"/>
          </w:tcPr>
          <w:p>
            <w:pPr>
              <w:spacing w:before="20" w:after="20"/>
            </w:pPr>
            <w:r>
              <w:rPr>
                <w:b w:val="0"/>
                <w:i w:val="0"/>
                <w:sz w:val="18"/>
              </w:rPr>
              <w:t>Electrical Engineering</w:t>
            </w:r>
          </w:p>
        </w:tc>
        <w:tc>
          <w:tcPr>
            <w:tcW w:type="dxa" w:w="3629"/>
          </w:tcPr>
          <w:p>
            <w:pPr>
              <w:spacing w:before="20" w:after="20"/>
            </w:pPr>
            <w:r>
              <w:rPr>
                <w:b w:val="0"/>
                <w:i w:val="0"/>
                <w:sz w:val="18"/>
              </w:rPr>
              <w:t>Electric Sun hypothesis</w:t>
            </w:r>
          </w:p>
        </w:tc>
      </w:tr>
      <w:tr>
        <w:tc>
          <w:tcPr>
            <w:tcW w:type="dxa" w:w="1308"/>
          </w:tcPr>
          <w:p>
            <w:pPr>
              <w:spacing w:before="20" w:after="20"/>
            </w:pPr>
            <w:hyperlink r:id="rId109">
              <w:r>
                <w:rPr>
                  <w:b w:val="0"/>
                  <w:i w:val="0"/>
                  <w:color w:val="B8860B"/>
                  <w:sz w:val="18"/>
                </w:rPr>
                <w:t>Immanuel Velikovsky</w:t>
              </w:r>
            </w:hyperlink>
          </w:p>
        </w:tc>
        <w:tc>
          <w:tcPr>
            <w:tcW w:type="dxa" w:w="1435"/>
          </w:tcPr>
          <w:p>
            <w:pPr>
              <w:spacing w:before="20" w:after="20"/>
            </w:pPr>
            <w:r>
              <w:rPr>
                <w:b w:val="0"/>
                <w:i w:val="0"/>
                <w:sz w:val="18"/>
              </w:rPr>
              <w:t>Psychiatry/Ancient History</w:t>
            </w:r>
          </w:p>
        </w:tc>
        <w:tc>
          <w:tcPr>
            <w:tcW w:type="dxa" w:w="3629"/>
          </w:tcPr>
          <w:p>
            <w:pPr>
              <w:spacing w:before="20" w:after="20"/>
            </w:pPr>
            <w:r>
              <w:rPr>
                <w:b w:val="0"/>
                <w:i w:val="0"/>
                <w:sz w:val="18"/>
              </w:rPr>
              <w:t>Planetary catastrophism; Venus comet; Egyptian chronology</w:t>
            </w:r>
          </w:p>
        </w:tc>
      </w:tr>
      <w:tr>
        <w:tc>
          <w:tcPr>
            <w:tcW w:type="dxa" w:w="1308"/>
          </w:tcPr>
          <w:p>
            <w:pPr>
              <w:spacing w:before="20" w:after="20"/>
            </w:pPr>
            <w:hyperlink r:id="rId110">
              <w:r>
                <w:rPr>
                  <w:b w:val="0"/>
                  <w:i w:val="0"/>
                  <w:color w:val="B8860B"/>
                  <w:sz w:val="18"/>
                </w:rPr>
                <w:t>Anatoly Fomenko</w:t>
              </w:r>
            </w:hyperlink>
          </w:p>
        </w:tc>
        <w:tc>
          <w:tcPr>
            <w:tcW w:type="dxa" w:w="1435"/>
          </w:tcPr>
          <w:p>
            <w:pPr>
              <w:spacing w:before="20" w:after="20"/>
            </w:pPr>
            <w:r>
              <w:rPr>
                <w:b w:val="0"/>
                <w:i w:val="0"/>
                <w:sz w:val="18"/>
              </w:rPr>
              <w:t>Mathematics</w:t>
            </w:r>
          </w:p>
        </w:tc>
        <w:tc>
          <w:tcPr>
            <w:tcW w:type="dxa" w:w="3629"/>
          </w:tcPr>
          <w:p>
            <w:pPr>
              <w:spacing w:before="20" w:after="20"/>
            </w:pPr>
            <w:r>
              <w:rPr>
                <w:b w:val="0"/>
                <w:i w:val="0"/>
                <w:sz w:val="18"/>
              </w:rPr>
              <w:t>Statistical proof Scaligerian chronology is fabricated</w:t>
            </w:r>
          </w:p>
        </w:tc>
      </w:tr>
      <w:tr>
        <w:tc>
          <w:tcPr>
            <w:tcW w:type="dxa" w:w="1308"/>
          </w:tcPr>
          <w:p>
            <w:pPr>
              <w:spacing w:before="20" w:after="20"/>
            </w:pPr>
            <w:hyperlink r:id="rId111">
              <w:r>
                <w:rPr>
                  <w:b w:val="0"/>
                  <w:i w:val="0"/>
                  <w:color w:val="B8860B"/>
                  <w:sz w:val="18"/>
                </w:rPr>
                <w:t>David Talbott</w:t>
              </w:r>
            </w:hyperlink>
          </w:p>
        </w:tc>
        <w:tc>
          <w:tcPr>
            <w:tcW w:type="dxa" w:w="1435"/>
          </w:tcPr>
          <w:p>
            <w:pPr>
              <w:spacing w:before="20" w:after="20"/>
            </w:pPr>
            <w:r>
              <w:rPr>
                <w:b w:val="0"/>
                <w:i w:val="0"/>
                <w:sz w:val="18"/>
              </w:rPr>
              <w:t>Independent Research</w:t>
            </w:r>
          </w:p>
        </w:tc>
        <w:tc>
          <w:tcPr>
            <w:tcW w:type="dxa" w:w="3629"/>
          </w:tcPr>
          <w:p>
            <w:pPr>
              <w:spacing w:before="20" w:after="20"/>
            </w:pPr>
            <w:r>
              <w:rPr>
                <w:b w:val="0"/>
                <w:i w:val="0"/>
                <w:sz w:val="18"/>
              </w:rPr>
              <w:t>Saturn Myth; polar configuration mythology</w:t>
            </w:r>
          </w:p>
        </w:tc>
      </w:tr>
      <w:tr>
        <w:tc>
          <w:tcPr>
            <w:tcW w:type="dxa" w:w="1308"/>
          </w:tcPr>
          <w:p>
            <w:pPr>
              <w:spacing w:before="20" w:after="20"/>
            </w:pPr>
            <w:hyperlink r:id="rId112">
              <w:r>
                <w:rPr>
                  <w:b w:val="0"/>
                  <w:i w:val="0"/>
                  <w:color w:val="B8860B"/>
                  <w:sz w:val="18"/>
                </w:rPr>
                <w:t>Anthony Peratt</w:t>
              </w:r>
            </w:hyperlink>
          </w:p>
        </w:tc>
        <w:tc>
          <w:tcPr>
            <w:tcW w:type="dxa" w:w="1435"/>
          </w:tcPr>
          <w:p>
            <w:pPr>
              <w:spacing w:before="20" w:after="20"/>
            </w:pPr>
            <w:r>
              <w:rPr>
                <w:b w:val="0"/>
                <w:i w:val="0"/>
                <w:sz w:val="18"/>
              </w:rPr>
              <w:t>Plasma Physics</w:t>
            </w:r>
          </w:p>
        </w:tc>
        <w:tc>
          <w:tcPr>
            <w:tcW w:type="dxa" w:w="3629"/>
          </w:tcPr>
          <w:p>
            <w:pPr>
              <w:spacing w:before="20" w:after="20"/>
            </w:pPr>
            <w:r>
              <w:rPr>
                <w:b w:val="0"/>
                <w:i w:val="0"/>
                <w:sz w:val="18"/>
              </w:rPr>
              <w:t>Petroglyphs as Z-pinch plasma discharge records</w:t>
            </w:r>
          </w:p>
        </w:tc>
      </w:tr>
      <w:tr>
        <w:tc>
          <w:tcPr>
            <w:tcW w:type="dxa" w:w="1308"/>
          </w:tcPr>
          <w:p>
            <w:pPr>
              <w:spacing w:before="20" w:after="20"/>
            </w:pPr>
            <w:hyperlink r:id="rId113">
              <w:r>
                <w:rPr>
                  <w:b w:val="0"/>
                  <w:i w:val="0"/>
                  <w:color w:val="B8860B"/>
                  <w:sz w:val="18"/>
                </w:rPr>
                <w:t>Jno Cook</w:t>
              </w:r>
            </w:hyperlink>
          </w:p>
        </w:tc>
        <w:tc>
          <w:tcPr>
            <w:tcW w:type="dxa" w:w="1435"/>
          </w:tcPr>
          <w:p>
            <w:pPr>
              <w:spacing w:before="20" w:after="20"/>
            </w:pPr>
            <w:r>
              <w:rPr>
                <w:b w:val="0"/>
                <w:i w:val="0"/>
                <w:sz w:val="18"/>
              </w:rPr>
              <w:t>Independent Research</w:t>
            </w:r>
          </w:p>
        </w:tc>
        <w:tc>
          <w:tcPr>
            <w:tcW w:type="dxa" w:w="3629"/>
          </w:tcPr>
          <w:p>
            <w:pPr>
              <w:spacing w:before="20" w:after="20"/>
            </w:pPr>
            <w:r>
              <w:rPr>
                <w:b w:val="0"/>
                <w:i w:val="0"/>
                <w:sz w:val="18"/>
              </w:rPr>
              <w:t>Most detailed Saturnian chronology with specific dates</w:t>
            </w:r>
          </w:p>
        </w:tc>
      </w:tr>
      <w:tr>
        <w:tc>
          <w:tcPr>
            <w:tcW w:type="dxa" w:w="1308"/>
          </w:tcPr>
          <w:p>
            <w:pPr>
              <w:spacing w:before="20" w:after="20"/>
            </w:pPr>
            <w:hyperlink r:id="rId114">
              <w:r>
                <w:rPr>
                  <w:b w:val="0"/>
                  <w:i w:val="0"/>
                  <w:color w:val="B8860B"/>
                  <w:sz w:val="18"/>
                </w:rPr>
                <w:t>Alfred de Grazia</w:t>
              </w:r>
            </w:hyperlink>
          </w:p>
        </w:tc>
        <w:tc>
          <w:tcPr>
            <w:tcW w:type="dxa" w:w="1435"/>
          </w:tcPr>
          <w:p>
            <w:pPr>
              <w:spacing w:before="20" w:after="20"/>
            </w:pPr>
            <w:r>
              <w:rPr>
                <w:b w:val="0"/>
                <w:i w:val="0"/>
                <w:sz w:val="18"/>
              </w:rPr>
              <w:t>Political Science</w:t>
            </w:r>
          </w:p>
        </w:tc>
        <w:tc>
          <w:tcPr>
            <w:tcW w:type="dxa" w:w="3629"/>
          </w:tcPr>
          <w:p>
            <w:pPr>
              <w:spacing w:before="20" w:after="20"/>
            </w:pPr>
            <w:r>
              <w:rPr>
                <w:b w:val="0"/>
                <w:i w:val="0"/>
                <w:sz w:val="18"/>
              </w:rPr>
              <w:t>Quantavolution framework; 15-volume catastrophist series</w:t>
            </w:r>
          </w:p>
        </w:tc>
      </w:tr>
      <w:tr>
        <w:tc>
          <w:tcPr>
            <w:tcW w:type="dxa" w:w="1308"/>
          </w:tcPr>
          <w:p>
            <w:pPr>
              <w:spacing w:before="20" w:after="20"/>
            </w:pPr>
            <w:hyperlink r:id="rId115">
              <w:r>
                <w:rPr>
                  <w:b w:val="0"/>
                  <w:i w:val="0"/>
                  <w:color w:val="B8860B"/>
                  <w:sz w:val="18"/>
                </w:rPr>
                <w:t>Donald Scott</w:t>
              </w:r>
            </w:hyperlink>
          </w:p>
        </w:tc>
        <w:tc>
          <w:tcPr>
            <w:tcW w:type="dxa" w:w="1435"/>
          </w:tcPr>
          <w:p>
            <w:pPr>
              <w:spacing w:before="20" w:after="20"/>
            </w:pPr>
            <w:r>
              <w:rPr>
                <w:b w:val="0"/>
                <w:i w:val="0"/>
                <w:sz w:val="18"/>
              </w:rPr>
              <w:t>Electrical Engineering</w:t>
            </w:r>
          </w:p>
        </w:tc>
        <w:tc>
          <w:tcPr>
            <w:tcW w:type="dxa" w:w="3629"/>
          </w:tcPr>
          <w:p>
            <w:pPr>
              <w:spacing w:before="20" w:after="20"/>
            </w:pPr>
            <w:r>
              <w:rPr>
                <w:b w:val="0"/>
                <w:i w:val="0"/>
                <w:sz w:val="18"/>
              </w:rPr>
              <w:t>Engineering-grade EU plasma model</w:t>
            </w:r>
          </w:p>
        </w:tc>
      </w:tr>
      <w:tr>
        <w:tc>
          <w:tcPr>
            <w:tcW w:type="dxa" w:w="1308"/>
          </w:tcPr>
          <w:p>
            <w:pPr>
              <w:spacing w:before="20" w:after="20"/>
            </w:pPr>
            <w:hyperlink r:id="rId116">
              <w:r>
                <w:rPr>
                  <w:b w:val="0"/>
                  <w:i w:val="0"/>
                  <w:color w:val="B8860B"/>
                  <w:sz w:val="18"/>
                </w:rPr>
                <w:t>Ev Cochrane</w:t>
              </w:r>
            </w:hyperlink>
          </w:p>
        </w:tc>
        <w:tc>
          <w:tcPr>
            <w:tcW w:type="dxa" w:w="1435"/>
          </w:tcPr>
          <w:p>
            <w:pPr>
              <w:spacing w:before="20" w:after="20"/>
            </w:pPr>
            <w:r>
              <w:rPr>
                <w:b w:val="0"/>
                <w:i w:val="0"/>
                <w:sz w:val="18"/>
              </w:rPr>
              <w:t>Independent Research</w:t>
            </w:r>
          </w:p>
        </w:tc>
        <w:tc>
          <w:tcPr>
            <w:tcW w:type="dxa" w:w="3629"/>
          </w:tcPr>
          <w:p>
            <w:pPr>
              <w:spacing w:before="20" w:after="20"/>
            </w:pPr>
            <w:r>
              <w:rPr>
                <w:b w:val="0"/>
                <w:i w:val="0"/>
                <w:sz w:val="18"/>
              </w:rPr>
              <w:t>Mars and Venus mythology as catastrophist record</w:t>
            </w:r>
          </w:p>
        </w:tc>
      </w:tr>
      <w:tr>
        <w:tc>
          <w:tcPr>
            <w:tcW w:type="dxa" w:w="1308"/>
          </w:tcPr>
          <w:p>
            <w:pPr>
              <w:spacing w:before="20" w:after="20"/>
            </w:pPr>
            <w:hyperlink r:id="rId117">
              <w:r>
                <w:rPr>
                  <w:b w:val="0"/>
                  <w:i w:val="0"/>
                  <w:color w:val="B8860B"/>
                  <w:sz w:val="18"/>
                </w:rPr>
                <w:t>Giorgio de Santillana &amp; Hertha von Dechend</w:t>
              </w:r>
            </w:hyperlink>
          </w:p>
        </w:tc>
        <w:tc>
          <w:tcPr>
            <w:tcW w:type="dxa" w:w="1435"/>
          </w:tcPr>
          <w:p>
            <w:pPr>
              <w:spacing w:before="20" w:after="20"/>
            </w:pPr>
            <w:r>
              <w:rPr>
                <w:b w:val="0"/>
                <w:i w:val="0"/>
                <w:sz w:val="18"/>
              </w:rPr>
              <w:t>History of Science</w:t>
            </w:r>
          </w:p>
        </w:tc>
        <w:tc>
          <w:tcPr>
            <w:tcW w:type="dxa" w:w="3629"/>
          </w:tcPr>
          <w:p>
            <w:pPr>
              <w:spacing w:before="20" w:after="20"/>
            </w:pPr>
            <w:r>
              <w:rPr>
                <w:b w:val="0"/>
                <w:i/>
                <w:sz w:val="18"/>
              </w:rPr>
              <w:t>Hamlet's Mill</w:t>
            </w:r>
            <w:r>
              <w:rPr>
                <w:b w:val="0"/>
                <w:i w:val="0"/>
                <w:sz w:val="18"/>
              </w:rPr>
              <w:t>; myth encodes astronomy</w:t>
            </w:r>
          </w:p>
        </w:tc>
      </w:tr>
      <w:tr>
        <w:tc>
          <w:tcPr>
            <w:tcW w:type="dxa" w:w="1308"/>
          </w:tcPr>
          <w:p>
            <w:pPr>
              <w:spacing w:before="20" w:after="20"/>
            </w:pPr>
            <w:hyperlink r:id="rId118">
              <w:r>
                <w:rPr>
                  <w:b w:val="0"/>
                  <w:i w:val="0"/>
                  <w:color w:val="B8860B"/>
                  <w:sz w:val="18"/>
                </w:rPr>
                <w:t>Heribert Illig</w:t>
              </w:r>
            </w:hyperlink>
          </w:p>
        </w:tc>
        <w:tc>
          <w:tcPr>
            <w:tcW w:type="dxa" w:w="1435"/>
          </w:tcPr>
          <w:p>
            <w:pPr>
              <w:spacing w:before="20" w:after="20"/>
            </w:pPr>
            <w:r>
              <w:rPr>
                <w:b w:val="0"/>
                <w:i w:val="0"/>
                <w:sz w:val="18"/>
              </w:rPr>
              <w:t>Independent Research</w:t>
            </w:r>
          </w:p>
        </w:tc>
        <w:tc>
          <w:tcPr>
            <w:tcW w:type="dxa" w:w="3629"/>
          </w:tcPr>
          <w:p>
            <w:pPr>
              <w:spacing w:before="20" w:after="20"/>
            </w:pPr>
            <w:r>
              <w:rPr>
                <w:b w:val="0"/>
                <w:i w:val="0"/>
                <w:sz w:val="18"/>
              </w:rPr>
              <w:t>Phantom Time Hypothesis; 297 fabricated years</w:t>
            </w:r>
          </w:p>
        </w:tc>
      </w:tr>
      <w:tr>
        <w:tc>
          <w:tcPr>
            <w:tcW w:type="dxa" w:w="1308"/>
          </w:tcPr>
          <w:p>
            <w:pPr>
              <w:spacing w:before="20" w:after="20"/>
            </w:pPr>
            <w:hyperlink r:id="rId119">
              <w:r>
                <w:rPr>
                  <w:b w:val="0"/>
                  <w:i w:val="0"/>
                  <w:color w:val="B8860B"/>
                  <w:sz w:val="18"/>
                </w:rPr>
                <w:t>Gunnar Heinsohn</w:t>
              </w:r>
            </w:hyperlink>
          </w:p>
        </w:tc>
        <w:tc>
          <w:tcPr>
            <w:tcW w:type="dxa" w:w="1435"/>
          </w:tcPr>
          <w:p>
            <w:pPr>
              <w:spacing w:before="20" w:after="20"/>
            </w:pPr>
            <w:r>
              <w:rPr>
                <w:b w:val="0"/>
                <w:i w:val="0"/>
                <w:sz w:val="18"/>
              </w:rPr>
              <w:t>Sociology/History</w:t>
            </w:r>
          </w:p>
        </w:tc>
        <w:tc>
          <w:tcPr>
            <w:tcW w:type="dxa" w:w="3629"/>
          </w:tcPr>
          <w:p>
            <w:pPr>
              <w:spacing w:before="20" w:after="20"/>
            </w:pPr>
            <w:r>
              <w:rPr>
                <w:b w:val="0"/>
                <w:i w:val="0"/>
                <w:sz w:val="18"/>
              </w:rPr>
              <w:t>Stratigraphic chronology; compressed medieval timeline</w:t>
            </w:r>
          </w:p>
        </w:tc>
      </w:tr>
      <w:tr>
        <w:tc>
          <w:tcPr>
            <w:tcW w:type="dxa" w:w="1308"/>
          </w:tcPr>
          <w:p>
            <w:pPr>
              <w:spacing w:before="20" w:after="20"/>
            </w:pPr>
            <w:hyperlink r:id="rId120">
              <w:r>
                <w:rPr>
                  <w:b w:val="0"/>
                  <w:i w:val="0"/>
                  <w:color w:val="B8860B"/>
                  <w:sz w:val="18"/>
                </w:rPr>
                <w:t>Dwardu Cardona</w:t>
              </w:r>
            </w:hyperlink>
          </w:p>
        </w:tc>
        <w:tc>
          <w:tcPr>
            <w:tcW w:type="dxa" w:w="1435"/>
          </w:tcPr>
          <w:p>
            <w:pPr>
              <w:spacing w:before="20" w:after="20"/>
            </w:pPr>
            <w:r>
              <w:rPr>
                <w:b w:val="0"/>
                <w:i w:val="0"/>
                <w:sz w:val="18"/>
              </w:rPr>
              <w:t>Independent Research</w:t>
            </w:r>
          </w:p>
        </w:tc>
        <w:tc>
          <w:tcPr>
            <w:tcW w:type="dxa" w:w="3629"/>
          </w:tcPr>
          <w:p>
            <w:pPr>
              <w:spacing w:before="20" w:after="20"/>
            </w:pPr>
            <w:r>
              <w:rPr>
                <w:b w:val="0"/>
                <w:i w:val="0"/>
                <w:sz w:val="18"/>
              </w:rPr>
              <w:t>God Star series; pre-configuration Saturn epoch</w:t>
            </w:r>
          </w:p>
        </w:tc>
      </w:tr>
      <w:tr>
        <w:tc>
          <w:tcPr>
            <w:tcW w:type="dxa" w:w="1308"/>
          </w:tcPr>
          <w:p>
            <w:pPr>
              <w:spacing w:before="20" w:after="20"/>
            </w:pPr>
            <w:hyperlink r:id="rId121">
              <w:r>
                <w:rPr>
                  <w:b w:val="0"/>
                  <w:i w:val="0"/>
                  <w:color w:val="B8860B"/>
                  <w:sz w:val="18"/>
                </w:rPr>
                <w:t>Victor Clube &amp; Bill Napier</w:t>
              </w:r>
            </w:hyperlink>
          </w:p>
        </w:tc>
        <w:tc>
          <w:tcPr>
            <w:tcW w:type="dxa" w:w="1435"/>
          </w:tcPr>
          <w:p>
            <w:pPr>
              <w:spacing w:before="20" w:after="20"/>
            </w:pPr>
            <w:r>
              <w:rPr>
                <w:b w:val="0"/>
                <w:i w:val="0"/>
                <w:sz w:val="18"/>
              </w:rPr>
              <w:t>Astronomy</w:t>
            </w:r>
          </w:p>
        </w:tc>
        <w:tc>
          <w:tcPr>
            <w:tcW w:type="dxa" w:w="3629"/>
          </w:tcPr>
          <w:p>
            <w:pPr>
              <w:spacing w:before="20" w:after="20"/>
            </w:pPr>
            <w:r>
              <w:rPr>
                <w:b w:val="0"/>
                <w:i w:val="0"/>
                <w:sz w:val="18"/>
              </w:rPr>
              <w:t>Taurid Complex; coherent catastrophism</w:t>
            </w:r>
          </w:p>
        </w:tc>
      </w:tr>
      <w:tr>
        <w:tc>
          <w:tcPr>
            <w:tcW w:type="dxa" w:w="1308"/>
          </w:tcPr>
          <w:p>
            <w:pPr>
              <w:spacing w:before="20" w:after="20"/>
            </w:pPr>
            <w:hyperlink r:id="rId122">
              <w:r>
                <w:rPr>
                  <w:b w:val="0"/>
                  <w:i w:val="0"/>
                  <w:color w:val="B8860B"/>
                  <w:sz w:val="18"/>
                </w:rPr>
                <w:t>Livio Stecchini</w:t>
              </w:r>
            </w:hyperlink>
          </w:p>
        </w:tc>
        <w:tc>
          <w:tcPr>
            <w:tcW w:type="dxa" w:w="1435"/>
          </w:tcPr>
          <w:p>
            <w:pPr>
              <w:spacing w:before="20" w:after="20"/>
            </w:pPr>
            <w:r>
              <w:rPr>
                <w:b w:val="0"/>
                <w:i w:val="0"/>
                <w:sz w:val="18"/>
              </w:rPr>
              <w:t>Metrology/History of Science</w:t>
            </w:r>
          </w:p>
        </w:tc>
        <w:tc>
          <w:tcPr>
            <w:tcW w:type="dxa" w:w="3629"/>
          </w:tcPr>
          <w:p>
            <w:pPr>
              <w:spacing w:before="20" w:after="20"/>
            </w:pPr>
            <w:r>
              <w:rPr>
                <w:b w:val="0"/>
                <w:i w:val="0"/>
                <w:sz w:val="18"/>
              </w:rPr>
              <w:t>Ancient metrology; Venus orbital period analysis</w:t>
            </w:r>
          </w:p>
        </w:tc>
      </w:tr>
      <w:tr>
        <w:tc>
          <w:tcPr>
            <w:tcW w:type="dxa" w:w="1308"/>
          </w:tcPr>
          <w:p>
            <w:pPr>
              <w:spacing w:before="20" w:after="20"/>
            </w:pPr>
            <w:hyperlink r:id="rId123">
              <w:r>
                <w:rPr>
                  <w:b w:val="0"/>
                  <w:i w:val="0"/>
                  <w:color w:val="B8860B"/>
                  <w:sz w:val="18"/>
                </w:rPr>
                <w:t>Lynn Rose &amp; Raymond Vaughan</w:t>
              </w:r>
            </w:hyperlink>
          </w:p>
        </w:tc>
        <w:tc>
          <w:tcPr>
            <w:tcW w:type="dxa" w:w="1435"/>
          </w:tcPr>
          <w:p>
            <w:pPr>
              <w:spacing w:before="20" w:after="20"/>
            </w:pPr>
            <w:r>
              <w:rPr>
                <w:b w:val="0"/>
                <w:i w:val="0"/>
                <w:sz w:val="18"/>
              </w:rPr>
              <w:t>Philosophy/Mathematics</w:t>
            </w:r>
          </w:p>
        </w:tc>
        <w:tc>
          <w:tcPr>
            <w:tcW w:type="dxa" w:w="3629"/>
          </w:tcPr>
          <w:p>
            <w:pPr>
              <w:spacing w:before="20" w:after="20"/>
            </w:pPr>
            <w:r>
              <w:rPr>
                <w:b w:val="0"/>
                <w:i w:val="0"/>
                <w:sz w:val="18"/>
              </w:rPr>
              <w:t>Venus Tablets reanalysis; 685 BCE stabilization date</w:t>
            </w:r>
          </w:p>
        </w:tc>
      </w:tr>
      <w:tr>
        <w:tc>
          <w:tcPr>
            <w:tcW w:type="dxa" w:w="1308"/>
          </w:tcPr>
          <w:p>
            <w:pPr>
              <w:spacing w:before="20" w:after="20"/>
            </w:pPr>
            <w:hyperlink r:id="rId124">
              <w:r>
                <w:rPr>
                  <w:b w:val="0"/>
                  <w:i w:val="0"/>
                  <w:color w:val="B8860B"/>
                  <w:sz w:val="18"/>
                </w:rPr>
                <w:t>Tom Van Flandern</w:t>
              </w:r>
            </w:hyperlink>
          </w:p>
        </w:tc>
        <w:tc>
          <w:tcPr>
            <w:tcW w:type="dxa" w:w="1435"/>
          </w:tcPr>
          <w:p>
            <w:pPr>
              <w:spacing w:before="20" w:after="20"/>
            </w:pPr>
            <w:r>
              <w:rPr>
                <w:b w:val="0"/>
                <w:i w:val="0"/>
                <w:sz w:val="18"/>
              </w:rPr>
              <w:t>Astronomy</w:t>
            </w:r>
          </w:p>
        </w:tc>
        <w:tc>
          <w:tcPr>
            <w:tcW w:type="dxa" w:w="3629"/>
          </w:tcPr>
          <w:p>
            <w:pPr>
              <w:spacing w:before="20" w:after="20"/>
            </w:pPr>
            <w:r>
              <w:rPr>
                <w:b w:val="0"/>
                <w:i w:val="0"/>
                <w:sz w:val="18"/>
              </w:rPr>
              <w:t>Exploded Planet Hypothesis; Mars as captured moon</w:t>
            </w:r>
          </w:p>
        </w:tc>
      </w:tr>
      <w:tr>
        <w:tc>
          <w:tcPr>
            <w:tcW w:type="dxa" w:w="1308"/>
          </w:tcPr>
          <w:p>
            <w:pPr>
              <w:spacing w:before="20" w:after="20"/>
            </w:pPr>
            <w:hyperlink r:id="rId125">
              <w:r>
                <w:rPr>
                  <w:b w:val="0"/>
                  <w:i w:val="0"/>
                  <w:color w:val="B8860B"/>
                  <w:sz w:val="18"/>
                </w:rPr>
                <w:t>Martinus van der Sluijs</w:t>
              </w:r>
            </w:hyperlink>
          </w:p>
        </w:tc>
        <w:tc>
          <w:tcPr>
            <w:tcW w:type="dxa" w:w="1435"/>
          </w:tcPr>
          <w:p>
            <w:pPr>
              <w:spacing w:before="20" w:after="20"/>
            </w:pPr>
            <w:r>
              <w:rPr>
                <w:b w:val="0"/>
                <w:i w:val="0"/>
                <w:sz w:val="18"/>
              </w:rPr>
              <w:t>Independent Research</w:t>
            </w:r>
          </w:p>
        </w:tc>
        <w:tc>
          <w:tcPr>
            <w:tcW w:type="dxa" w:w="3629"/>
          </w:tcPr>
          <w:p>
            <w:pPr>
              <w:spacing w:before="20" w:after="20"/>
            </w:pPr>
            <w:r>
              <w:rPr>
                <w:b w:val="0"/>
                <w:i w:val="0"/>
                <w:sz w:val="18"/>
              </w:rPr>
              <w:t>Plasma mythology; world column traditions</w:t>
            </w:r>
          </w:p>
        </w:tc>
      </w:tr>
      <w:tr>
        <w:tc>
          <w:tcPr>
            <w:tcW w:type="dxa" w:w="1308"/>
          </w:tcPr>
          <w:p>
            <w:pPr>
              <w:spacing w:before="20" w:after="20"/>
            </w:pPr>
            <w:hyperlink r:id="rId126">
              <w:r>
                <w:rPr>
                  <w:b w:val="0"/>
                  <w:i w:val="0"/>
                  <w:color w:val="B8860B"/>
                  <w:sz w:val="18"/>
                </w:rPr>
                <w:t>Charles Ginenthal</w:t>
              </w:r>
            </w:hyperlink>
          </w:p>
        </w:tc>
        <w:tc>
          <w:tcPr>
            <w:tcW w:type="dxa" w:w="1435"/>
          </w:tcPr>
          <w:p>
            <w:pPr>
              <w:spacing w:before="20" w:after="20"/>
            </w:pPr>
            <w:r>
              <w:rPr>
                <w:b w:val="0"/>
                <w:i w:val="0"/>
                <w:sz w:val="18"/>
              </w:rPr>
              <w:t>Independent Research</w:t>
            </w:r>
          </w:p>
        </w:tc>
        <w:tc>
          <w:tcPr>
            <w:tcW w:type="dxa" w:w="3629"/>
          </w:tcPr>
          <w:p>
            <w:pPr>
              <w:spacing w:before="20" w:after="20"/>
            </w:pPr>
            <w:r>
              <w:rPr>
                <w:b w:val="0"/>
                <w:i w:val="0"/>
                <w:sz w:val="18"/>
              </w:rPr>
              <w:t>Sagan rebuttal; mammoth extinction research</w:t>
            </w:r>
          </w:p>
        </w:tc>
      </w:tr>
      <w:tr>
        <w:tc>
          <w:tcPr>
            <w:tcW w:type="dxa" w:w="1308"/>
          </w:tcPr>
          <w:p>
            <w:pPr>
              <w:spacing w:before="20" w:after="20"/>
            </w:pPr>
            <w:hyperlink r:id="rId127">
              <w:r>
                <w:rPr>
                  <w:b w:val="0"/>
                  <w:i w:val="0"/>
                  <w:color w:val="B8860B"/>
                  <w:sz w:val="18"/>
                </w:rPr>
                <w:t>Robert Schoch</w:t>
              </w:r>
            </w:hyperlink>
          </w:p>
        </w:tc>
        <w:tc>
          <w:tcPr>
            <w:tcW w:type="dxa" w:w="1435"/>
          </w:tcPr>
          <w:p>
            <w:pPr>
              <w:spacing w:before="20" w:after="20"/>
            </w:pPr>
            <w:r>
              <w:rPr>
                <w:b w:val="0"/>
                <w:i w:val="0"/>
                <w:sz w:val="18"/>
              </w:rPr>
              <w:t>Geology</w:t>
            </w:r>
          </w:p>
        </w:tc>
        <w:tc>
          <w:tcPr>
            <w:tcW w:type="dxa" w:w="3629"/>
          </w:tcPr>
          <w:p>
            <w:pPr>
              <w:spacing w:before="20" w:after="20"/>
            </w:pPr>
            <w:r>
              <w:rPr>
                <w:b w:val="0"/>
                <w:i w:val="0"/>
                <w:sz w:val="18"/>
              </w:rPr>
              <w:t>Sphinx re-dating; solar plasma catastrophe hypothesis</w:t>
            </w:r>
          </w:p>
        </w:tc>
      </w:tr>
      <w:tr>
        <w:tc>
          <w:tcPr>
            <w:tcW w:type="dxa" w:w="1308"/>
          </w:tcPr>
          <w:p>
            <w:pPr>
              <w:spacing w:before="20" w:after="20"/>
            </w:pPr>
            <w:hyperlink r:id="rId128">
              <w:r>
                <w:rPr>
                  <w:b w:val="0"/>
                  <w:i w:val="0"/>
                  <w:color w:val="B8860B"/>
                  <w:sz w:val="18"/>
                </w:rPr>
                <w:t>Graham Hancock</w:t>
              </w:r>
            </w:hyperlink>
          </w:p>
        </w:tc>
        <w:tc>
          <w:tcPr>
            <w:tcW w:type="dxa" w:w="1435"/>
          </w:tcPr>
          <w:p>
            <w:pPr>
              <w:spacing w:before="20" w:after="20"/>
            </w:pPr>
            <w:r>
              <w:rPr>
                <w:b w:val="0"/>
                <w:i w:val="0"/>
                <w:sz w:val="18"/>
              </w:rPr>
              <w:t>Journalism/Research</w:t>
            </w:r>
          </w:p>
        </w:tc>
        <w:tc>
          <w:tcPr>
            <w:tcW w:type="dxa" w:w="3629"/>
          </w:tcPr>
          <w:p>
            <w:pPr>
              <w:spacing w:before="20" w:after="20"/>
            </w:pPr>
            <w:r>
              <w:rPr>
                <w:b w:val="0"/>
                <w:i w:val="0"/>
                <w:sz w:val="18"/>
              </w:rPr>
              <w:t>Lost civilization; Younger Dryas impact</w:t>
            </w:r>
          </w:p>
        </w:tc>
      </w:tr>
      <w:tr>
        <w:tc>
          <w:tcPr>
            <w:tcW w:type="dxa" w:w="1308"/>
          </w:tcPr>
          <w:p>
            <w:pPr>
              <w:spacing w:before="20" w:after="20"/>
            </w:pPr>
            <w:hyperlink r:id="rId129">
              <w:r>
                <w:rPr>
                  <w:b w:val="0"/>
                  <w:i w:val="0"/>
                  <w:color w:val="B8860B"/>
                  <w:sz w:val="18"/>
                </w:rPr>
                <w:t>Michael Cremo</w:t>
              </w:r>
            </w:hyperlink>
          </w:p>
        </w:tc>
        <w:tc>
          <w:tcPr>
            <w:tcW w:type="dxa" w:w="1435"/>
          </w:tcPr>
          <w:p>
            <w:pPr>
              <w:spacing w:before="20" w:after="20"/>
            </w:pPr>
            <w:r>
              <w:rPr>
                <w:b w:val="0"/>
                <w:i w:val="0"/>
                <w:sz w:val="18"/>
              </w:rPr>
              <w:t>Independent Research</w:t>
            </w:r>
          </w:p>
        </w:tc>
        <w:tc>
          <w:tcPr>
            <w:tcW w:type="dxa" w:w="3629"/>
          </w:tcPr>
          <w:p>
            <w:pPr>
              <w:spacing w:before="20" w:after="20"/>
            </w:pPr>
            <w:r>
              <w:rPr>
                <w:b w:val="0"/>
                <w:i w:val="0"/>
                <w:sz w:val="18"/>
              </w:rPr>
              <w:t>Forbidden archaeology; extreme human antiquity</w:t>
            </w:r>
          </w:p>
        </w:tc>
      </w:tr>
    </w:tbl>
    <w:p/>
    <w:p/>
    <w:p>
      <w:pPr>
        <w:jc w:val="center"/>
      </w:pPr>
      <w:r>
        <w:rPr>
          <w:color w:val="B8860B"/>
          <w:sz w:val="24"/>
        </w:rPr>
        <w:t>— ✦ —</w:t>
      </w:r>
    </w:p>
    <w:p>
      <w:r>
        <w:rPr>
          <w:b w:val="0"/>
          <w:i w:val="0"/>
        </w:rPr>
      </w:r>
      <w:r>
        <w:rPr>
          <w:b/>
          <w:i w:val="0"/>
        </w:rPr>
        <w:t>Russian</w:t>
      </w:r>
      <w:r>
        <w:rPr>
          <w:b w:val="0"/>
          <w:i w:val="0"/>
        </w:rPr>
        <w:t xml:space="preserve"> | </w:t>
      </w:r>
      <w:r>
        <w:rPr>
          <w:b/>
          <w:i w:val="0"/>
        </w:rPr>
        <w:t>Mathematics, astronomy, chemistry, linguistics</w:t>
      </w:r>
      <w:r>
        <w:rPr>
          <w:b w:val="0"/>
          <w:i w:val="0"/>
        </w:rPr>
      </w:r>
    </w:p>
    <w:p>
      <w:r>
        <w:rPr>
          <w:b w:val="0"/>
          <w:i w:val="0"/>
        </w:rPr>
        <w:t xml:space="preserve">Nikolai Alexandrovich Morozov (1854–1946) was a Russian revolutionary, scientist, and polymath who pioneered the astronomical analysis of biblical and historical texts, making him the foundational precursor to Fomenko's New Chronology. Imprisoned for decades in the Shlisselburg Fortress, he used the time to produce his most significant scholarship. His 1907 </w:t>
      </w:r>
      <w:r>
        <w:rPr>
          <w:b w:val="0"/>
          <w:i/>
        </w:rPr>
        <w:t>Revelation in Storm and Thunder</w:t>
      </w:r>
      <w:r>
        <w:rPr>
          <w:b w:val="0"/>
          <w:i w:val="0"/>
        </w:rPr>
        <w:t xml:space="preserve"> reinterpreted the Book of Revelation as a symbolic record of a specific astronomical event on September 30, 395 AD — not prophecy. His seven-volume </w:t>
      </w:r>
      <w:r>
        <w:rPr>
          <w:b w:val="0"/>
          <w:i/>
        </w:rPr>
        <w:t>Khristos</w:t>
      </w:r>
      <w:r>
        <w:rPr>
          <w:b w:val="0"/>
          <w:i w:val="0"/>
        </w:rPr>
        <w:t xml:space="preserve"> (1924–1932) applied astronomical, physical, and mathematical methods to overhaul traditional historical chronology, arguing that much of ancient history was fabricated and that many ancient events actually occurred in the Middle Ages. He also physically examined Codex Sinaiticus, noting its suspiciously excellent preservation for a supposedly 4th-century manuscript.</w:t>
      </w:r>
    </w:p>
    <w:p>
      <w:r>
        <w:rPr>
          <w:b w:val="0"/>
          <w:i w:val="0"/>
        </w:rPr>
      </w:r>
      <w:r>
        <w:rPr>
          <w:b/>
          <w:i w:val="0"/>
        </w:rPr>
        <w:t>Key Works:</w:t>
      </w:r>
      <w:r>
        <w:rPr>
          <w:b w:val="0"/>
          <w:i w:val="0"/>
        </w:rPr>
        <w:t xml:space="preserve"> </w:t>
      </w:r>
      <w:r>
        <w:rPr>
          <w:b w:val="0"/>
          <w:i/>
        </w:rPr>
        <w:t>The Revelation in Storm and Thunder</w:t>
      </w:r>
      <w:r>
        <w:rPr>
          <w:b w:val="0"/>
          <w:i w:val="0"/>
        </w:rPr>
        <w:t xml:space="preserve"> (1907); </w:t>
      </w:r>
      <w:r>
        <w:rPr>
          <w:b w:val="0"/>
          <w:i/>
        </w:rPr>
        <w:t>Prophets</w:t>
      </w:r>
      <w:r>
        <w:rPr>
          <w:b w:val="0"/>
          <w:i w:val="0"/>
        </w:rPr>
        <w:t xml:space="preserve"> (1914); </w:t>
      </w:r>
      <w:r>
        <w:rPr>
          <w:b w:val="0"/>
          <w:i/>
        </w:rPr>
        <w:t>Khristos</w:t>
      </w:r>
      <w:r>
        <w:rPr>
          <w:b w:val="0"/>
          <w:i w:val="0"/>
        </w:rPr>
        <w:t xml:space="preserve"> (7 vols, 1924–1932)</w:t>
      </w:r>
    </w:p>
    <w:p>
      <w:pPr>
        <w:pBdr>
          <w:bottom w:val="single" w:sz="6" w:space="1" w:color="CCCCCC"/>
        </w:pBdr>
      </w:pPr>
    </w:p>
    <w:p>
      <w:pPr>
        <w:pStyle w:val="Heading3"/>
      </w:pPr>
      <w:r>
        <w:t>See Also</w:t>
      </w:r>
    </w:p>
    <w:p>
      <w:pPr>
        <w:pStyle w:val="ListBullet"/>
        <w:spacing w:before="20" w:after="20"/>
      </w:pPr>
      <w:hyperlink r:id="rId110">
        <w:r>
          <w:rPr>
            <w:b w:val="0"/>
            <w:i w:val="0"/>
            <w:color w:val="B8860B"/>
            <w:sz w:val="19"/>
          </w:rPr>
          <w:t>Anatoly Fomenko</w:t>
        </w:r>
      </w:hyperlink>
      <w:r>
        <w:rPr>
          <w:b w:val="0"/>
          <w:i w:val="0"/>
          <w:sz w:val="19"/>
        </w:rPr>
        <w:t xml:space="preserve"> — built New Chronology directly on Morozov's astronomical methods</w:t>
      </w:r>
    </w:p>
    <w:p>
      <w:pPr>
        <w:pStyle w:val="ListBullet"/>
        <w:spacing w:before="20" w:after="20"/>
      </w:pPr>
      <w:hyperlink r:id="rId104">
        <w:r>
          <w:rPr>
            <w:b w:val="0"/>
            <w:i w:val="0"/>
            <w:color w:val="B8860B"/>
            <w:sz w:val="19"/>
          </w:rPr>
          <w:t>Authors Challenging the Mainstream Timeline</w:t>
        </w:r>
      </w:hyperlink>
    </w:p>
    <w:p/>
    <w:p>
      <w:pPr>
        <w:jc w:val="center"/>
      </w:pPr>
      <w:r>
        <w:rPr>
          <w:color w:val="B8860B"/>
          <w:sz w:val="24"/>
        </w:rPr>
        <w:t>— ✦ —</w:t>
      </w:r>
    </w:p>
    <w:p>
      <w:r>
        <w:rPr>
          <w:b w:val="0"/>
          <w:i w:val="0"/>
        </w:rPr>
      </w:r>
      <w:r>
        <w:rPr>
          <w:b/>
          <w:i w:val="0"/>
        </w:rPr>
        <w:t>Australian</w:t>
      </w:r>
      <w:r>
        <w:rPr>
          <w:b w:val="0"/>
          <w:i w:val="0"/>
        </w:rPr>
        <w:t xml:space="preserve"> | </w:t>
      </w:r>
      <w:r>
        <w:rPr>
          <w:b/>
          <w:i w:val="0"/>
        </w:rPr>
        <w:t>Physics, plasma cosmology</w:t>
      </w:r>
      <w:r>
        <w:rPr>
          <w:b w:val="0"/>
          <w:i w:val="0"/>
        </w:rPr>
      </w:r>
    </w:p>
    <w:p>
      <w:r>
        <w:rPr>
          <w:b w:val="0"/>
          <w:i w:val="0"/>
        </w:rPr>
        <w:t xml:space="preserve">Wallace "Wal" Thornhill (1942–2023) was the principal theorist of the Electric Universe model and co-founder of the Thunderbolts Project with David Talbott. Inspired by Velikovsky's </w:t>
      </w:r>
      <w:r>
        <w:rPr>
          <w:b w:val="0"/>
          <w:i/>
        </w:rPr>
        <w:t>Worlds in Collision</w:t>
      </w:r>
      <w:r>
        <w:rPr>
          <w:b w:val="0"/>
          <w:i w:val="0"/>
        </w:rPr>
        <w:t xml:space="preserve"> as a teenager, he spent five decades building an alternative cosmology grounded in plasma physics and classical electromagnetism. His core framework holds that electricity and plasma — not gravity alone — govern stars, planets, comets, and large-scale cosmic structure. He proposed the electric sun (externally powered by galactic currents, confirmed in his view by the SAFIRE experiment), electric gravity (an emergent electromagnetic phenomenon), and electric comets (rocky bodies discharging in the solar wind). His most historically significant contribution is the Saturn-Earth connection model: Saturn as a former brown dwarf that once served as Earth's host star, with the polar configuration breakup producing the catastrophes recorded in world mythology. This model is the primary scientific framework underlying this timeline's earliest chapters.</w:t>
      </w:r>
    </w:p>
    <w:p>
      <w:r>
        <w:rPr>
          <w:b w:val="0"/>
          <w:i w:val="0"/>
        </w:rPr>
      </w:r>
      <w:r>
        <w:rPr>
          <w:b/>
          <w:i w:val="0"/>
        </w:rPr>
        <w:t>Key Works:</w:t>
      </w:r>
      <w:r>
        <w:rPr>
          <w:b w:val="0"/>
          <w:i w:val="0"/>
        </w:rPr>
        <w:t xml:space="preserve"> </w:t>
      </w:r>
      <w:r>
        <w:rPr>
          <w:b w:val="0"/>
          <w:i/>
        </w:rPr>
        <w:t>Thunderbolts of the Gods</w:t>
      </w:r>
      <w:r>
        <w:rPr>
          <w:b w:val="0"/>
          <w:i w:val="0"/>
        </w:rPr>
        <w:t xml:space="preserve"> (2005, with Talbott); </w:t>
      </w:r>
      <w:r>
        <w:rPr>
          <w:b w:val="0"/>
          <w:i/>
        </w:rPr>
        <w:t>The Electric Universe</w:t>
      </w:r>
      <w:r>
        <w:rPr>
          <w:b w:val="0"/>
          <w:i w:val="0"/>
        </w:rPr>
        <w:t xml:space="preserve"> (2007, with Talbott)</w:t>
      </w:r>
    </w:p>
    <w:p>
      <w:r>
        <w:rPr>
          <w:b w:val="0"/>
          <w:i w:val="0"/>
        </w:rPr>
      </w:r>
      <w:r>
        <w:rPr>
          <w:b/>
          <w:i w:val="0"/>
        </w:rPr>
        <w:t>Primary resource:</w:t>
      </w:r>
      <w:r>
        <w:rPr>
          <w:b w:val="0"/>
          <w:i w:val="0"/>
        </w:rPr>
        <w:t xml:space="preserve"> </w:t>
      </w:r>
      <w:hyperlink r:id="rId130">
        <w:r>
          <w:rPr>
            <w:b w:val="0"/>
            <w:i w:val="0"/>
            <w:color w:val="B8860B"/>
          </w:rPr>
          <w:t>holoscience.com</w:t>
        </w:r>
      </w:hyperlink>
      <w:r>
        <w:rPr>
          <w:b w:val="0"/>
          <w:i w:val="0"/>
        </w:rPr>
        <w:t xml:space="preserve"> | </w:t>
      </w:r>
      <w:hyperlink r:id="rId131">
        <w:r>
          <w:rPr>
            <w:b w:val="0"/>
            <w:i w:val="0"/>
            <w:color w:val="B8860B"/>
          </w:rPr>
          <w:t>thunderbolts.info</w:t>
        </w:r>
      </w:hyperlink>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11">
        <w:r>
          <w:rPr>
            <w:b w:val="0"/>
            <w:i w:val="0"/>
            <w:color w:val="B8860B"/>
            <w:sz w:val="19"/>
          </w:rPr>
          <w:t>David Talbott</w:t>
        </w:r>
      </w:hyperlink>
      <w:r>
        <w:rPr>
          <w:b w:val="0"/>
          <w:i w:val="0"/>
          <w:sz w:val="19"/>
        </w:rPr>
        <w:t xml:space="preserve"> — mythology partner and Thunderbolts co-founder</w:t>
      </w:r>
    </w:p>
    <w:p>
      <w:pPr>
        <w:pStyle w:val="ListBullet"/>
        <w:spacing w:before="20" w:after="20"/>
      </w:pPr>
      <w:hyperlink r:id="rId108">
        <w:r>
          <w:rPr>
            <w:b w:val="0"/>
            <w:i w:val="0"/>
            <w:color w:val="B8860B"/>
            <w:sz w:val="19"/>
          </w:rPr>
          <w:t>Ralph Juergens</w:t>
        </w:r>
      </w:hyperlink>
      <w:r>
        <w:rPr>
          <w:b w:val="0"/>
          <w:i w:val="0"/>
          <w:sz w:val="19"/>
        </w:rPr>
        <w:t xml:space="preserve"> — originated the Electric Sun hypothesis Thornhill built upon</w:t>
      </w:r>
    </w:p>
    <w:p>
      <w:pPr>
        <w:pStyle w:val="ListBullet"/>
        <w:spacing w:before="20" w:after="20"/>
      </w:pPr>
      <w:hyperlink r:id="rId120">
        <w:r>
          <w:rPr>
            <w:b w:val="0"/>
            <w:i w:val="0"/>
            <w:color w:val="B8860B"/>
            <w:sz w:val="19"/>
          </w:rPr>
          <w:t>Dwardu Cardona</w:t>
        </w:r>
      </w:hyperlink>
      <w:r>
        <w:rPr>
          <w:b w:val="0"/>
          <w:i w:val="0"/>
          <w:sz w:val="19"/>
        </w:rPr>
        <w:t xml:space="preserve"> — God Star mythological sequence</w:t>
      </w:r>
    </w:p>
    <w:p/>
    <w:p>
      <w:pPr>
        <w:jc w:val="center"/>
      </w:pPr>
      <w:r>
        <w:rPr>
          <w:color w:val="B8860B"/>
          <w:sz w:val="24"/>
        </w:rPr>
        <w:t>— ✦ —</w:t>
      </w:r>
    </w:p>
    <w:p>
      <w:r>
        <w:rPr>
          <w:b w:val="0"/>
          <w:i w:val="0"/>
        </w:rPr>
      </w:r>
      <w:r>
        <w:rPr>
          <w:b/>
          <w:i w:val="0"/>
        </w:rPr>
        <w:t>American</w:t>
      </w:r>
      <w:r>
        <w:rPr>
          <w:b w:val="0"/>
          <w:i w:val="0"/>
        </w:rPr>
        <w:t xml:space="preserve"> | </w:t>
      </w:r>
      <w:r>
        <w:rPr>
          <w:b/>
          <w:i w:val="0"/>
        </w:rPr>
        <w:t>Civil engineering, independent cosmology</w:t>
      </w:r>
      <w:r>
        <w:rPr>
          <w:b w:val="0"/>
          <w:i w:val="0"/>
        </w:rPr>
      </w:r>
    </w:p>
    <w:p>
      <w:r>
        <w:rPr>
          <w:b w:val="0"/>
          <w:i w:val="0"/>
        </w:rPr>
        <w:t xml:space="preserve">Ralph E. Juergens (1924–1979) originated the Electric Sun hypothesis — the foundational claim that the Sun is powered by external cosmic electric discharge rather than internal thermonuclear fusion. A civil engineer by training (Case Western Reserve), he became an editor at McGraw-Hill, then associate editor of </w:t>
      </w:r>
      <w:r>
        <w:rPr>
          <w:b w:val="0"/>
          <w:i/>
        </w:rPr>
        <w:t>Pensée</w:t>
      </w:r>
      <w:r>
        <w:rPr>
          <w:b w:val="0"/>
          <w:i w:val="0"/>
        </w:rPr>
        <w:t xml:space="preserve"> and senior editor of </w:t>
      </w:r>
      <w:r>
        <w:rPr>
          <w:b w:val="0"/>
          <w:i/>
        </w:rPr>
        <w:t>Kronos</w:t>
      </w:r>
      <w:r>
        <w:rPr>
          <w:b w:val="0"/>
          <w:i w:val="0"/>
        </w:rPr>
        <w:t xml:space="preserve">. He co-founded FOSMOS (Foundation for Studies of Modern Science) in 1968 with de Grazia and Stecchini, and co-authored </w:t>
      </w:r>
      <w:r>
        <w:rPr>
          <w:b w:val="0"/>
          <w:i/>
        </w:rPr>
        <w:t>The Velikovsky Affair</w:t>
      </w:r>
      <w:r>
        <w:rPr>
          <w:b w:val="0"/>
          <w:i w:val="0"/>
        </w:rPr>
        <w:t xml:space="preserve"> (1966), documenting the institutional suppression of Velikovsky. His 1972 </w:t>
      </w:r>
      <w:r>
        <w:rPr>
          <w:b w:val="0"/>
          <w:i/>
        </w:rPr>
        <w:t>Pensée</w:t>
      </w:r>
      <w:r>
        <w:rPr>
          <w:b w:val="0"/>
          <w:i w:val="0"/>
        </w:rPr>
        <w:t xml:space="preserve"> paper first proposed the Sun as the focus of a cosmic electric discharge — the theoretical cornerstone on which Thornhill's entire Electric Universe was built. He died November 2, 1979, of officially unknown causes, two months after publishing his most mature Electric Sun papers. In 2007, Wikipedia deleted his entry, erasing the primary public record of the originator of one of the most significant heterodox cosmological frameworks of the 20th century.</w:t>
      </w:r>
    </w:p>
    <w:p>
      <w:r>
        <w:rPr>
          <w:b w:val="0"/>
          <w:i w:val="0"/>
        </w:rPr>
      </w:r>
      <w:r>
        <w:rPr>
          <w:b/>
          <w:i w:val="0"/>
        </w:rPr>
        <w:t>Key Works:</w:t>
      </w:r>
      <w:r>
        <w:rPr>
          <w:b w:val="0"/>
          <w:i w:val="0"/>
        </w:rPr>
        <w:t xml:space="preserve"> </w:t>
      </w:r>
      <w:r>
        <w:rPr>
          <w:b w:val="0"/>
          <w:i/>
        </w:rPr>
        <w:t>The Velikovsky Affair</w:t>
      </w:r>
      <w:r>
        <w:rPr>
          <w:b w:val="0"/>
          <w:i w:val="0"/>
        </w:rPr>
        <w:t xml:space="preserve"> (1966, with de Grazia and Stecchini); Electric Sun papers in </w:t>
      </w:r>
      <w:r>
        <w:rPr>
          <w:b w:val="0"/>
          <w:i/>
        </w:rPr>
        <w:t>Pensée</w:t>
      </w:r>
      <w:r>
        <w:rPr>
          <w:b w:val="0"/>
          <w:i w:val="0"/>
        </w:rPr>
        <w:t xml:space="preserve"> and </w:t>
      </w:r>
      <w:r>
        <w:rPr>
          <w:b w:val="0"/>
          <w:i/>
        </w:rPr>
        <w:t>Kronos</w:t>
      </w:r>
      <w:r>
        <w:rPr>
          <w:b w:val="0"/>
          <w:i w:val="0"/>
        </w:rPr>
        <w:t xml:space="preserve"> (1972–1979)</w:t>
      </w:r>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07">
        <w:r>
          <w:rPr>
            <w:b w:val="0"/>
            <w:i w:val="0"/>
            <w:color w:val="B8860B"/>
            <w:sz w:val="19"/>
          </w:rPr>
          <w:t>Wal Thornhill</w:t>
        </w:r>
      </w:hyperlink>
      <w:r>
        <w:rPr>
          <w:b w:val="0"/>
          <w:i w:val="0"/>
          <w:sz w:val="19"/>
        </w:rPr>
        <w:t xml:space="preserve"> — built the Electric Universe on Juergens' foundation</w:t>
      </w:r>
    </w:p>
    <w:p>
      <w:pPr>
        <w:pStyle w:val="ListBullet"/>
        <w:spacing w:before="20" w:after="20"/>
      </w:pPr>
      <w:hyperlink r:id="rId114">
        <w:r>
          <w:rPr>
            <w:b w:val="0"/>
            <w:i w:val="0"/>
            <w:color w:val="B8860B"/>
            <w:sz w:val="19"/>
          </w:rPr>
          <w:t>Alfred de Grazia</w:t>
        </w:r>
      </w:hyperlink>
      <w:r>
        <w:rPr>
          <w:b w:val="0"/>
          <w:i w:val="0"/>
          <w:sz w:val="19"/>
        </w:rPr>
        <w:t xml:space="preserve"> — co-author and FOSMOS co-founder</w:t>
      </w:r>
    </w:p>
    <w:p>
      <w:pPr>
        <w:pStyle w:val="ListBullet"/>
        <w:spacing w:before="20" w:after="20"/>
      </w:pPr>
      <w:hyperlink r:id="rId122">
        <w:r>
          <w:rPr>
            <w:b w:val="0"/>
            <w:i w:val="0"/>
            <w:color w:val="B8860B"/>
            <w:sz w:val="19"/>
          </w:rPr>
          <w:t>Livio Stecchini</w:t>
        </w:r>
      </w:hyperlink>
      <w:r>
        <w:rPr>
          <w:b w:val="0"/>
          <w:i w:val="0"/>
          <w:sz w:val="19"/>
        </w:rPr>
        <w:t xml:space="preserve"> — collaborator on </w:t>
      </w:r>
      <w:r>
        <w:rPr>
          <w:b w:val="0"/>
          <w:i/>
          <w:sz w:val="19"/>
        </w:rPr>
        <w:t>The Velikovsky Affair</w:t>
      </w:r>
    </w:p>
    <w:p/>
    <w:p>
      <w:pPr>
        <w:jc w:val="center"/>
      </w:pPr>
      <w:r>
        <w:rPr>
          <w:color w:val="B8860B"/>
          <w:sz w:val="24"/>
        </w:rPr>
        <w:t>— ✦ —</w:t>
      </w:r>
    </w:p>
    <w:p>
      <w:r>
        <w:rPr>
          <w:b w:val="0"/>
          <w:i w:val="0"/>
        </w:rPr>
      </w:r>
      <w:r>
        <w:rPr>
          <w:b/>
          <w:i w:val="0"/>
        </w:rPr>
        <w:t>Russian-Jewish, later American</w:t>
      </w:r>
      <w:r>
        <w:rPr>
          <w:b w:val="0"/>
          <w:i w:val="0"/>
        </w:rPr>
        <w:t xml:space="preserve"> | </w:t>
      </w:r>
      <w:r>
        <w:rPr>
          <w:b/>
          <w:i w:val="0"/>
        </w:rPr>
        <w:t>Psychiatry, comparative mythology, ancient history, catastrophism</w:t>
      </w:r>
      <w:r>
        <w:rPr>
          <w:b w:val="0"/>
          <w:i w:val="0"/>
        </w:rPr>
      </w:r>
    </w:p>
    <w:p>
      <w:r>
        <w:rPr>
          <w:b w:val="0"/>
          <w:i w:val="0"/>
        </w:rPr>
        <w:t xml:space="preserve">Velikovsky argued that Venus was ejected from Jupiter as a comet within human memory, making multiple near-passes to Earth that caused the plagues of Exodus and Joshua's sun standing still, before settling into its present orbit. His </w:t>
      </w:r>
      <w:r>
        <w:rPr>
          <w:b w:val="0"/>
          <w:i/>
        </w:rPr>
        <w:t>Ages in Chaos</w:t>
      </w:r>
      <w:r>
        <w:rPr>
          <w:b w:val="0"/>
          <w:i w:val="0"/>
        </w:rPr>
        <w:t xml:space="preserve"> (1952) proposed Egyptian chronology was mismatched with biblical history by ~500 years. Ancient myths, he insisted, are literal eyewitness records of celestial events. His work was suppressed with organized ferocity — an academic boycott forced his publisher to transfer </w:t>
      </w:r>
      <w:r>
        <w:rPr>
          <w:b w:val="0"/>
          <w:i/>
        </w:rPr>
        <w:t>Worlds in Collision</w:t>
      </w:r>
      <w:r>
        <w:rPr>
          <w:b w:val="0"/>
          <w:i w:val="0"/>
        </w:rPr>
        <w:t>, and Carl Sagan led a widely criticized campaign against him at the 1974 AAAS. Velikovsky was a pioneer but not the final word: his insistence on preserving Scaligerian chronology was a limitation the Saturnian Cosmology framework (Talbott, Cook, Thornhill) later transcended.</w:t>
      </w:r>
    </w:p>
    <w:p>
      <w:r>
        <w:rPr>
          <w:b w:val="0"/>
          <w:i w:val="0"/>
        </w:rPr>
      </w:r>
      <w:r>
        <w:rPr>
          <w:b/>
          <w:i w:val="0"/>
        </w:rPr>
        <w:t>Key Works:</w:t>
      </w:r>
      <w:r>
        <w:rPr>
          <w:b w:val="0"/>
          <w:i w:val="0"/>
        </w:rPr>
        <w:t xml:space="preserve"> </w:t>
      </w:r>
      <w:r>
        <w:rPr>
          <w:b w:val="0"/>
          <w:i/>
        </w:rPr>
        <w:t>Worlds in Collision</w:t>
      </w:r>
      <w:r>
        <w:rPr>
          <w:b w:val="0"/>
          <w:i w:val="0"/>
        </w:rPr>
        <w:t xml:space="preserve"> (1950); </w:t>
      </w:r>
      <w:r>
        <w:rPr>
          <w:b w:val="0"/>
          <w:i/>
        </w:rPr>
        <w:t>Ages in Chaos</w:t>
      </w:r>
      <w:r>
        <w:rPr>
          <w:b w:val="0"/>
          <w:i w:val="0"/>
        </w:rPr>
        <w:t xml:space="preserve"> (1952); </w:t>
      </w:r>
      <w:r>
        <w:rPr>
          <w:b w:val="0"/>
          <w:i/>
        </w:rPr>
        <w:t>Earth in Upheaval</w:t>
      </w:r>
      <w:r>
        <w:rPr>
          <w:b w:val="0"/>
          <w:i w:val="0"/>
        </w:rPr>
        <w:t xml:space="preserve"> (1955)</w:t>
      </w:r>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26">
        <w:r>
          <w:rPr>
            <w:b w:val="0"/>
            <w:i w:val="0"/>
            <w:color w:val="B8860B"/>
            <w:sz w:val="19"/>
          </w:rPr>
          <w:t>Charles Ginenthal</w:t>
        </w:r>
      </w:hyperlink>
      <w:r>
        <w:rPr>
          <w:b w:val="0"/>
          <w:i w:val="0"/>
          <w:sz w:val="19"/>
        </w:rPr>
        <w:t xml:space="preserve"> — definitive rebuttal of Sagan's takedown</w:t>
      </w:r>
    </w:p>
    <w:p>
      <w:pPr>
        <w:pStyle w:val="ListBullet"/>
        <w:spacing w:before="20" w:after="20"/>
      </w:pPr>
      <w:hyperlink r:id="rId114">
        <w:r>
          <w:rPr>
            <w:b w:val="0"/>
            <w:i w:val="0"/>
            <w:color w:val="B8860B"/>
            <w:sz w:val="19"/>
          </w:rPr>
          <w:t>Alfred de Grazia</w:t>
        </w:r>
      </w:hyperlink>
      <w:r>
        <w:rPr>
          <w:b w:val="0"/>
          <w:i w:val="0"/>
          <w:sz w:val="19"/>
        </w:rPr>
        <w:t xml:space="preserve"> — documented the suppression</w:t>
      </w:r>
    </w:p>
    <w:p>
      <w:pPr>
        <w:pStyle w:val="ListBullet"/>
        <w:spacing w:before="20" w:after="20"/>
      </w:pPr>
      <w:hyperlink r:id="rId111">
        <w:r>
          <w:rPr>
            <w:b w:val="0"/>
            <w:i w:val="0"/>
            <w:color w:val="B8860B"/>
            <w:sz w:val="19"/>
          </w:rPr>
          <w:t>David Talbott</w:t>
        </w:r>
      </w:hyperlink>
      <w:r>
        <w:rPr>
          <w:b w:val="0"/>
          <w:i w:val="0"/>
          <w:sz w:val="19"/>
        </w:rPr>
        <w:t xml:space="preserve"> — extended Velikovsky's catastrophism into Saturn mythology</w:t>
      </w:r>
    </w:p>
    <w:p/>
    <w:p>
      <w:pPr>
        <w:jc w:val="center"/>
      </w:pPr>
      <w:r>
        <w:rPr>
          <w:color w:val="B8860B"/>
          <w:sz w:val="24"/>
        </w:rPr>
        <w:t>— ✦ —</w:t>
      </w:r>
    </w:p>
    <w:p>
      <w:r>
        <w:rPr>
          <w:b w:val="0"/>
          <w:i w:val="0"/>
        </w:rPr>
      </w:r>
      <w:r>
        <w:rPr>
          <w:b/>
          <w:i w:val="0"/>
        </w:rPr>
        <w:t>Russian</w:t>
      </w:r>
      <w:r>
        <w:rPr>
          <w:b w:val="0"/>
          <w:i w:val="0"/>
        </w:rPr>
        <w:t xml:space="preserve"> | </w:t>
      </w:r>
      <w:r>
        <w:rPr>
          <w:b/>
          <w:i w:val="0"/>
        </w:rPr>
        <w:t>Mathematics, topology, statistics, historical chronology</w:t>
      </w:r>
      <w:r>
        <w:rPr>
          <w:b w:val="0"/>
          <w:i w:val="0"/>
        </w:rPr>
      </w:r>
    </w:p>
    <w:p>
      <w:r>
        <w:rPr>
          <w:b w:val="0"/>
          <w:i w:val="0"/>
        </w:rPr>
        <w:t>Fomenko is a full professor at Moscow State University, a member of the Russian Academy of Sciences, and a leading topologist who turned statistical analysis toward historical records beginning in 1973. Analyzing over 2,200 sources, he discovered systematic misdating throughout conventional history — identifying three major chronological shifts of approximately 333, 1,053, and 1,800 years embedded in Scaligerian chronology. His New Chronology argues that all "ancient" Greek, Roman, and Egyptian civilization is actually medieval (no earlier than ~900 CE), and that the historical Christ was born December 25, 1152 CE in the Crimea and crucified outside Constantinople in 1185 CE. His seven-volume work provides the backbone chronological framework for this timeline's medieval and post-medieval sections.</w:t>
      </w:r>
    </w:p>
    <w:p>
      <w:r>
        <w:rPr>
          <w:b w:val="0"/>
          <w:i w:val="0"/>
        </w:rPr>
      </w:r>
      <w:r>
        <w:rPr>
          <w:b/>
          <w:i w:val="0"/>
        </w:rPr>
        <w:t>Key Works:</w:t>
      </w:r>
      <w:r>
        <w:rPr>
          <w:b w:val="0"/>
          <w:i w:val="0"/>
        </w:rPr>
        <w:t xml:space="preserve"> </w:t>
      </w:r>
      <w:r>
        <w:rPr>
          <w:b w:val="0"/>
          <w:i/>
        </w:rPr>
        <w:t>History: Fiction or Science?</w:t>
      </w:r>
      <w:r>
        <w:rPr>
          <w:b w:val="0"/>
          <w:i w:val="0"/>
        </w:rPr>
        <w:t xml:space="preserve"> (7 vols, 1999–2006)</w:t>
      </w:r>
    </w:p>
    <w:p>
      <w:r>
        <w:rPr>
          <w:b w:val="0"/>
          <w:i w:val="0"/>
        </w:rPr>
      </w:r>
      <w:r>
        <w:rPr>
          <w:b/>
          <w:i w:val="0"/>
        </w:rPr>
        <w:t>Primary resource:</w:t>
      </w:r>
      <w:r>
        <w:rPr>
          <w:b w:val="0"/>
          <w:i w:val="0"/>
        </w:rPr>
        <w:t xml:space="preserve"> </w:t>
      </w:r>
      <w:hyperlink r:id="rId132">
        <w:r>
          <w:rPr>
            <w:b w:val="0"/>
            <w:i w:val="0"/>
            <w:color w:val="B8860B"/>
          </w:rPr>
          <w:t>chronologia.org</w:t>
        </w:r>
      </w:hyperlink>
    </w:p>
    <w:p>
      <w:pPr>
        <w:pStyle w:val="Heading3"/>
      </w:pPr>
      <w:r>
        <w:t>Does Both</w:t>
      </w:r>
    </w:p>
    <w:p>
      <w:r>
        <w:rPr>
          <w:b w:val="0"/>
          <w:i w:val="0"/>
        </w:rPr>
        <w:t xml:space="preserve">Fomenko both </w:t>
      </w:r>
      <w:r>
        <w:rPr>
          <w:b/>
          <w:i w:val="0"/>
        </w:rPr>
        <w:t>challenges chronology</w:t>
      </w:r>
      <w:r>
        <w:rPr>
          <w:b w:val="0"/>
          <w:i w:val="0"/>
        </w:rPr>
        <w:t xml:space="preserve"> (his primary work) and </w:t>
      </w:r>
      <w:r>
        <w:rPr>
          <w:b/>
          <w:i w:val="0"/>
        </w:rPr>
        <w:t>interprets ancient texts as encoding real historical events</w:t>
      </w:r>
      <w:r>
        <w:rPr>
          <w:b w:val="0"/>
          <w:i w:val="0"/>
        </w:rPr>
        <w:t xml:space="preserve"> (the Bible, Greek myth, and Roman chronicles are all interpretations of medieval events):</w:t>
      </w:r>
    </w:p>
    <w:p>
      <w:pPr>
        <w:pStyle w:val="ListBullet"/>
        <w:spacing w:before="20" w:after="20"/>
      </w:pPr>
      <w:r>
        <w:rPr>
          <w:b w:val="0"/>
          <w:i w:val="0"/>
          <w:sz w:val="19"/>
        </w:rPr>
        <w:t xml:space="preserve">→ See </w:t>
      </w:r>
      <w:hyperlink r:id="rId104">
        <w:r>
          <w:rPr>
            <w:b w:val="0"/>
            <w:i w:val="0"/>
            <w:color w:val="B8860B"/>
            <w:sz w:val="19"/>
          </w:rPr>
          <w:t>Authors Challenging the Mainstream Timeline</w:t>
        </w:r>
      </w:hyperlink>
    </w:p>
    <w:p>
      <w:pPr>
        <w:pStyle w:val="ListBullet"/>
        <w:spacing w:before="20" w:after="20"/>
      </w:pPr>
      <w:r>
        <w:rPr>
          <w:b w:val="0"/>
          <w:i w:val="0"/>
          <w:sz w:val="19"/>
        </w:rPr>
        <w:t xml:space="preserve">→ See </w:t>
      </w:r>
      <w:hyperlink r:id="rId105">
        <w:r>
          <w:rPr>
            <w:b w:val="0"/>
            <w:i w:val="0"/>
            <w:color w:val="B8860B"/>
            <w:sz w:val="19"/>
          </w:rPr>
          <w:t>Authors Who Read Ancient Sources as World Cataclysm</w:t>
        </w:r>
      </w:hyperlink>
    </w:p>
    <w:p/>
    <w:p>
      <w:pPr>
        <w:jc w:val="center"/>
      </w:pPr>
      <w:r>
        <w:rPr>
          <w:color w:val="B8860B"/>
          <w:sz w:val="24"/>
        </w:rPr>
        <w:t>— ✦ —</w:t>
      </w:r>
    </w:p>
    <w:p>
      <w:r>
        <w:rPr>
          <w:b w:val="0"/>
          <w:i w:val="0"/>
        </w:rPr>
      </w:r>
      <w:r>
        <w:rPr>
          <w:b/>
          <w:i w:val="0"/>
        </w:rPr>
        <w:t>American</w:t>
      </w:r>
      <w:r>
        <w:rPr>
          <w:b w:val="0"/>
          <w:i w:val="0"/>
        </w:rPr>
        <w:t xml:space="preserve"> | </w:t>
      </w:r>
      <w:r>
        <w:rPr>
          <w:b/>
          <w:i w:val="0"/>
        </w:rPr>
        <w:t>Comparative mythology, independent research, catastrophism</w:t>
      </w:r>
      <w:r>
        <w:rPr>
          <w:b w:val="0"/>
          <w:i w:val="0"/>
        </w:rPr>
      </w:r>
    </w:p>
    <w:p>
      <w:r>
        <w:rPr>
          <w:b w:val="0"/>
          <w:i w:val="0"/>
        </w:rPr>
        <w:t xml:space="preserve">Talbott reconstructed the Golden Age polar configuration from comparative mythology. His 1980 </w:t>
      </w:r>
      <w:r>
        <w:rPr>
          <w:b w:val="0"/>
          <w:i/>
        </w:rPr>
        <w:t>The Saturn Myth</w:t>
      </w:r>
      <w:r>
        <w:rPr>
          <w:b w:val="0"/>
          <w:i w:val="0"/>
        </w:rPr>
        <w:t xml:space="preserve"> argued that Saturn once occupied a fixed position at Earth's polar axis, appearing as an enormously enlarged stationary "sun" before a catastrophic reconfiguration dispersed the planets. He identified consistent cross-cultural archetypes — the Wheel of Heaven, the World Column, the Great Catastrophe — as independent records of the same sky, verified across 30+ unrelated ancient cultures. His polar configuration framework (Saturn → Venus → Mars aligned along a common polar axis) is the primary mythological scaffold for this entire timeline, with Cook providing specific calendar dates and Thornhill providing the plasma physics mechanism.</w:t>
      </w:r>
    </w:p>
    <w:p>
      <w:r>
        <w:rPr>
          <w:b w:val="0"/>
          <w:i w:val="0"/>
        </w:rPr>
      </w:r>
      <w:r>
        <w:rPr>
          <w:b/>
          <w:i w:val="0"/>
        </w:rPr>
        <w:t>Key Works:</w:t>
      </w:r>
      <w:r>
        <w:rPr>
          <w:b w:val="0"/>
          <w:i w:val="0"/>
        </w:rPr>
        <w:t xml:space="preserve"> </w:t>
      </w:r>
      <w:r>
        <w:rPr>
          <w:b w:val="0"/>
          <w:i/>
        </w:rPr>
        <w:t>The Saturn Myth</w:t>
      </w:r>
      <w:r>
        <w:rPr>
          <w:b w:val="0"/>
          <w:i w:val="0"/>
        </w:rPr>
        <w:t xml:space="preserve"> (1980); </w:t>
      </w:r>
      <w:r>
        <w:rPr>
          <w:b w:val="0"/>
          <w:i/>
        </w:rPr>
        <w:t>Thunderbolts of the Gods</w:t>
      </w:r>
      <w:r>
        <w:rPr>
          <w:b w:val="0"/>
          <w:i w:val="0"/>
        </w:rPr>
        <w:t xml:space="preserve"> (2005, with Thornhill); </w:t>
      </w:r>
      <w:r>
        <w:rPr>
          <w:b w:val="0"/>
          <w:i/>
        </w:rPr>
        <w:t>The Electric Universe</w:t>
      </w:r>
      <w:r>
        <w:rPr>
          <w:b w:val="0"/>
          <w:i w:val="0"/>
        </w:rPr>
        <w:t xml:space="preserve"> (2007, with Thornhill)</w:t>
      </w:r>
    </w:p>
    <w:p>
      <w:r>
        <w:rPr>
          <w:b w:val="0"/>
          <w:i w:val="0"/>
        </w:rPr>
      </w:r>
      <w:r>
        <w:rPr>
          <w:b/>
          <w:i w:val="0"/>
        </w:rPr>
        <w:t>Primary resource:</w:t>
      </w:r>
      <w:r>
        <w:rPr>
          <w:b w:val="0"/>
          <w:i w:val="0"/>
        </w:rPr>
        <w:t xml:space="preserve"> </w:t>
      </w:r>
      <w:hyperlink r:id="rId131">
        <w:r>
          <w:rPr>
            <w:b w:val="0"/>
            <w:i w:val="0"/>
            <w:color w:val="B8860B"/>
          </w:rPr>
          <w:t>thunderbolts.info</w:t>
        </w:r>
      </w:hyperlink>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07">
        <w:r>
          <w:rPr>
            <w:b w:val="0"/>
            <w:i w:val="0"/>
            <w:color w:val="B8860B"/>
            <w:sz w:val="19"/>
          </w:rPr>
          <w:t>Wal Thornhill</w:t>
        </w:r>
      </w:hyperlink>
      <w:r>
        <w:rPr>
          <w:b w:val="0"/>
          <w:i w:val="0"/>
          <w:sz w:val="19"/>
        </w:rPr>
        <w:t xml:space="preserve"> — physics partner</w:t>
      </w:r>
    </w:p>
    <w:p>
      <w:pPr>
        <w:pStyle w:val="ListBullet"/>
        <w:spacing w:before="20" w:after="20"/>
      </w:pPr>
      <w:hyperlink r:id="rId120">
        <w:r>
          <w:rPr>
            <w:b w:val="0"/>
            <w:i w:val="0"/>
            <w:color w:val="B8860B"/>
            <w:sz w:val="19"/>
          </w:rPr>
          <w:t>Dwardu Cardona</w:t>
        </w:r>
      </w:hyperlink>
      <w:r>
        <w:rPr>
          <w:b w:val="0"/>
          <w:i w:val="0"/>
          <w:sz w:val="19"/>
        </w:rPr>
        <w:t xml:space="preserve"> — extended the God Star sequence</w:t>
      </w:r>
    </w:p>
    <w:p>
      <w:pPr>
        <w:pStyle w:val="ListBullet"/>
        <w:spacing w:before="20" w:after="20"/>
      </w:pPr>
      <w:hyperlink r:id="rId113">
        <w:r>
          <w:rPr>
            <w:b w:val="0"/>
            <w:i w:val="0"/>
            <w:color w:val="B8860B"/>
            <w:sz w:val="19"/>
          </w:rPr>
          <w:t>Jno Cook</w:t>
        </w:r>
      </w:hyperlink>
      <w:r>
        <w:rPr>
          <w:b w:val="0"/>
          <w:i w:val="0"/>
          <w:sz w:val="19"/>
        </w:rPr>
        <w:t xml:space="preserve"> — gave specific calendar dates to Talbott's sequence</w:t>
      </w:r>
    </w:p>
    <w:p/>
    <w:p>
      <w:pPr>
        <w:jc w:val="center"/>
      </w:pPr>
      <w:r>
        <w:rPr>
          <w:color w:val="B8860B"/>
          <w:sz w:val="24"/>
        </w:rPr>
        <w:t>— ✦ —</w:t>
      </w:r>
    </w:p>
    <w:p>
      <w:r>
        <w:rPr>
          <w:b w:val="0"/>
          <w:i w:val="0"/>
        </w:rPr>
      </w:r>
      <w:r>
        <w:rPr>
          <w:b/>
          <w:i w:val="0"/>
        </w:rPr>
        <w:t>American</w:t>
      </w:r>
      <w:r>
        <w:rPr>
          <w:b w:val="0"/>
          <w:i w:val="0"/>
        </w:rPr>
        <w:t xml:space="preserve"> | </w:t>
      </w:r>
      <w:r>
        <w:rPr>
          <w:b/>
          <w:i w:val="0"/>
        </w:rPr>
        <w:t>Plasma physics, archaeoastronomy</w:t>
      </w:r>
      <w:r>
        <w:rPr>
          <w:b w:val="0"/>
          <w:i w:val="0"/>
        </w:rPr>
      </w:r>
    </w:p>
    <w:p>
      <w:r>
        <w:rPr>
          <w:b w:val="0"/>
          <w:i w:val="0"/>
        </w:rPr>
        <w:t>Peratt is a plasma physicist from Los Alamos National Laboratory and student of Nobel laureate Hannes Alfvén. He discovered that ancient petroglyphs worldwide depict patterns identical to those produced in laboratory high-current Z-pinch plasma discharge experiments — over 100 distinct petroglyph types on every inhabited continent mapping precisely to specific discharge phases. His 2003 paper identified three plasma columns in the ancient southern sky corresponding to the Saturnian lower configuration (squatting-man, columnar stacks, dot-in-circle motifs). The angle of incidence of petroglyph imagery relative to the horizon matches predictions for specific latitudes, confirming a common celestial source. This is the hardest physical evidence linking ancient rock art to actual plasma events.</w:t>
      </w:r>
    </w:p>
    <w:p>
      <w:r>
        <w:rPr>
          <w:b w:val="0"/>
          <w:i w:val="0"/>
        </w:rPr>
      </w:r>
      <w:r>
        <w:rPr>
          <w:b/>
          <w:i w:val="0"/>
        </w:rPr>
        <w:t>Key Works:</w:t>
      </w:r>
      <w:r>
        <w:rPr>
          <w:b w:val="0"/>
          <w:i w:val="0"/>
        </w:rPr>
        <w:t xml:space="preserve"> </w:t>
      </w:r>
      <w:r>
        <w:rPr>
          <w:b w:val="0"/>
          <w:i/>
        </w:rPr>
        <w:t>Characteristics for the Occurrence of a High Current Z-Pinch Aurora as Recorded in Antiquity</w:t>
      </w:r>
      <w:r>
        <w:rPr>
          <w:b w:val="0"/>
          <w:i w:val="0"/>
        </w:rPr>
        <w:t xml:space="preserve"> (Parts I &amp; II, 2003)</w:t>
      </w:r>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25">
        <w:r>
          <w:rPr>
            <w:b w:val="0"/>
            <w:i w:val="0"/>
            <w:color w:val="B8860B"/>
            <w:sz w:val="19"/>
          </w:rPr>
          <w:t>Martinus van der Sluijs</w:t>
        </w:r>
      </w:hyperlink>
      <w:r>
        <w:rPr>
          <w:b w:val="0"/>
          <w:i w:val="0"/>
          <w:sz w:val="19"/>
        </w:rPr>
        <w:t xml:space="preserve"> — extended Peratt's work into written texts</w:t>
      </w:r>
    </w:p>
    <w:p>
      <w:pPr>
        <w:pStyle w:val="ListBullet"/>
        <w:spacing w:before="20" w:after="20"/>
      </w:pPr>
      <w:hyperlink r:id="rId111">
        <w:r>
          <w:rPr>
            <w:b w:val="0"/>
            <w:i w:val="0"/>
            <w:color w:val="B8860B"/>
            <w:sz w:val="19"/>
          </w:rPr>
          <w:t>David Talbott</w:t>
        </w:r>
      </w:hyperlink>
      <w:r>
        <w:rPr>
          <w:b w:val="0"/>
          <w:i w:val="0"/>
          <w:sz w:val="19"/>
        </w:rPr>
        <w:t xml:space="preserve"> — mythological framework that contextualizes the petroglyphs</w:t>
      </w:r>
    </w:p>
    <w:p/>
    <w:p>
      <w:pPr>
        <w:jc w:val="center"/>
      </w:pPr>
      <w:r>
        <w:rPr>
          <w:color w:val="B8860B"/>
          <w:sz w:val="24"/>
        </w:rPr>
        <w:t>— ✦ —</w:t>
      </w:r>
    </w:p>
    <w:p>
      <w:r>
        <w:rPr>
          <w:b w:val="0"/>
          <w:i w:val="0"/>
        </w:rPr>
      </w:r>
      <w:r>
        <w:rPr>
          <w:b/>
          <w:i w:val="0"/>
        </w:rPr>
        <w:t>American</w:t>
      </w:r>
      <w:r>
        <w:rPr>
          <w:b w:val="0"/>
          <w:i w:val="0"/>
        </w:rPr>
        <w:t xml:space="preserve"> | </w:t>
      </w:r>
      <w:r>
        <w:rPr>
          <w:b/>
          <w:i w:val="0"/>
        </w:rPr>
        <w:t>Independent research, catastrophist chronology, Mesoamerican calendrics</w:t>
      </w:r>
      <w:r>
        <w:rPr>
          <w:b w:val="0"/>
          <w:i w:val="0"/>
        </w:rPr>
      </w:r>
    </w:p>
    <w:p>
      <w:r>
        <w:rPr>
          <w:b w:val="0"/>
          <w:i w:val="0"/>
        </w:rPr>
        <w:t>Cook authored the most detailed chronological reconstruction of Saturnian events with specific calendar dates, published at saturniancosmology.org. His unique contribution is cross-cultural calendar triangulation — applying Mesoamerican Long Count data, Chinese annals, and Mesopotamian king lists simultaneously against the mythological sequence to produce specific year assignments. This timeline's Golden Age and Dark Ages event dates come primarily from Cook: 4077 BCE (start of polar configuration), 3147 BCE (end of the Golden Age), and 685 BCE (orbital stabilization, from Rose &amp; Vaughan). The site is not original independent research but a synthesis of the entire catastrophist tradition, continuously revised since 2001.</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635"/>
        <w:gridCol w:w="4738"/>
      </w:tblGrid>
      <w:tr>
        <w:tc>
          <w:tcPr>
            <w:tcW w:type="dxa" w:w="1635"/>
            <w:shd w:val="clear" w:color="auto" w:fill="F0F0F0"/>
          </w:tcPr>
          <w:p>
            <w:pPr>
              <w:spacing w:before="20" w:after="20"/>
              <w:jc w:val="center"/>
            </w:pPr>
            <w:r>
              <w:rPr>
                <w:rFonts w:ascii="Libre Franklin" w:hAnsi="Libre Franklin"/>
                <w:b/>
                <w:sz w:val="18"/>
              </w:rPr>
              <w:t>Source</w:t>
            </w:r>
          </w:p>
        </w:tc>
        <w:tc>
          <w:tcPr>
            <w:tcW w:type="dxa" w:w="4738"/>
            <w:shd w:val="clear" w:color="auto" w:fill="F0F0F0"/>
          </w:tcPr>
          <w:p>
            <w:pPr>
              <w:spacing w:before="20" w:after="20"/>
              <w:jc w:val="center"/>
            </w:pPr>
            <w:r>
              <w:rPr>
                <w:rFonts w:ascii="Libre Franklin" w:hAnsi="Libre Franklin"/>
                <w:b/>
                <w:sz w:val="18"/>
              </w:rPr>
              <w:t>Contribution to Cook's framework</w:t>
            </w:r>
          </w:p>
        </w:tc>
      </w:tr>
      <w:tr>
        <w:tc>
          <w:tcPr>
            <w:tcW w:type="dxa" w:w="1635"/>
          </w:tcPr>
          <w:p>
            <w:pPr>
              <w:spacing w:before="20" w:after="20"/>
            </w:pPr>
            <w:r>
              <w:rPr>
                <w:b w:val="0"/>
                <w:i w:val="0"/>
                <w:sz w:val="18"/>
              </w:rPr>
              <w:t>Talbott</w:t>
            </w:r>
          </w:p>
        </w:tc>
        <w:tc>
          <w:tcPr>
            <w:tcW w:type="dxa" w:w="4738"/>
          </w:tcPr>
          <w:p>
            <w:pPr>
              <w:spacing w:before="20" w:after="20"/>
            </w:pPr>
            <w:r>
              <w:rPr>
                <w:b w:val="0"/>
                <w:i w:val="0"/>
                <w:sz w:val="18"/>
              </w:rPr>
              <w:t>Polar configuration mythology</w:t>
            </w:r>
          </w:p>
        </w:tc>
      </w:tr>
      <w:tr>
        <w:tc>
          <w:tcPr>
            <w:tcW w:type="dxa" w:w="1635"/>
          </w:tcPr>
          <w:p>
            <w:pPr>
              <w:spacing w:before="20" w:after="20"/>
            </w:pPr>
            <w:r>
              <w:rPr>
                <w:b w:val="0"/>
                <w:i w:val="0"/>
                <w:sz w:val="18"/>
              </w:rPr>
              <w:t>Thornhill</w:t>
            </w:r>
          </w:p>
        </w:tc>
        <w:tc>
          <w:tcPr>
            <w:tcW w:type="dxa" w:w="4738"/>
          </w:tcPr>
          <w:p>
            <w:pPr>
              <w:spacing w:before="20" w:after="20"/>
            </w:pPr>
            <w:r>
              <w:rPr>
                <w:b w:val="0"/>
                <w:i w:val="0"/>
                <w:sz w:val="18"/>
              </w:rPr>
              <w:t>EU physics mechanism</w:t>
            </w:r>
          </w:p>
        </w:tc>
      </w:tr>
      <w:tr>
        <w:tc>
          <w:tcPr>
            <w:tcW w:type="dxa" w:w="1635"/>
          </w:tcPr>
          <w:p>
            <w:pPr>
              <w:spacing w:before="20" w:after="20"/>
            </w:pPr>
            <w:r>
              <w:rPr>
                <w:b w:val="0"/>
                <w:i w:val="0"/>
                <w:sz w:val="18"/>
              </w:rPr>
              <w:t>Peratt</w:t>
            </w:r>
          </w:p>
        </w:tc>
        <w:tc>
          <w:tcPr>
            <w:tcW w:type="dxa" w:w="4738"/>
          </w:tcPr>
          <w:p>
            <w:pPr>
              <w:spacing w:before="20" w:after="20"/>
            </w:pPr>
            <w:r>
              <w:rPr>
                <w:b w:val="0"/>
                <w:i w:val="0"/>
                <w:sz w:val="18"/>
              </w:rPr>
              <w:t>Petroglyph dating</w:t>
            </w:r>
          </w:p>
        </w:tc>
      </w:tr>
      <w:tr>
        <w:tc>
          <w:tcPr>
            <w:tcW w:type="dxa" w:w="1635"/>
          </w:tcPr>
          <w:p>
            <w:pPr>
              <w:spacing w:before="20" w:after="20"/>
            </w:pPr>
            <w:r>
              <w:rPr>
                <w:b w:val="0"/>
                <w:i w:val="0"/>
                <w:sz w:val="18"/>
              </w:rPr>
              <w:t>Cardona</w:t>
            </w:r>
          </w:p>
        </w:tc>
        <w:tc>
          <w:tcPr>
            <w:tcW w:type="dxa" w:w="4738"/>
          </w:tcPr>
          <w:p>
            <w:pPr>
              <w:spacing w:before="20" w:after="20"/>
            </w:pPr>
            <w:r>
              <w:rPr>
                <w:b w:val="0"/>
                <w:i w:val="0"/>
                <w:sz w:val="18"/>
              </w:rPr>
              <w:t>God Star sequence</w:t>
            </w:r>
          </w:p>
        </w:tc>
      </w:tr>
      <w:tr>
        <w:tc>
          <w:tcPr>
            <w:tcW w:type="dxa" w:w="1635"/>
          </w:tcPr>
          <w:p>
            <w:pPr>
              <w:spacing w:before="20" w:after="20"/>
            </w:pPr>
            <w:r>
              <w:rPr>
                <w:b w:val="0"/>
                <w:i w:val="0"/>
                <w:sz w:val="18"/>
              </w:rPr>
              <w:t>Rose &amp; Vaughan</w:t>
            </w:r>
          </w:p>
        </w:tc>
        <w:tc>
          <w:tcPr>
            <w:tcW w:type="dxa" w:w="4738"/>
          </w:tcPr>
          <w:p>
            <w:pPr>
              <w:spacing w:before="20" w:after="20"/>
            </w:pPr>
            <w:r>
              <w:rPr>
                <w:b w:val="0"/>
                <w:i w:val="0"/>
                <w:sz w:val="18"/>
              </w:rPr>
              <w:t>685 BCE Venus stabilization</w:t>
            </w:r>
          </w:p>
        </w:tc>
      </w:tr>
    </w:tbl>
    <w:p/>
    <w:p>
      <w:r>
        <w:rPr>
          <w:b w:val="0"/>
          <w:i w:val="0"/>
        </w:rPr>
      </w:r>
      <w:r>
        <w:rPr>
          <w:b/>
          <w:i w:val="0"/>
        </w:rPr>
        <w:t>Key Works:</w:t>
      </w:r>
      <w:r>
        <w:rPr>
          <w:b w:val="0"/>
          <w:i w:val="0"/>
        </w:rPr>
        <w:t xml:space="preserve"> </w:t>
      </w:r>
      <w:hyperlink r:id="rId133">
        <w:r>
          <w:rPr>
            <w:b w:val="0"/>
            <w:i w:val="0"/>
            <w:color w:val="B8860B"/>
          </w:rPr>
          <w:t>saturniancosmology.org</w:t>
        </w:r>
      </w:hyperlink>
      <w:r>
        <w:rPr>
          <w:b w:val="0"/>
          <w:i w:val="0"/>
        </w:rPr>
        <w:t xml:space="preserve"> (ongoing, rev. 42.42)</w:t>
      </w:r>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11">
        <w:r>
          <w:rPr>
            <w:b w:val="0"/>
            <w:i w:val="0"/>
            <w:color w:val="B8860B"/>
            <w:sz w:val="19"/>
          </w:rPr>
          <w:t>David Talbott</w:t>
        </w:r>
      </w:hyperlink>
    </w:p>
    <w:p>
      <w:pPr>
        <w:pStyle w:val="ListBullet"/>
        <w:spacing w:before="20" w:after="20"/>
      </w:pPr>
      <w:hyperlink r:id="rId107">
        <w:r>
          <w:rPr>
            <w:b w:val="0"/>
            <w:i w:val="0"/>
            <w:color w:val="B8860B"/>
            <w:sz w:val="19"/>
          </w:rPr>
          <w:t>Wal Thornhill</w:t>
        </w:r>
      </w:hyperlink>
    </w:p>
    <w:p>
      <w:pPr>
        <w:pStyle w:val="ListBullet"/>
        <w:spacing w:before="20" w:after="20"/>
      </w:pPr>
      <w:hyperlink r:id="rId123">
        <w:r>
          <w:rPr>
            <w:b w:val="0"/>
            <w:i w:val="0"/>
            <w:color w:val="B8860B"/>
            <w:sz w:val="19"/>
          </w:rPr>
          <w:t>Lynn Rose &amp; Raymond Vaughan</w:t>
        </w:r>
      </w:hyperlink>
    </w:p>
    <w:p/>
    <w:p>
      <w:pPr>
        <w:jc w:val="center"/>
      </w:pPr>
      <w:r>
        <w:rPr>
          <w:color w:val="B8860B"/>
          <w:sz w:val="24"/>
        </w:rPr>
        <w:t>— ✦ —</w:t>
      </w:r>
    </w:p>
    <w:p>
      <w:r>
        <w:rPr>
          <w:b w:val="0"/>
          <w:i w:val="0"/>
        </w:rPr>
      </w:r>
      <w:r>
        <w:rPr>
          <w:b/>
          <w:i w:val="0"/>
        </w:rPr>
        <w:t>American</w:t>
      </w:r>
      <w:r>
        <w:rPr>
          <w:b w:val="0"/>
          <w:i w:val="0"/>
        </w:rPr>
        <w:t xml:space="preserve"> | </w:t>
      </w:r>
      <w:r>
        <w:rPr>
          <w:b/>
          <w:i w:val="0"/>
        </w:rPr>
        <w:t>Political science, catastrophism, quantavolution</w:t>
      </w:r>
      <w:r>
        <w:rPr>
          <w:b w:val="0"/>
          <w:i w:val="0"/>
        </w:rPr>
      </w:r>
    </w:p>
    <w:p>
      <w:r>
        <w:rPr>
          <w:b w:val="0"/>
          <w:i w:val="0"/>
        </w:rPr>
        <w:t xml:space="preserve">De Grazia coined "quantavolution" to describe sudden, catastrophic change as the driver of geological and human history — as opposed to uniformitarian gradualism. A close associate of Velikovsky and the principal systematizer of the catastrophist intellectual project, he produced the 15-volume </w:t>
      </w:r>
      <w:r>
        <w:rPr>
          <w:b w:val="0"/>
          <w:i/>
        </w:rPr>
        <w:t>Quantavolution &amp; Catastrophe</w:t>
      </w:r>
      <w:r>
        <w:rPr>
          <w:b w:val="0"/>
          <w:i w:val="0"/>
        </w:rPr>
        <w:t xml:space="preserve"> series covering cosmology, Earth science, myth, psychology, and history from a unified catastrophist perspective. He co-authored </w:t>
      </w:r>
      <w:r>
        <w:rPr>
          <w:b w:val="0"/>
          <w:i/>
        </w:rPr>
        <w:t>The Velikovsky Affair</w:t>
      </w:r>
      <w:r>
        <w:rPr>
          <w:b w:val="0"/>
          <w:i w:val="0"/>
        </w:rPr>
        <w:t xml:space="preserve"> (1966) with Juergens and Stecchini, the foundational documentation of Velikovsky's institutional suppression. His </w:t>
      </w:r>
      <w:r>
        <w:rPr>
          <w:b w:val="0"/>
          <w:i/>
        </w:rPr>
        <w:t>Cosmic Heretics</w:t>
      </w:r>
      <w:r>
        <w:rPr>
          <w:b w:val="0"/>
          <w:i w:val="0"/>
        </w:rPr>
        <w:t xml:space="preserve"> (1984) is the insider memoir of the catastrophist movement. Cook credits his </w:t>
      </w:r>
      <w:r>
        <w:rPr>
          <w:b w:val="0"/>
          <w:i/>
        </w:rPr>
        <w:t>Iron Age of Mars</w:t>
      </w:r>
      <w:r>
        <w:rPr>
          <w:b w:val="0"/>
          <w:i w:val="0"/>
        </w:rPr>
        <w:t xml:space="preserve"> as the "most noteworthy resource" for that era.</w:t>
      </w:r>
    </w:p>
    <w:p>
      <w:r>
        <w:rPr>
          <w:b w:val="0"/>
          <w:i w:val="0"/>
        </w:rPr>
      </w:r>
      <w:r>
        <w:rPr>
          <w:b/>
          <w:i w:val="0"/>
        </w:rPr>
        <w:t>Key Works:</w:t>
      </w:r>
      <w:r>
        <w:rPr>
          <w:b w:val="0"/>
          <w:i w:val="0"/>
        </w:rPr>
        <w:t xml:space="preserve"> </w:t>
      </w:r>
      <w:r>
        <w:rPr>
          <w:b w:val="0"/>
          <w:i/>
        </w:rPr>
        <w:t>Quantavolution &amp; Catastrophe</w:t>
      </w:r>
      <w:r>
        <w:rPr>
          <w:b w:val="0"/>
          <w:i w:val="0"/>
        </w:rPr>
        <w:t xml:space="preserve"> series (15 vols); </w:t>
      </w:r>
      <w:r>
        <w:rPr>
          <w:b w:val="0"/>
          <w:i/>
        </w:rPr>
        <w:t>The Velikovsky Affair</w:t>
      </w:r>
      <w:r>
        <w:rPr>
          <w:b w:val="0"/>
          <w:i w:val="0"/>
        </w:rPr>
        <w:t xml:space="preserve"> (1966); </w:t>
      </w:r>
      <w:r>
        <w:rPr>
          <w:b w:val="0"/>
          <w:i/>
        </w:rPr>
        <w:t>Cosmic Heretics</w:t>
      </w:r>
      <w:r>
        <w:rPr>
          <w:b w:val="0"/>
          <w:i w:val="0"/>
        </w:rPr>
        <w:t xml:space="preserve"> (1984)</w:t>
      </w:r>
    </w:p>
    <w:p>
      <w:r>
        <w:rPr>
          <w:b w:val="0"/>
          <w:i w:val="0"/>
        </w:rPr>
      </w:r>
      <w:r>
        <w:rPr>
          <w:b/>
          <w:i w:val="0"/>
        </w:rPr>
        <w:t>Primary resource:</w:t>
      </w:r>
      <w:r>
        <w:rPr>
          <w:b w:val="0"/>
          <w:i w:val="0"/>
        </w:rPr>
        <w:t xml:space="preserve"> </w:t>
      </w:r>
      <w:hyperlink r:id="rId134">
        <w:r>
          <w:rPr>
            <w:b w:val="0"/>
            <w:i w:val="0"/>
            <w:color w:val="B8860B"/>
          </w:rPr>
          <w:t>grazian-archive.com</w:t>
        </w:r>
      </w:hyperlink>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22">
        <w:r>
          <w:rPr>
            <w:b w:val="0"/>
            <w:i w:val="0"/>
            <w:color w:val="B8860B"/>
            <w:sz w:val="19"/>
          </w:rPr>
          <w:t>Livio Stecchini</w:t>
        </w:r>
      </w:hyperlink>
      <w:r>
        <w:rPr>
          <w:b w:val="0"/>
          <w:i w:val="0"/>
          <w:sz w:val="19"/>
        </w:rPr>
        <w:t xml:space="preserve"> — primary collaborator</w:t>
      </w:r>
    </w:p>
    <w:p>
      <w:pPr>
        <w:pStyle w:val="ListBullet"/>
        <w:spacing w:before="20" w:after="20"/>
      </w:pPr>
      <w:hyperlink r:id="rId108">
        <w:r>
          <w:rPr>
            <w:b w:val="0"/>
            <w:i w:val="0"/>
            <w:color w:val="B8860B"/>
            <w:sz w:val="19"/>
          </w:rPr>
          <w:t>Ralph Juergens</w:t>
        </w:r>
      </w:hyperlink>
      <w:r>
        <w:rPr>
          <w:b w:val="0"/>
          <w:i w:val="0"/>
          <w:sz w:val="19"/>
        </w:rPr>
        <w:t xml:space="preserve"> — primary collaborator and co-editor</w:t>
      </w:r>
    </w:p>
    <w:p>
      <w:pPr>
        <w:pStyle w:val="ListBullet"/>
        <w:spacing w:before="20" w:after="20"/>
      </w:pPr>
      <w:hyperlink r:id="rId109">
        <w:r>
          <w:rPr>
            <w:b w:val="0"/>
            <w:i w:val="0"/>
            <w:color w:val="B8860B"/>
            <w:sz w:val="19"/>
          </w:rPr>
          <w:t>Immanuel Velikovsky</w:t>
        </w:r>
      </w:hyperlink>
      <w:r>
        <w:rPr>
          <w:b w:val="0"/>
          <w:i w:val="0"/>
          <w:sz w:val="19"/>
        </w:rPr>
        <w:t xml:space="preserve"> — the intellectual project de Grazia systematized</w:t>
      </w:r>
    </w:p>
    <w:p/>
    <w:p>
      <w:pPr>
        <w:jc w:val="center"/>
      </w:pPr>
      <w:r>
        <w:rPr>
          <w:color w:val="B8860B"/>
          <w:sz w:val="24"/>
        </w:rPr>
        <w:t>— ✦ —</w:t>
      </w:r>
    </w:p>
    <w:p>
      <w:r>
        <w:rPr>
          <w:b w:val="0"/>
          <w:i w:val="0"/>
        </w:rPr>
      </w:r>
      <w:r>
        <w:rPr>
          <w:b/>
          <w:i w:val="0"/>
        </w:rPr>
        <w:t>American</w:t>
      </w:r>
      <w:r>
        <w:rPr>
          <w:b w:val="0"/>
          <w:i w:val="0"/>
        </w:rPr>
        <w:t xml:space="preserve"> | </w:t>
      </w:r>
      <w:r>
        <w:rPr>
          <w:b/>
          <w:i w:val="0"/>
        </w:rPr>
        <w:t>Electrical engineering, plasma astrophysics</w:t>
      </w:r>
      <w:r>
        <w:rPr>
          <w:b w:val="0"/>
          <w:i w:val="0"/>
        </w:rPr>
      </w:r>
    </w:p>
    <w:p>
      <w:r>
        <w:rPr>
          <w:b w:val="0"/>
          <w:i w:val="0"/>
        </w:rPr>
        <w:t>Scott is a retired professor of electrical engineering who applied engineering principles directly to astrophysical phenomena, producing the engineering-grade formalization of the Electric Universe plasma model. He formalized the three modes of plasma discharge (dark, glow, arc), built Juergens's electric sun into rigorous engineering analysis with calculated current flows and voltage potentials, and argued that galaxies are organized along Birkeland current filaments. Cook lists him alongside Thornhill as essential for understanding the plasma physics of the polar configuration.</w:t>
      </w:r>
    </w:p>
    <w:p>
      <w:r>
        <w:rPr>
          <w:b w:val="0"/>
          <w:i w:val="0"/>
        </w:rPr>
      </w:r>
      <w:r>
        <w:rPr>
          <w:b/>
          <w:i w:val="0"/>
        </w:rPr>
        <w:t>Key Works:</w:t>
      </w:r>
      <w:r>
        <w:rPr>
          <w:b w:val="0"/>
          <w:i w:val="0"/>
        </w:rPr>
        <w:t xml:space="preserve"> </w:t>
      </w:r>
      <w:r>
        <w:rPr>
          <w:b w:val="0"/>
          <w:i/>
        </w:rPr>
        <w:t>The Electric Sky</w:t>
      </w:r>
      <w:r>
        <w:rPr>
          <w:b w:val="0"/>
          <w:i w:val="0"/>
        </w:rPr>
        <w:t xml:space="preserve"> (2006)</w:t>
      </w:r>
    </w:p>
    <w:p>
      <w:r>
        <w:rPr>
          <w:b w:val="0"/>
          <w:i w:val="0"/>
        </w:rPr>
      </w:r>
      <w:r>
        <w:rPr>
          <w:b/>
          <w:i w:val="0"/>
        </w:rPr>
        <w:t>Primary resource:</w:t>
      </w:r>
      <w:r>
        <w:rPr>
          <w:b w:val="0"/>
          <w:i w:val="0"/>
        </w:rPr>
        <w:t xml:space="preserve"> </w:t>
      </w:r>
      <w:hyperlink r:id="rId135">
        <w:r>
          <w:rPr>
            <w:b w:val="0"/>
            <w:i w:val="0"/>
            <w:color w:val="B8860B"/>
          </w:rPr>
          <w:t>electric-cosmos.org</w:t>
        </w:r>
      </w:hyperlink>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08">
        <w:r>
          <w:rPr>
            <w:b w:val="0"/>
            <w:i w:val="0"/>
            <w:color w:val="B8860B"/>
            <w:sz w:val="19"/>
          </w:rPr>
          <w:t>Ralph Juergens</w:t>
        </w:r>
      </w:hyperlink>
      <w:r>
        <w:rPr>
          <w:b w:val="0"/>
          <w:i w:val="0"/>
          <w:sz w:val="19"/>
        </w:rPr>
        <w:t xml:space="preserve"> — Electric Sun hypothesis that Scott formalized</w:t>
      </w:r>
    </w:p>
    <w:p>
      <w:pPr>
        <w:pStyle w:val="ListBullet"/>
        <w:spacing w:before="20" w:after="20"/>
      </w:pPr>
      <w:hyperlink r:id="rId107">
        <w:r>
          <w:rPr>
            <w:b w:val="0"/>
            <w:i w:val="0"/>
            <w:color w:val="B8860B"/>
            <w:sz w:val="19"/>
          </w:rPr>
          <w:t>Wal Thornhill</w:t>
        </w:r>
      </w:hyperlink>
      <w:r>
        <w:rPr>
          <w:b w:val="0"/>
          <w:i w:val="0"/>
          <w:sz w:val="19"/>
        </w:rPr>
        <w:t xml:space="preserve"> — EU physics partner</w:t>
      </w:r>
    </w:p>
    <w:p/>
    <w:p>
      <w:pPr>
        <w:jc w:val="center"/>
      </w:pPr>
      <w:r>
        <w:rPr>
          <w:color w:val="B8860B"/>
          <w:sz w:val="24"/>
        </w:rPr>
        <w:t>— ✦ —</w:t>
      </w:r>
    </w:p>
    <w:p>
      <w:r>
        <w:rPr>
          <w:b w:val="0"/>
          <w:i w:val="0"/>
        </w:rPr>
      </w:r>
      <w:r>
        <w:rPr>
          <w:b/>
          <w:i w:val="0"/>
        </w:rPr>
        <w:t>American</w:t>
      </w:r>
      <w:r>
        <w:rPr>
          <w:b w:val="0"/>
          <w:i w:val="0"/>
        </w:rPr>
        <w:t xml:space="preserve"> | </w:t>
      </w:r>
      <w:r>
        <w:rPr>
          <w:b/>
          <w:i w:val="0"/>
        </w:rPr>
        <w:t>Independent scholarship, comparative mythology</w:t>
      </w:r>
      <w:r>
        <w:rPr>
          <w:b w:val="0"/>
          <w:i w:val="0"/>
        </w:rPr>
      </w:r>
    </w:p>
    <w:p>
      <w:r>
        <w:rPr>
          <w:b w:val="0"/>
          <w:i w:val="0"/>
        </w:rPr>
        <w:t xml:space="preserve">Cochrane is editor of the journal </w:t>
      </w:r>
      <w:r>
        <w:rPr>
          <w:b w:val="0"/>
          <w:i/>
        </w:rPr>
        <w:t>AEON</w:t>
      </w:r>
      <w:r>
        <w:rPr>
          <w:b w:val="0"/>
          <w:i w:val="0"/>
        </w:rPr>
        <w:t xml:space="preserve"> and the leading systematic analyst of Mars and Venus mythology as catastrophist record. He documented the cross-cultural universal depiction of Venus as a multi-armed, star-like warrior goddess (</w:t>
      </w:r>
      <w:r>
        <w:rPr>
          <w:b w:val="0"/>
          <w:i/>
        </w:rPr>
        <w:t>Inanna</w:t>
      </w:r>
      <w:r>
        <w:rPr>
          <w:b w:val="0"/>
          <w:i w:val="0"/>
        </w:rPr>
        <w:t xml:space="preserve">, </w:t>
      </w:r>
      <w:r>
        <w:rPr>
          <w:b w:val="0"/>
          <w:i/>
        </w:rPr>
        <w:t>Ishtar</w:t>
      </w:r>
      <w:r>
        <w:rPr>
          <w:b w:val="0"/>
          <w:i w:val="0"/>
        </w:rPr>
        <w:t xml:space="preserve">, </w:t>
      </w:r>
      <w:r>
        <w:rPr>
          <w:b w:val="0"/>
          <w:i/>
        </w:rPr>
        <w:t>Athena</w:t>
      </w:r>
      <w:r>
        <w:rPr>
          <w:b w:val="0"/>
          <w:i w:val="0"/>
        </w:rPr>
        <w:t xml:space="preserve">, </w:t>
      </w:r>
      <w:r>
        <w:rPr>
          <w:b w:val="0"/>
          <w:i/>
        </w:rPr>
        <w:t>Quetzalcoatl</w:t>
      </w:r>
      <w:r>
        <w:rPr>
          <w:b w:val="0"/>
          <w:i w:val="0"/>
        </w:rPr>
        <w:t>) consistent with a plasma-discharge column at close approach, and argued that Mars myths (the warrior god, the dragon-slayer) recorded real near-Earth passes within the polar configuration. His methodology holds that if the same "impossible" celestial figure appears independently in 30+ cultures, it was observed — not imagined. His work corroborates Velikovsky's Venus comet claim with mythological evidence Velikovsky himself never assembled.</w:t>
      </w:r>
    </w:p>
    <w:p>
      <w:r>
        <w:rPr>
          <w:b w:val="0"/>
          <w:i w:val="0"/>
        </w:rPr>
      </w:r>
      <w:r>
        <w:rPr>
          <w:b/>
          <w:i w:val="0"/>
        </w:rPr>
        <w:t>Key Works:</w:t>
      </w:r>
      <w:r>
        <w:rPr>
          <w:b w:val="0"/>
          <w:i w:val="0"/>
        </w:rPr>
        <w:t xml:space="preserve"> </w:t>
      </w:r>
      <w:r>
        <w:rPr>
          <w:b w:val="0"/>
          <w:i/>
        </w:rPr>
        <w:t>The Many Faces of Venus</w:t>
      </w:r>
      <w:r>
        <w:rPr>
          <w:b w:val="0"/>
          <w:i w:val="0"/>
        </w:rPr>
        <w:t xml:space="preserve"> (1997); </w:t>
      </w:r>
      <w:r>
        <w:rPr>
          <w:b w:val="0"/>
          <w:i/>
        </w:rPr>
        <w:t>Martian Metamorphoses</w:t>
      </w:r>
      <w:r>
        <w:rPr>
          <w:b w:val="0"/>
          <w:i w:val="0"/>
        </w:rPr>
        <w:t xml:space="preserve"> (1997); </w:t>
      </w:r>
      <w:r>
        <w:rPr>
          <w:b w:val="0"/>
          <w:i/>
        </w:rPr>
        <w:t>Stairway to Heaven</w:t>
      </w:r>
      <w:r>
        <w:rPr>
          <w:b w:val="0"/>
          <w:i w:val="0"/>
        </w:rPr>
        <w:t xml:space="preserve"> (1999)</w:t>
      </w:r>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11">
        <w:r>
          <w:rPr>
            <w:b w:val="0"/>
            <w:i w:val="0"/>
            <w:color w:val="B8860B"/>
            <w:sz w:val="19"/>
          </w:rPr>
          <w:t>David Talbott</w:t>
        </w:r>
      </w:hyperlink>
      <w:r>
        <w:rPr>
          <w:b w:val="0"/>
          <w:i w:val="0"/>
          <w:sz w:val="19"/>
        </w:rPr>
        <w:t xml:space="preserve"> — polar configuration framework</w:t>
      </w:r>
    </w:p>
    <w:p>
      <w:pPr>
        <w:pStyle w:val="ListBullet"/>
        <w:spacing w:before="20" w:after="20"/>
      </w:pPr>
      <w:hyperlink r:id="rId120">
        <w:r>
          <w:rPr>
            <w:b w:val="0"/>
            <w:i w:val="0"/>
            <w:color w:val="B8860B"/>
            <w:sz w:val="19"/>
          </w:rPr>
          <w:t>Dwardu Cardona</w:t>
        </w:r>
      </w:hyperlink>
      <w:r>
        <w:rPr>
          <w:b w:val="0"/>
          <w:i w:val="0"/>
          <w:sz w:val="19"/>
        </w:rPr>
        <w:t xml:space="preserve"> — parallel detailed mythology work</w:t>
      </w:r>
    </w:p>
    <w:p>
      <w:pPr>
        <w:pStyle w:val="ListBullet"/>
        <w:spacing w:before="20" w:after="20"/>
      </w:pPr>
      <w:hyperlink r:id="rId109">
        <w:r>
          <w:rPr>
            <w:b w:val="0"/>
            <w:i w:val="0"/>
            <w:color w:val="B8860B"/>
            <w:sz w:val="19"/>
          </w:rPr>
          <w:t>Immanuel Velikovsky</w:t>
        </w:r>
      </w:hyperlink>
      <w:r>
        <w:rPr>
          <w:b w:val="0"/>
          <w:i w:val="0"/>
          <w:sz w:val="19"/>
        </w:rPr>
        <w:t xml:space="preserve"> — foundation for Venus comet thesis</w:t>
      </w:r>
    </w:p>
    <w:p/>
    <w:p>
      <w:pPr>
        <w:jc w:val="center"/>
      </w:pPr>
      <w:r>
        <w:rPr>
          <w:color w:val="B8860B"/>
          <w:sz w:val="24"/>
        </w:rPr>
        <w:t>— ✦ —</w:t>
      </w:r>
    </w:p>
    <w:p>
      <w:r>
        <w:rPr>
          <w:b w:val="0"/>
          <w:i w:val="0"/>
        </w:rPr>
      </w:r>
      <w:r>
        <w:rPr>
          <w:b/>
          <w:i w:val="0"/>
        </w:rPr>
        <w:t>Giorgio de Santillana (1902–1974):</w:t>
      </w:r>
      <w:r>
        <w:rPr>
          <w:b w:val="0"/>
          <w:i w:val="0"/>
        </w:rPr>
        <w:t xml:space="preserve"> MIT historian of science | </w:t>
      </w:r>
      <w:r>
        <w:rPr>
          <w:b/>
          <w:i w:val="0"/>
        </w:rPr>
        <w:t>Hertha von Dechend (1915–2001):</w:t>
      </w:r>
      <w:r>
        <w:rPr>
          <w:b w:val="0"/>
          <w:i w:val="0"/>
        </w:rPr>
        <w:t xml:space="preserve"> University of Frankfurt</w:t>
      </w:r>
    </w:p>
    <w:p>
      <w:r>
        <w:rPr>
          <w:b w:val="0"/>
          <w:i w:val="0"/>
        </w:rPr>
      </w:r>
      <w:r>
        <w:rPr>
          <w:b/>
          <w:i w:val="0"/>
        </w:rPr>
        <w:t>Fields:</w:t>
      </w:r>
      <w:r>
        <w:rPr>
          <w:b w:val="0"/>
          <w:i w:val="0"/>
        </w:rPr>
        <w:t xml:space="preserve"> History of science, comparative mythology, archaeoastronomy</w:t>
      </w:r>
    </w:p>
    <w:p>
      <w:r>
        <w:rPr>
          <w:b w:val="0"/>
          <w:i w:val="0"/>
        </w:rPr>
        <w:t xml:space="preserve">Their 1969 </w:t>
      </w:r>
      <w:r>
        <w:rPr>
          <w:b w:val="0"/>
          <w:i/>
        </w:rPr>
        <w:t>Hamlet's Mill</w:t>
      </w:r>
      <w:r>
        <w:rPr>
          <w:b w:val="0"/>
          <w:i w:val="0"/>
        </w:rPr>
        <w:t xml:space="preserve"> demonstrated that ancient myth encodes precise astronomical observation — specifically the precession of the equinoxes. The worldwide "mill" metaphor (Hamlet's mill, the Norse Grotti, the Hindu churning of the ocean) is a cross-cultural image for the precessing celestial pole, not a harvest metaphor or psychological archetype. By proving that myth reliably encodes real astronomical observation, </w:t>
      </w:r>
      <w:r>
        <w:rPr>
          <w:b w:val="0"/>
          <w:i/>
        </w:rPr>
        <w:t>Hamlet's Mill</w:t>
      </w:r>
      <w:r>
        <w:rPr>
          <w:b w:val="0"/>
          <w:i w:val="0"/>
        </w:rPr>
        <w:t xml:space="preserve"> is the keystone work that legitimized reading ancient myth as literal celestial record — the methodological foundation on which Talbott's Saturn myth reconstruction and this entire timeline depend. Without de Santillana/von Dechend, the mythological evidence driving the earliest chapters could be dismissed as folklore.</w:t>
      </w:r>
    </w:p>
    <w:p>
      <w:r>
        <w:rPr>
          <w:b w:val="0"/>
          <w:i w:val="0"/>
        </w:rPr>
      </w:r>
      <w:r>
        <w:rPr>
          <w:b/>
          <w:i w:val="0"/>
        </w:rPr>
        <w:t>Key Works:</w:t>
      </w:r>
      <w:r>
        <w:rPr>
          <w:b w:val="0"/>
          <w:i w:val="0"/>
        </w:rPr>
        <w:t xml:space="preserve"> </w:t>
      </w:r>
      <w:r>
        <w:rPr>
          <w:b w:val="0"/>
          <w:i/>
        </w:rPr>
        <w:t>Hamlet's Mill: An Essay Investigating the Origins of Human Knowledge and Its Transmission Through Myth</w:t>
      </w:r>
      <w:r>
        <w:rPr>
          <w:b w:val="0"/>
          <w:i w:val="0"/>
        </w:rPr>
        <w:t xml:space="preserve"> (1969)</w:t>
      </w:r>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11">
        <w:r>
          <w:rPr>
            <w:b w:val="0"/>
            <w:i w:val="0"/>
            <w:color w:val="B8860B"/>
            <w:sz w:val="19"/>
          </w:rPr>
          <w:t>David Talbott</w:t>
        </w:r>
      </w:hyperlink>
      <w:r>
        <w:rPr>
          <w:b w:val="0"/>
          <w:i w:val="0"/>
          <w:sz w:val="19"/>
        </w:rPr>
        <w:t xml:space="preserve"> — directly built on this work</w:t>
      </w:r>
    </w:p>
    <w:p>
      <w:pPr>
        <w:pStyle w:val="ListBullet"/>
        <w:spacing w:before="20" w:after="20"/>
      </w:pPr>
      <w:hyperlink r:id="rId113">
        <w:r>
          <w:rPr>
            <w:b w:val="0"/>
            <w:i w:val="0"/>
            <w:color w:val="B8860B"/>
            <w:sz w:val="19"/>
          </w:rPr>
          <w:t>Jno Cook</w:t>
        </w:r>
      </w:hyperlink>
      <w:r>
        <w:rPr>
          <w:b w:val="0"/>
          <w:i w:val="0"/>
          <w:sz w:val="19"/>
        </w:rPr>
        <w:t xml:space="preserve"> — credits </w:t>
      </w:r>
      <w:r>
        <w:rPr>
          <w:b w:val="0"/>
          <w:i/>
          <w:sz w:val="19"/>
        </w:rPr>
        <w:t>Hamlet's Mill</w:t>
      </w:r>
      <w:r>
        <w:rPr>
          <w:b w:val="0"/>
          <w:i w:val="0"/>
          <w:sz w:val="19"/>
        </w:rPr>
        <w:t xml:space="preserve"> as a primary precursor</w:t>
      </w:r>
    </w:p>
    <w:p/>
    <w:p>
      <w:pPr>
        <w:jc w:val="center"/>
      </w:pPr>
      <w:r>
        <w:rPr>
          <w:color w:val="B8860B"/>
          <w:sz w:val="24"/>
        </w:rPr>
        <w:t>— ✦ —</w:t>
      </w:r>
    </w:p>
    <w:p>
      <w:r>
        <w:rPr>
          <w:b w:val="0"/>
          <w:i w:val="0"/>
        </w:rPr>
      </w:r>
      <w:r>
        <w:rPr>
          <w:b/>
          <w:i w:val="0"/>
        </w:rPr>
        <w:t>German</w:t>
      </w:r>
      <w:r>
        <w:rPr>
          <w:b w:val="0"/>
          <w:i w:val="0"/>
        </w:rPr>
        <w:t xml:space="preserve"> | </w:t>
      </w:r>
      <w:r>
        <w:rPr>
          <w:b/>
          <w:i w:val="0"/>
        </w:rPr>
        <w:t>Independent historical research, publishing</w:t>
      </w:r>
      <w:r>
        <w:rPr>
          <w:b w:val="0"/>
          <w:i w:val="0"/>
        </w:rPr>
      </w:r>
    </w:p>
    <w:p>
      <w:r>
        <w:rPr>
          <w:b w:val="0"/>
          <w:i w:val="0"/>
        </w:rPr>
        <w:t xml:space="preserve">Illig proposed the Phantom Time Hypothesis: 297 fabricated years (614–911 CE) inserted into the early medieval calendar. His 1991 </w:t>
      </w:r>
      <w:r>
        <w:rPr>
          <w:b w:val="0"/>
          <w:i/>
        </w:rPr>
        <w:t>Das erfundene Mittelalter</w:t>
      </w:r>
      <w:r>
        <w:rPr>
          <w:b w:val="0"/>
          <w:i w:val="0"/>
        </w:rPr>
        <w:t xml:space="preserve"> argued that Otto III, Pope Sylvester II, and Constantine VII collaborated around the year 1000 CE to insert their reign at the millennium by inventing "Charlemagne" and three centuries of history. No archaeological, astronomical, or architectural evidence unambiguously dates to the phantom period, and the Julian calendar's 13-day error by 1582 corresponds to ~1,000 years of drift rather than the expected ~1,200+. His work overlaps with Fomenko's New Chronology at the structural level — both identify a fabricated early medieval gap — though they reach it through different methods.</w:t>
      </w:r>
    </w:p>
    <w:p>
      <w:r>
        <w:rPr>
          <w:b w:val="0"/>
          <w:i w:val="0"/>
        </w:rPr>
      </w:r>
      <w:r>
        <w:rPr>
          <w:b/>
          <w:i w:val="0"/>
        </w:rPr>
        <w:t>Key Works:</w:t>
      </w:r>
      <w:r>
        <w:rPr>
          <w:b w:val="0"/>
          <w:i w:val="0"/>
        </w:rPr>
        <w:t xml:space="preserve"> </w:t>
      </w:r>
      <w:r>
        <w:rPr>
          <w:b w:val="0"/>
          <w:i/>
        </w:rPr>
        <w:t>Das erfundene Mittelalter</w:t>
      </w:r>
      <w:r>
        <w:rPr>
          <w:b w:val="0"/>
          <w:i w:val="0"/>
        </w:rPr>
        <w:t xml:space="preserve"> (</w:t>
      </w:r>
      <w:r>
        <w:rPr>
          <w:b w:val="0"/>
          <w:i/>
        </w:rPr>
        <w:t>The Invented Middle Ages</w:t>
      </w:r>
      <w:r>
        <w:rPr>
          <w:b w:val="0"/>
          <w:i w:val="0"/>
        </w:rPr>
        <w:t>, 1991)</w:t>
      </w:r>
    </w:p>
    <w:p>
      <w:pPr>
        <w:pBdr>
          <w:bottom w:val="single" w:sz="6" w:space="1" w:color="CCCCCC"/>
        </w:pBdr>
      </w:pPr>
    </w:p>
    <w:p>
      <w:pPr>
        <w:pStyle w:val="Heading3"/>
      </w:pPr>
      <w:r>
        <w:t>See Also</w:t>
      </w:r>
    </w:p>
    <w:p>
      <w:pPr>
        <w:pStyle w:val="ListBullet"/>
        <w:spacing w:before="20" w:after="20"/>
      </w:pPr>
      <w:hyperlink r:id="rId136">
        <w:r>
          <w:rPr>
            <w:b w:val="0"/>
            <w:i w:val="0"/>
            <w:color w:val="B8860B"/>
            <w:sz w:val="19"/>
          </w:rPr>
          <w:t>Other Challenges to Chronology</w:t>
        </w:r>
      </w:hyperlink>
      <w:r>
        <w:rPr>
          <w:b w:val="0"/>
          <w:i w:val="0"/>
          <w:sz w:val="19"/>
        </w:rPr>
        <w:t xml:space="preserve"> — side-by-side comparison of all gap claims</w:t>
      </w:r>
    </w:p>
    <w:p>
      <w:pPr>
        <w:pStyle w:val="ListBullet"/>
        <w:spacing w:before="20" w:after="20"/>
      </w:pPr>
      <w:hyperlink r:id="rId104">
        <w:r>
          <w:rPr>
            <w:b w:val="0"/>
            <w:i w:val="0"/>
            <w:color w:val="B8860B"/>
            <w:sz w:val="19"/>
          </w:rPr>
          <w:t>Authors Challenging the Mainstream Timeline</w:t>
        </w:r>
      </w:hyperlink>
    </w:p>
    <w:p>
      <w:pPr>
        <w:pStyle w:val="ListBullet"/>
        <w:spacing w:before="20" w:after="20"/>
      </w:pPr>
      <w:hyperlink r:id="rId110">
        <w:r>
          <w:rPr>
            <w:b w:val="0"/>
            <w:i w:val="0"/>
            <w:color w:val="B8860B"/>
            <w:sz w:val="19"/>
          </w:rPr>
          <w:t>Anatoly Fomenko</w:t>
        </w:r>
      </w:hyperlink>
      <w:r>
        <w:rPr>
          <w:b w:val="0"/>
          <w:i w:val="0"/>
          <w:sz w:val="19"/>
        </w:rPr>
        <w:t xml:space="preserve"> — parallel chronological revisionism</w:t>
      </w:r>
    </w:p>
    <w:p>
      <w:pPr>
        <w:pStyle w:val="ListBullet"/>
        <w:spacing w:before="20" w:after="20"/>
      </w:pPr>
      <w:hyperlink r:id="rId119">
        <w:r>
          <w:rPr>
            <w:b w:val="0"/>
            <w:i w:val="0"/>
            <w:color w:val="B8860B"/>
            <w:sz w:val="19"/>
          </w:rPr>
          <w:t>Gunnar Heinsohn</w:t>
        </w:r>
      </w:hyperlink>
      <w:r>
        <w:rPr>
          <w:b w:val="0"/>
          <w:i w:val="0"/>
          <w:sz w:val="19"/>
        </w:rPr>
        <w:t xml:space="preserve"> — stratigraphic confirmation of medieval compression</w:t>
      </w:r>
    </w:p>
    <w:p/>
    <w:p>
      <w:pPr>
        <w:jc w:val="center"/>
      </w:pPr>
      <w:r>
        <w:rPr>
          <w:color w:val="B8860B"/>
          <w:sz w:val="24"/>
        </w:rPr>
        <w:t>— ✦ —</w:t>
      </w:r>
    </w:p>
    <w:p>
      <w:r>
        <w:rPr>
          <w:b w:val="0"/>
          <w:i w:val="0"/>
        </w:rPr>
      </w:r>
      <w:r>
        <w:rPr>
          <w:b/>
          <w:i w:val="0"/>
        </w:rPr>
        <w:t>German</w:t>
      </w:r>
      <w:r>
        <w:rPr>
          <w:b w:val="0"/>
          <w:i w:val="0"/>
        </w:rPr>
        <w:t xml:space="preserve"> | </w:t>
      </w:r>
      <w:r>
        <w:rPr>
          <w:b/>
          <w:i w:val="0"/>
        </w:rPr>
        <w:t>Sociology, independent history, stratigraphy</w:t>
      </w:r>
      <w:r>
        <w:rPr>
          <w:b w:val="0"/>
          <w:i w:val="0"/>
        </w:rPr>
      </w:r>
    </w:p>
    <w:p>
      <w:r>
        <w:rPr>
          <w:b w:val="0"/>
          <w:i w:val="0"/>
        </w:rPr>
        <w:t>Heinsohn argued from archaeological stratigraphy that the standard ancient timeline is chronologically inflated — the same physical strata assigned to multiple eras (Assyrian, Babylonian, Persian, Hellenistic, Roman, early medieval) are actually contemporaneous within a much shorter span. He identified "ghost empires" in the 1st millennium BCE that do not occupy distinct stratigraphic layers, argued that "Late Roman" and the "Migration Period" are the same catastrophic event, and pinpointed a global stratigraphic discontinuity around 930–940 CE corresponding to a major cosmic event that ended the Roman world. His work directly supports a compressed medieval-only timeline consistent with Fomenko.</w:t>
      </w:r>
    </w:p>
    <w:p>
      <w:r>
        <w:rPr>
          <w:b w:val="0"/>
          <w:i w:val="0"/>
        </w:rPr>
      </w:r>
      <w:r>
        <w:rPr>
          <w:b/>
          <w:i w:val="0"/>
        </w:rPr>
        <w:t>Key Works:</w:t>
      </w:r>
      <w:r>
        <w:rPr>
          <w:b w:val="0"/>
          <w:i w:val="0"/>
        </w:rPr>
        <w:t xml:space="preserve"> </w:t>
      </w:r>
      <w:r>
        <w:rPr>
          <w:b w:val="0"/>
          <w:i/>
        </w:rPr>
        <w:t>Who are the Sumerians?</w:t>
      </w:r>
      <w:r>
        <w:rPr>
          <w:b w:val="0"/>
          <w:i w:val="0"/>
        </w:rPr>
        <w:t xml:space="preserve"> (1988); papers at </w:t>
      </w:r>
      <w:hyperlink r:id="rId137">
        <w:r>
          <w:rPr>
            <w:b w:val="0"/>
            <w:i w:val="0"/>
            <w:color w:val="B8860B"/>
          </w:rPr>
          <w:t>q-mag.org</w:t>
        </w:r>
      </w:hyperlink>
    </w:p>
    <w:p>
      <w:pPr>
        <w:pStyle w:val="Heading3"/>
      </w:pPr>
      <w:r>
        <w:t>Does Both</w:t>
      </w:r>
    </w:p>
    <w:p>
      <w:r>
        <w:rPr>
          <w:b w:val="0"/>
          <w:i w:val="0"/>
        </w:rPr>
        <w:t xml:space="preserve">Heinsohn both </w:t>
      </w:r>
      <w:r>
        <w:rPr>
          <w:b/>
          <w:i w:val="0"/>
        </w:rPr>
        <w:t>challenges chronology</w:t>
      </w:r>
      <w:r>
        <w:rPr>
          <w:b w:val="0"/>
          <w:i w:val="0"/>
        </w:rPr>
        <w:t xml:space="preserve"> (stratigraphic evidence that ancient layers don't exist as claimed) and </w:t>
      </w:r>
      <w:r>
        <w:rPr>
          <w:b/>
          <w:i w:val="0"/>
        </w:rPr>
        <w:t>interprets the physical record as world cataclysm</w:t>
      </w:r>
      <w:r>
        <w:rPr>
          <w:b w:val="0"/>
          <w:i w:val="0"/>
        </w:rPr>
        <w:t xml:space="preserve"> (the 10th century gap as catastrophic event):</w:t>
      </w:r>
    </w:p>
    <w:p>
      <w:pPr>
        <w:pStyle w:val="ListBullet"/>
        <w:spacing w:before="20" w:after="20"/>
      </w:pPr>
      <w:r>
        <w:rPr>
          <w:b w:val="0"/>
          <w:i w:val="0"/>
          <w:sz w:val="19"/>
        </w:rPr>
        <w:t xml:space="preserve">→ </w:t>
      </w:r>
      <w:hyperlink r:id="rId104">
        <w:r>
          <w:rPr>
            <w:b w:val="0"/>
            <w:i w:val="0"/>
            <w:color w:val="B8860B"/>
            <w:sz w:val="19"/>
          </w:rPr>
          <w:t>Authors Challenging the Mainstream Timeline</w:t>
        </w:r>
      </w:hyperlink>
    </w:p>
    <w:p>
      <w:pPr>
        <w:pStyle w:val="ListBullet"/>
        <w:spacing w:before="20" w:after="20"/>
      </w:pPr>
      <w:r>
        <w:rPr>
          <w:b w:val="0"/>
          <w:i w:val="0"/>
          <w:sz w:val="19"/>
        </w:rPr>
        <w:t xml:space="preserve">→ </w:t>
      </w:r>
      <w:hyperlink r:id="rId105">
        <w:r>
          <w:rPr>
            <w:b w:val="0"/>
            <w:i w:val="0"/>
            <w:color w:val="B8860B"/>
            <w:sz w:val="19"/>
          </w:rPr>
          <w:t>Authors Who Read Ancient Sources as World Cataclysm</w:t>
        </w:r>
      </w:hyperlink>
    </w:p>
    <w:p>
      <w:pPr>
        <w:pBdr>
          <w:bottom w:val="single" w:sz="6" w:space="1" w:color="CCCCCC"/>
        </w:pBdr>
      </w:pPr>
    </w:p>
    <w:p>
      <w:pPr>
        <w:pStyle w:val="Heading3"/>
      </w:pPr>
      <w:r>
        <w:t>See Also</w:t>
      </w:r>
    </w:p>
    <w:p>
      <w:pPr>
        <w:pStyle w:val="ListBullet"/>
        <w:spacing w:before="20" w:after="20"/>
      </w:pPr>
      <w:hyperlink r:id="rId118">
        <w:r>
          <w:rPr>
            <w:b w:val="0"/>
            <w:i w:val="0"/>
            <w:color w:val="B8860B"/>
            <w:sz w:val="19"/>
          </w:rPr>
          <w:t>Heribert Illig</w:t>
        </w:r>
      </w:hyperlink>
      <w:r>
        <w:rPr>
          <w:b w:val="0"/>
          <w:i w:val="0"/>
          <w:sz w:val="19"/>
        </w:rPr>
        <w:t xml:space="preserve"> — parallel chronological compression argument</w:t>
      </w:r>
    </w:p>
    <w:p>
      <w:pPr>
        <w:pStyle w:val="ListBullet"/>
        <w:spacing w:before="20" w:after="20"/>
      </w:pPr>
      <w:hyperlink r:id="rId110">
        <w:r>
          <w:rPr>
            <w:b w:val="0"/>
            <w:i w:val="0"/>
            <w:color w:val="B8860B"/>
            <w:sz w:val="19"/>
          </w:rPr>
          <w:t>Anatoly Fomenko</w:t>
        </w:r>
      </w:hyperlink>
      <w:r>
        <w:rPr>
          <w:b w:val="0"/>
          <w:i w:val="0"/>
          <w:sz w:val="19"/>
        </w:rPr>
        <w:t xml:space="preserve"> — mathematical chronological revision</w:t>
      </w:r>
    </w:p>
    <w:p/>
    <w:p>
      <w:pPr>
        <w:jc w:val="center"/>
      </w:pPr>
      <w:r>
        <w:rPr>
          <w:color w:val="B8860B"/>
          <w:sz w:val="24"/>
        </w:rPr>
        <w:t>— ✦ —</w:t>
      </w:r>
    </w:p>
    <w:p>
      <w:r>
        <w:rPr>
          <w:b w:val="0"/>
          <w:i w:val="0"/>
        </w:rPr>
      </w:r>
      <w:r>
        <w:rPr>
          <w:b/>
          <w:i w:val="0"/>
        </w:rPr>
        <w:t>Maltese-Canadian</w:t>
      </w:r>
      <w:r>
        <w:rPr>
          <w:b w:val="0"/>
          <w:i w:val="0"/>
        </w:rPr>
        <w:t xml:space="preserve"> | </w:t>
      </w:r>
      <w:r>
        <w:rPr>
          <w:b/>
          <w:i w:val="0"/>
        </w:rPr>
        <w:t>Independent research, comparative mythology, Saturnian cosmology</w:t>
      </w:r>
      <w:r>
        <w:rPr>
          <w:b w:val="0"/>
          <w:i w:val="0"/>
        </w:rPr>
      </w:r>
    </w:p>
    <w:p>
      <w:r>
        <w:rPr>
          <w:b w:val="0"/>
          <w:i w:val="0"/>
        </w:rPr>
        <w:t xml:space="preserve">Cardona produced the most detailed mythological reconstruction of the Saturnian polar configuration, particularly the pre-configuration "God Star" era. Working closely with Talbott and contributing extensively to </w:t>
      </w:r>
      <w:r>
        <w:rPr>
          <w:b w:val="0"/>
          <w:i/>
        </w:rPr>
        <w:t>Kronos</w:t>
      </w:r>
      <w:r>
        <w:rPr>
          <w:b w:val="0"/>
          <w:i w:val="0"/>
        </w:rPr>
        <w:t xml:space="preserve"> and </w:t>
      </w:r>
      <w:r>
        <w:rPr>
          <w:b w:val="0"/>
          <w:i/>
        </w:rPr>
        <w:t>AEON</w:t>
      </w:r>
      <w:r>
        <w:rPr>
          <w:b w:val="0"/>
          <w:i w:val="0"/>
        </w:rPr>
        <w:t>, he spent decades developing the mytho-historical evidence through six volumes tracing the sequence from Saturn as a lone "sun" through the polar configuration to catastrophic dispersal. His linguistic analysis traced "Saturn" and cognates across dozens of ancient cultures to a single referent, and his proto-Saturnian epoch argument — that Saturn shone alone before entering the solar system — provides the deep pre-history that Cook's chronology begins from.</w:t>
      </w:r>
    </w:p>
    <w:p>
      <w:r>
        <w:rPr>
          <w:b w:val="0"/>
          <w:i w:val="0"/>
        </w:rPr>
      </w:r>
      <w:r>
        <w:rPr>
          <w:b/>
          <w:i w:val="0"/>
        </w:rPr>
        <w:t>Key Works:</w:t>
      </w:r>
      <w:r>
        <w:rPr>
          <w:b w:val="0"/>
          <w:i w:val="0"/>
        </w:rPr>
        <w:t xml:space="preserve"> </w:t>
      </w:r>
      <w:r>
        <w:rPr>
          <w:b w:val="0"/>
          <w:i/>
        </w:rPr>
        <w:t>God Star</w:t>
      </w:r>
      <w:r>
        <w:rPr>
          <w:b w:val="0"/>
          <w:i w:val="0"/>
        </w:rPr>
        <w:t xml:space="preserve"> (2006); </w:t>
      </w:r>
      <w:r>
        <w:rPr>
          <w:b w:val="0"/>
          <w:i/>
        </w:rPr>
        <w:t>Flare Star</w:t>
      </w:r>
      <w:r>
        <w:rPr>
          <w:b w:val="0"/>
          <w:i w:val="0"/>
        </w:rPr>
        <w:t xml:space="preserve"> (2007); </w:t>
      </w:r>
      <w:r>
        <w:rPr>
          <w:b w:val="0"/>
          <w:i/>
        </w:rPr>
        <w:t>Primordial Star</w:t>
      </w:r>
      <w:r>
        <w:rPr>
          <w:b w:val="0"/>
          <w:i w:val="0"/>
        </w:rPr>
        <w:t xml:space="preserve"> (2009); </w:t>
      </w:r>
      <w:r>
        <w:rPr>
          <w:b w:val="0"/>
          <w:i/>
        </w:rPr>
        <w:t>Birth of the Gods</w:t>
      </w:r>
      <w:r>
        <w:rPr>
          <w:b w:val="0"/>
          <w:i w:val="0"/>
        </w:rPr>
        <w:t xml:space="preserve"> (2010); </w:t>
      </w:r>
      <w:r>
        <w:rPr>
          <w:b w:val="0"/>
          <w:i/>
        </w:rPr>
        <w:t>Vishnu Born of the Sun</w:t>
      </w:r>
      <w:r>
        <w:rPr>
          <w:b w:val="0"/>
          <w:i w:val="0"/>
        </w:rPr>
        <w:t xml:space="preserve"> (2014); </w:t>
      </w:r>
      <w:r>
        <w:rPr>
          <w:b w:val="0"/>
          <w:i/>
        </w:rPr>
        <w:t>Saturn-Myth Revisited</w:t>
      </w:r>
      <w:r>
        <w:rPr>
          <w:b w:val="0"/>
          <w:i w:val="0"/>
        </w:rPr>
        <w:t xml:space="preserve"> (2018)</w:t>
      </w:r>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11">
        <w:r>
          <w:rPr>
            <w:b w:val="0"/>
            <w:i w:val="0"/>
            <w:color w:val="B8860B"/>
            <w:sz w:val="19"/>
          </w:rPr>
          <w:t>David Talbott</w:t>
        </w:r>
      </w:hyperlink>
      <w:r>
        <w:rPr>
          <w:b w:val="0"/>
          <w:i w:val="0"/>
          <w:sz w:val="19"/>
        </w:rPr>
        <w:t xml:space="preserve"> — primary collaborator and framework architect</w:t>
      </w:r>
    </w:p>
    <w:p>
      <w:pPr>
        <w:pStyle w:val="ListBullet"/>
        <w:spacing w:before="20" w:after="20"/>
      </w:pPr>
      <w:hyperlink r:id="rId116">
        <w:r>
          <w:rPr>
            <w:b w:val="0"/>
            <w:i w:val="0"/>
            <w:color w:val="B8860B"/>
            <w:sz w:val="19"/>
          </w:rPr>
          <w:t>Ev Cochrane</w:t>
        </w:r>
      </w:hyperlink>
      <w:r>
        <w:rPr>
          <w:b w:val="0"/>
          <w:i w:val="0"/>
          <w:sz w:val="19"/>
        </w:rPr>
        <w:t xml:space="preserve"> — parallel mythology work on Mars and Venus</w:t>
      </w:r>
    </w:p>
    <w:p>
      <w:pPr>
        <w:pStyle w:val="ListBullet"/>
        <w:spacing w:before="20" w:after="20"/>
      </w:pPr>
      <w:hyperlink r:id="rId113">
        <w:r>
          <w:rPr>
            <w:b w:val="0"/>
            <w:i w:val="0"/>
            <w:color w:val="B8860B"/>
            <w:sz w:val="19"/>
          </w:rPr>
          <w:t>Jno Cook</w:t>
        </w:r>
      </w:hyperlink>
      <w:r>
        <w:rPr>
          <w:b w:val="0"/>
          <w:i w:val="0"/>
          <w:sz w:val="19"/>
        </w:rPr>
        <w:t xml:space="preserve"> — built calendar dates atop Cardona's sequence</w:t>
      </w:r>
    </w:p>
    <w:p/>
    <w:p>
      <w:pPr>
        <w:jc w:val="center"/>
      </w:pPr>
      <w:r>
        <w:rPr>
          <w:color w:val="B8860B"/>
          <w:sz w:val="24"/>
        </w:rPr>
        <w:t>— ✦ —</w:t>
      </w:r>
    </w:p>
    <w:p>
      <w:r>
        <w:rPr>
          <w:b w:val="0"/>
          <w:i w:val="0"/>
        </w:rPr>
      </w:r>
      <w:r>
        <w:rPr>
          <w:b/>
          <w:i w:val="0"/>
        </w:rPr>
        <w:t>Victor Clube:</w:t>
      </w:r>
      <w:r>
        <w:rPr>
          <w:b w:val="0"/>
          <w:i w:val="0"/>
        </w:rPr>
        <w:t xml:space="preserve"> Oxford astrophysicist | </w:t>
      </w:r>
      <w:r>
        <w:rPr>
          <w:b/>
          <w:i w:val="0"/>
        </w:rPr>
        <w:t>Bill Napier:</w:t>
      </w:r>
      <w:r>
        <w:rPr>
          <w:b w:val="0"/>
          <w:i w:val="0"/>
        </w:rPr>
        <w:t xml:space="preserve"> Armagh Observatory astronomer</w:t>
      </w:r>
    </w:p>
    <w:p>
      <w:r>
        <w:rPr>
          <w:b w:val="0"/>
          <w:i w:val="0"/>
        </w:rPr>
      </w:r>
      <w:r>
        <w:rPr>
          <w:b/>
          <w:i w:val="0"/>
        </w:rPr>
        <w:t>Fields:</w:t>
      </w:r>
      <w:r>
        <w:rPr>
          <w:b w:val="0"/>
          <w:i w:val="0"/>
        </w:rPr>
        <w:t xml:space="preserve"> Observational astronomy, cometary dynamics, cosmic catastrophism</w:t>
      </w:r>
    </w:p>
    <w:p>
      <w:r>
        <w:rPr>
          <w:b w:val="0"/>
          <w:i w:val="0"/>
        </w:rPr>
        <w:t>Clube and Napier provided mainstream astronomical confirmation of catastrophic comet-swarm events within recorded human history. They argued that a giant comet (~50–100 km) entered the inner solar system within the last 20,000–30,000 years and fragmented progressively, producing the Taurid meteor stream. Periodic encounters with this debris produced catastrophic bombardment on cycles of centuries to millennia — the Bronze Age Collapse, Roman Dark Age, and early medieval dark horizon are all Taurid events, not social collapse. Their "coherent catastrophism" is notable because it reached catastrophist conclusions from within conventional astronomy using standard orbital mechanics, making it harder to dismiss on institutional grounds. Their Taurid Complex model is the astronomical mechanism behind Hancock's Younger Dryas Impact Hypothesis.</w:t>
      </w:r>
    </w:p>
    <w:p>
      <w:r>
        <w:rPr>
          <w:b w:val="0"/>
          <w:i w:val="0"/>
        </w:rPr>
      </w:r>
      <w:r>
        <w:rPr>
          <w:b/>
          <w:i w:val="0"/>
        </w:rPr>
        <w:t>Key Works:</w:t>
      </w:r>
      <w:r>
        <w:rPr>
          <w:b w:val="0"/>
          <w:i w:val="0"/>
        </w:rPr>
        <w:t xml:space="preserve"> </w:t>
      </w:r>
      <w:r>
        <w:rPr>
          <w:b w:val="0"/>
          <w:i/>
        </w:rPr>
        <w:t>The Cosmic Serpent</w:t>
      </w:r>
      <w:r>
        <w:rPr>
          <w:b w:val="0"/>
          <w:i w:val="0"/>
        </w:rPr>
        <w:t xml:space="preserve"> (1982); </w:t>
      </w:r>
      <w:r>
        <w:rPr>
          <w:b w:val="0"/>
          <w:i/>
        </w:rPr>
        <w:t>The Cosmic Winter</w:t>
      </w:r>
      <w:r>
        <w:rPr>
          <w:b w:val="0"/>
          <w:i w:val="0"/>
        </w:rPr>
        <w:t xml:space="preserve"> (1990)</w:t>
      </w:r>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28">
        <w:r>
          <w:rPr>
            <w:b w:val="0"/>
            <w:i w:val="0"/>
            <w:color w:val="B8860B"/>
            <w:sz w:val="19"/>
          </w:rPr>
          <w:t>Graham Hancock</w:t>
        </w:r>
      </w:hyperlink>
      <w:r>
        <w:rPr>
          <w:b w:val="0"/>
          <w:i w:val="0"/>
          <w:sz w:val="19"/>
        </w:rPr>
        <w:t xml:space="preserve"> — extended their Younger Dryas catastrophe into lost civilization</w:t>
      </w:r>
    </w:p>
    <w:p>
      <w:pPr>
        <w:pStyle w:val="ListBullet"/>
        <w:spacing w:before="20" w:after="20"/>
      </w:pPr>
      <w:hyperlink r:id="rId109">
        <w:r>
          <w:rPr>
            <w:b w:val="0"/>
            <w:i w:val="0"/>
            <w:color w:val="B8860B"/>
            <w:sz w:val="19"/>
          </w:rPr>
          <w:t>Immanuel Velikovsky</w:t>
        </w:r>
      </w:hyperlink>
      <w:r>
        <w:rPr>
          <w:b w:val="0"/>
          <w:i w:val="0"/>
          <w:sz w:val="19"/>
        </w:rPr>
        <w:t xml:space="preserve"> — parallel catastrophist from within comparative mythology</w:t>
      </w:r>
    </w:p>
    <w:p/>
    <w:p>
      <w:pPr>
        <w:jc w:val="center"/>
      </w:pPr>
      <w:r>
        <w:rPr>
          <w:color w:val="B8860B"/>
          <w:sz w:val="24"/>
        </w:rPr>
        <w:t>— ✦ —</w:t>
      </w:r>
    </w:p>
    <w:p>
      <w:r>
        <w:rPr>
          <w:b w:val="0"/>
          <w:i w:val="0"/>
        </w:rPr>
      </w:r>
      <w:r>
        <w:rPr>
          <w:b/>
          <w:i w:val="0"/>
        </w:rPr>
        <w:t>Italian-American</w:t>
      </w:r>
      <w:r>
        <w:rPr>
          <w:b w:val="0"/>
          <w:i w:val="0"/>
        </w:rPr>
        <w:t xml:space="preserve"> | </w:t>
      </w:r>
      <w:r>
        <w:rPr>
          <w:b/>
          <w:i w:val="0"/>
        </w:rPr>
        <w:t>History of science, metrology, ancient astronomy</w:t>
      </w:r>
      <w:r>
        <w:rPr>
          <w:b w:val="0"/>
          <w:i w:val="0"/>
        </w:rPr>
      </w:r>
    </w:p>
    <w:p>
      <w:r>
        <w:rPr>
          <w:b w:val="0"/>
          <w:i w:val="0"/>
        </w:rPr>
        <w:t xml:space="preserve">Stecchini demonstrated that ancient Babylonian astronomical records encode orbital parameters inconsistent with present planetary motions, and that ancient measurement systems encode geodetic knowledge far exceeding what the conventional timeline assigns to those cultures. His Venus period analysis ("The Twenty-One Years of Venus") established that Babylonian Venus records encode orbital eccentricities inconsistent with Venus's current orbit, directly supporting Velikovsky's displaced-orbit claim. His metrological work showed that the Egyptian cubit encodes the Earth's polar and equatorial radius with sub-percent accuracy. He co-authored </w:t>
      </w:r>
      <w:r>
        <w:rPr>
          <w:b w:val="0"/>
          <w:i/>
        </w:rPr>
        <w:t>The Velikovsky Affair</w:t>
      </w:r>
      <w:r>
        <w:rPr>
          <w:b w:val="0"/>
          <w:i w:val="0"/>
        </w:rPr>
        <w:t xml:space="preserve"> (1966) with de Grazia and Juergens, one of the earliest documented cases of institutional science censorship. Cook cites Stecchini extensively on plasma plumes in ancient records.</w:t>
      </w:r>
    </w:p>
    <w:p>
      <w:r>
        <w:rPr>
          <w:b w:val="0"/>
          <w:i w:val="0"/>
        </w:rPr>
      </w:r>
      <w:r>
        <w:rPr>
          <w:b/>
          <w:i w:val="0"/>
        </w:rPr>
        <w:t>Key Works:</w:t>
      </w:r>
      <w:r>
        <w:rPr>
          <w:b w:val="0"/>
          <w:i w:val="0"/>
        </w:rPr>
        <w:t xml:space="preserve"> </w:t>
      </w:r>
      <w:r>
        <w:rPr>
          <w:b w:val="0"/>
          <w:i/>
        </w:rPr>
        <w:t>The Velikovsky Affair</w:t>
      </w:r>
      <w:r>
        <w:rPr>
          <w:b w:val="0"/>
          <w:i w:val="0"/>
        </w:rPr>
        <w:t xml:space="preserve"> (1966, with de Grazia and Juergens); Venus period papers in </w:t>
      </w:r>
      <w:r>
        <w:rPr>
          <w:b w:val="0"/>
          <w:i/>
        </w:rPr>
        <w:t>Pensée</w:t>
      </w:r>
      <w:r>
        <w:rPr>
          <w:b w:val="0"/>
          <w:i w:val="0"/>
        </w:rPr>
        <w:t xml:space="preserve"> (1972–1973)</w:t>
      </w:r>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14">
        <w:r>
          <w:rPr>
            <w:b w:val="0"/>
            <w:i w:val="0"/>
            <w:color w:val="B8860B"/>
            <w:sz w:val="19"/>
          </w:rPr>
          <w:t>Alfred de Grazia</w:t>
        </w:r>
      </w:hyperlink>
      <w:r>
        <w:rPr>
          <w:b w:val="0"/>
          <w:i w:val="0"/>
          <w:sz w:val="19"/>
        </w:rPr>
        <w:t xml:space="preserve"> — primary collaborator</w:t>
      </w:r>
    </w:p>
    <w:p>
      <w:pPr>
        <w:pStyle w:val="ListBullet"/>
        <w:spacing w:before="20" w:after="20"/>
      </w:pPr>
      <w:hyperlink r:id="rId108">
        <w:r>
          <w:rPr>
            <w:b w:val="0"/>
            <w:i w:val="0"/>
            <w:color w:val="B8860B"/>
            <w:sz w:val="19"/>
          </w:rPr>
          <w:t>Ralph Juergens</w:t>
        </w:r>
      </w:hyperlink>
      <w:r>
        <w:rPr>
          <w:b w:val="0"/>
          <w:i w:val="0"/>
          <w:sz w:val="19"/>
        </w:rPr>
        <w:t xml:space="preserve"> — co-author on </w:t>
      </w:r>
      <w:r>
        <w:rPr>
          <w:b w:val="0"/>
          <w:i/>
          <w:sz w:val="19"/>
        </w:rPr>
        <w:t>The Velikovsky Affair</w:t>
      </w:r>
    </w:p>
    <w:p>
      <w:pPr>
        <w:pStyle w:val="ListBullet"/>
        <w:spacing w:before="20" w:after="20"/>
      </w:pPr>
      <w:hyperlink r:id="rId123">
        <w:r>
          <w:rPr>
            <w:b w:val="0"/>
            <w:i w:val="0"/>
            <w:color w:val="B8860B"/>
            <w:sz w:val="19"/>
          </w:rPr>
          <w:t>Lynn Rose &amp; Raymond Vaughan</w:t>
        </w:r>
      </w:hyperlink>
      <w:r>
        <w:rPr>
          <w:b w:val="0"/>
          <w:i w:val="0"/>
          <w:sz w:val="19"/>
        </w:rPr>
        <w:t xml:space="preserve"> — extended Stecchini's Venus orbital work into the 685 BCE date</w:t>
      </w:r>
    </w:p>
    <w:p/>
    <w:p>
      <w:pPr>
        <w:jc w:val="center"/>
      </w:pPr>
      <w:r>
        <w:rPr>
          <w:color w:val="B8860B"/>
          <w:sz w:val="24"/>
        </w:rPr>
        <w:t>— ✦ —</w:t>
      </w:r>
    </w:p>
    <w:p>
      <w:r>
        <w:rPr>
          <w:b w:val="0"/>
          <w:i w:val="0"/>
        </w:rPr>
      </w:r>
      <w:r>
        <w:rPr>
          <w:b/>
          <w:i w:val="0"/>
        </w:rPr>
        <w:t>Lynn Rose:</w:t>
      </w:r>
      <w:r>
        <w:rPr>
          <w:b w:val="0"/>
          <w:i w:val="0"/>
        </w:rPr>
        <w:t xml:space="preserve"> Philosopher, SUNY Buffalo | </w:t>
      </w:r>
      <w:r>
        <w:rPr>
          <w:b/>
          <w:i w:val="0"/>
        </w:rPr>
        <w:t>Raymond Vaughan:</w:t>
      </w:r>
      <w:r>
        <w:rPr>
          <w:b w:val="0"/>
          <w:i w:val="0"/>
        </w:rPr>
        <w:t xml:space="preserve"> Mathematician</w:t>
      </w:r>
    </w:p>
    <w:p>
      <w:r>
        <w:rPr>
          <w:b w:val="0"/>
          <w:i w:val="0"/>
        </w:rPr>
      </w:r>
      <w:r>
        <w:rPr>
          <w:b/>
          <w:i w:val="0"/>
        </w:rPr>
        <w:t>Fields:</w:t>
      </w:r>
      <w:r>
        <w:rPr>
          <w:b w:val="0"/>
          <w:i w:val="0"/>
        </w:rPr>
        <w:t xml:space="preserve"> Philosophy, mathematics, Babylonian astronomical analysis</w:t>
      </w:r>
    </w:p>
    <w:p>
      <w:r>
        <w:rPr>
          <w:b w:val="0"/>
          <w:i w:val="0"/>
        </w:rPr>
        <w:t>Rose and Vaughan provided the mathematical proof from Babylonian astronomical records that Venus's orbit was recently disturbed, and derived the specific 685 BCE orbital stabilization date used throughout this timeline. Their 1974–1980 series of papers analyzing the Venus Tablets of Ammizaduga showed that normalizing the tablet data against present orbital parameters reveals a systematic residual consistent with a recent orbital disturbance — with Venus reaching its current configuration around 685 BCE, after which Babylonian records match present behavior. Cook explicitly credits them as providing the most rigorous astronomical analysis in the Velikovskian literature; their 685 BCE date is the primary anchor for this timeline's close of the Dark Ages chapter.</w:t>
      </w:r>
    </w:p>
    <w:p>
      <w:r>
        <w:rPr>
          <w:b w:val="0"/>
          <w:i w:val="0"/>
        </w:rPr>
      </w:r>
      <w:r>
        <w:rPr>
          <w:b/>
          <w:i w:val="0"/>
        </w:rPr>
        <w:t>Key Works:</w:t>
      </w:r>
      <w:r>
        <w:rPr>
          <w:b w:val="0"/>
          <w:i w:val="0"/>
        </w:rPr>
        <w:t xml:space="preserve"> "Venus Tablets and Sizes of Synodic Periods" (</w:t>
      </w:r>
      <w:r>
        <w:rPr>
          <w:b w:val="0"/>
          <w:i/>
        </w:rPr>
        <w:t>Kronos</w:t>
      </w:r>
      <w:r>
        <w:rPr>
          <w:b w:val="0"/>
          <w:i w:val="0"/>
        </w:rPr>
        <w:t xml:space="preserve">, 1974); papers in </w:t>
      </w:r>
      <w:r>
        <w:rPr>
          <w:b w:val="0"/>
          <w:i/>
        </w:rPr>
        <w:t>Pensée</w:t>
      </w:r>
      <w:r>
        <w:rPr>
          <w:b w:val="0"/>
          <w:i w:val="0"/>
        </w:rPr>
        <w:t xml:space="preserve"> and </w:t>
      </w:r>
      <w:r>
        <w:rPr>
          <w:b w:val="0"/>
          <w:i/>
        </w:rPr>
        <w:t>Kronos</w:t>
      </w:r>
      <w:r>
        <w:rPr>
          <w:b w:val="0"/>
          <w:i w:val="0"/>
        </w:rPr>
        <w:t xml:space="preserve"> (1972–1980)</w:t>
      </w:r>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22">
        <w:r>
          <w:rPr>
            <w:b w:val="0"/>
            <w:i w:val="0"/>
            <w:color w:val="B8860B"/>
            <w:sz w:val="19"/>
          </w:rPr>
          <w:t>Livio Stecchini</w:t>
        </w:r>
      </w:hyperlink>
      <w:r>
        <w:rPr>
          <w:b w:val="0"/>
          <w:i w:val="0"/>
          <w:sz w:val="19"/>
        </w:rPr>
        <w:t xml:space="preserve"> — earlier Venus period analysis work</w:t>
      </w:r>
    </w:p>
    <w:p>
      <w:pPr>
        <w:pStyle w:val="ListBullet"/>
        <w:spacing w:before="20" w:after="20"/>
      </w:pPr>
      <w:hyperlink r:id="rId113">
        <w:r>
          <w:rPr>
            <w:b w:val="0"/>
            <w:i w:val="0"/>
            <w:color w:val="B8860B"/>
            <w:sz w:val="19"/>
          </w:rPr>
          <w:t>Jno Cook</w:t>
        </w:r>
      </w:hyperlink>
      <w:r>
        <w:rPr>
          <w:b w:val="0"/>
          <w:i w:val="0"/>
          <w:sz w:val="19"/>
        </w:rPr>
        <w:t xml:space="preserve"> — used their 685 BCE date as the anchor for the Saturnian chronology</w:t>
      </w:r>
    </w:p>
    <w:p>
      <w:pPr>
        <w:pStyle w:val="ListBullet"/>
        <w:spacing w:before="20" w:after="20"/>
      </w:pPr>
      <w:hyperlink r:id="rId109">
        <w:r>
          <w:rPr>
            <w:b w:val="0"/>
            <w:i w:val="0"/>
            <w:color w:val="B8860B"/>
            <w:sz w:val="19"/>
          </w:rPr>
          <w:t>Immanuel Velikovsky</w:t>
        </w:r>
      </w:hyperlink>
      <w:r>
        <w:rPr>
          <w:b w:val="0"/>
          <w:i w:val="0"/>
          <w:sz w:val="19"/>
        </w:rPr>
        <w:t xml:space="preserve"> — their work mathematically validates his orbital displacement claim</w:t>
      </w:r>
    </w:p>
    <w:p/>
    <w:p>
      <w:pPr>
        <w:jc w:val="center"/>
      </w:pPr>
      <w:r>
        <w:rPr>
          <w:color w:val="B8860B"/>
          <w:sz w:val="24"/>
        </w:rPr>
        <w:t>— ✦ —</w:t>
      </w:r>
    </w:p>
    <w:p>
      <w:r>
        <w:rPr>
          <w:b w:val="0"/>
          <w:i w:val="0"/>
        </w:rPr>
      </w:r>
      <w:r>
        <w:rPr>
          <w:b/>
          <w:i w:val="0"/>
        </w:rPr>
        <w:t>American</w:t>
      </w:r>
      <w:r>
        <w:rPr>
          <w:b w:val="0"/>
          <w:i w:val="0"/>
        </w:rPr>
        <w:t xml:space="preserve"> | </w:t>
      </w:r>
      <w:r>
        <w:rPr>
          <w:b/>
          <w:i w:val="0"/>
        </w:rPr>
        <w:t>Astronomy, celestial mechanics</w:t>
      </w:r>
      <w:r>
        <w:rPr>
          <w:b w:val="0"/>
          <w:i w:val="0"/>
        </w:rPr>
      </w:r>
    </w:p>
    <w:p>
      <w:r>
        <w:rPr>
          <w:b w:val="0"/>
          <w:i w:val="0"/>
        </w:rPr>
        <w:t>Van Flandern was an astronomer at the United States Naval Observatory who proposed the Exploded Planet Hypothesis: the asteroid belt and comets originate from a planet that exploded within the solar system, and Mars is a former moon of that planet. He argued that asteroids have too many distinct mineralogical types for a single-source model, that short-period comets cannot have survived 4.5 billion years in the Oort Cloud, and that Mars's asymmetric cratering and trace atmosphere are consistent with a captured satellite. This framework provides the physical-astronomical underpinning for the Saturnian model's treatment of Mars as a body that participated in the polar configuration.</w:t>
      </w:r>
    </w:p>
    <w:p>
      <w:r>
        <w:rPr>
          <w:b w:val="0"/>
          <w:i w:val="0"/>
        </w:rPr>
      </w:r>
      <w:r>
        <w:rPr>
          <w:b/>
          <w:i w:val="0"/>
        </w:rPr>
        <w:t>Key Works:</w:t>
      </w:r>
      <w:r>
        <w:rPr>
          <w:b w:val="0"/>
          <w:i w:val="0"/>
        </w:rPr>
        <w:t xml:space="preserve"> </w:t>
      </w:r>
      <w:r>
        <w:rPr>
          <w:b w:val="0"/>
          <w:i/>
        </w:rPr>
        <w:t>Dark Matter, Missing Planets and New Comets</w:t>
      </w:r>
      <w:r>
        <w:rPr>
          <w:b w:val="0"/>
          <w:i w:val="0"/>
        </w:rPr>
        <w:t xml:space="preserve"> (1993)</w:t>
      </w:r>
    </w:p>
    <w:p>
      <w:r>
        <w:rPr>
          <w:b w:val="0"/>
          <w:i w:val="0"/>
        </w:rPr>
      </w:r>
      <w:r>
        <w:rPr>
          <w:b/>
          <w:i w:val="0"/>
        </w:rPr>
        <w:t>Primary resource:</w:t>
      </w:r>
      <w:r>
        <w:rPr>
          <w:b w:val="0"/>
          <w:i w:val="0"/>
        </w:rPr>
        <w:t xml:space="preserve"> </w:t>
      </w:r>
      <w:hyperlink r:id="rId138">
        <w:r>
          <w:rPr>
            <w:b w:val="0"/>
            <w:i w:val="0"/>
            <w:color w:val="B8860B"/>
          </w:rPr>
          <w:t>metaresearch.org</w:t>
        </w:r>
      </w:hyperlink>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21">
        <w:r>
          <w:rPr>
            <w:b w:val="0"/>
            <w:i w:val="0"/>
            <w:color w:val="B8860B"/>
            <w:sz w:val="19"/>
          </w:rPr>
          <w:t>Victor Clube &amp; Bill Napier</w:t>
        </w:r>
      </w:hyperlink>
      <w:r>
        <w:rPr>
          <w:b w:val="0"/>
          <w:i w:val="0"/>
          <w:sz w:val="19"/>
        </w:rPr>
        <w:t xml:space="preserve"> — parallel cometary catastrophism</w:t>
      </w:r>
    </w:p>
    <w:p>
      <w:pPr>
        <w:pStyle w:val="ListBullet"/>
        <w:spacing w:before="20" w:after="20"/>
      </w:pPr>
      <w:hyperlink r:id="rId114">
        <w:r>
          <w:rPr>
            <w:b w:val="0"/>
            <w:i w:val="0"/>
            <w:color w:val="B8860B"/>
            <w:sz w:val="19"/>
          </w:rPr>
          <w:t>Alfred de Grazia</w:t>
        </w:r>
      </w:hyperlink>
      <w:r>
        <w:rPr>
          <w:b w:val="0"/>
          <w:i w:val="0"/>
          <w:sz w:val="19"/>
        </w:rPr>
        <w:t xml:space="preserve"> — Iron Age of Mars treats Mars as the catastrophic actor</w:t>
      </w:r>
    </w:p>
    <w:p/>
    <w:p>
      <w:pPr>
        <w:jc w:val="center"/>
      </w:pPr>
      <w:r>
        <w:rPr>
          <w:color w:val="B8860B"/>
          <w:sz w:val="24"/>
        </w:rPr>
        <w:t>— ✦ —</w:t>
      </w:r>
    </w:p>
    <w:p>
      <w:r>
        <w:rPr>
          <w:b w:val="0"/>
          <w:i w:val="0"/>
        </w:rPr>
      </w:r>
      <w:r>
        <w:rPr>
          <w:b/>
          <w:i w:val="0"/>
        </w:rPr>
        <w:t>Dutch</w:t>
      </w:r>
      <w:r>
        <w:rPr>
          <w:b w:val="0"/>
          <w:i w:val="0"/>
        </w:rPr>
        <w:t xml:space="preserve"> | </w:t>
      </w:r>
      <w:r>
        <w:rPr>
          <w:b/>
          <w:i w:val="0"/>
        </w:rPr>
        <w:t>Independent research, plasma mythology, comparative mythology</w:t>
      </w:r>
      <w:r>
        <w:rPr>
          <w:b w:val="0"/>
          <w:i w:val="0"/>
        </w:rPr>
      </w:r>
    </w:p>
    <w:p>
      <w:r>
        <w:rPr>
          <w:b w:val="0"/>
          <w:i w:val="0"/>
        </w:rPr>
        <w:t>Van der Sluijs systematically documented plasma discharge phenomena in ancient literary and mythological sources worldwide, extending Peratt's petroglyph work into written texts. He cataloged cross-cultural descriptions of the "world column," "cosmic axis," and "pillar of heaven" as records of Birkeland current aurora events during the polar configuration, argued that dragon myths encode specific plasma instability shapes (kink instabilities, Z-pinch nodes), and compiled ancient descriptions of unusual celestial phenomena mapped against known plasma discharge geometries. The same plasma column forms documented in rock art on every continent also appear in Mesopotamian, Indian, Chinese, and Mesoamerican written sources.</w:t>
      </w:r>
    </w:p>
    <w:p>
      <w:r>
        <w:rPr>
          <w:b w:val="0"/>
          <w:i w:val="0"/>
        </w:rPr>
      </w:r>
      <w:r>
        <w:rPr>
          <w:b/>
          <w:i w:val="0"/>
        </w:rPr>
        <w:t>Key Works:</w:t>
      </w:r>
      <w:r>
        <w:rPr>
          <w:b w:val="0"/>
          <w:i w:val="0"/>
        </w:rPr>
        <w:t xml:space="preserve"> </w:t>
      </w:r>
      <w:r>
        <w:rPr>
          <w:b w:val="0"/>
          <w:i/>
        </w:rPr>
        <w:t>The Mythology of the World Axis</w:t>
      </w:r>
      <w:r>
        <w:rPr>
          <w:b w:val="0"/>
          <w:i w:val="0"/>
        </w:rPr>
        <w:t xml:space="preserve"> (2011); papers at </w:t>
      </w:r>
      <w:hyperlink r:id="rId131">
        <w:r>
          <w:rPr>
            <w:b w:val="0"/>
            <w:i w:val="0"/>
            <w:color w:val="B8860B"/>
          </w:rPr>
          <w:t>thunderbolts.info</w:t>
        </w:r>
      </w:hyperlink>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12">
        <w:r>
          <w:rPr>
            <w:b w:val="0"/>
            <w:i w:val="0"/>
            <w:color w:val="B8860B"/>
            <w:sz w:val="19"/>
          </w:rPr>
          <w:t>Anthony Peratt</w:t>
        </w:r>
      </w:hyperlink>
      <w:r>
        <w:rPr>
          <w:b w:val="0"/>
          <w:i w:val="0"/>
          <w:sz w:val="19"/>
        </w:rPr>
        <w:t xml:space="preserve"> — petroglyph work that van der Sluijs extends into written texts</w:t>
      </w:r>
    </w:p>
    <w:p>
      <w:pPr>
        <w:pStyle w:val="ListBullet"/>
        <w:spacing w:before="20" w:after="20"/>
      </w:pPr>
      <w:hyperlink r:id="rId111">
        <w:r>
          <w:rPr>
            <w:b w:val="0"/>
            <w:i w:val="0"/>
            <w:color w:val="B8860B"/>
            <w:sz w:val="19"/>
          </w:rPr>
          <w:t>David Talbott</w:t>
        </w:r>
      </w:hyperlink>
      <w:r>
        <w:rPr>
          <w:b w:val="0"/>
          <w:i w:val="0"/>
          <w:sz w:val="19"/>
        </w:rPr>
        <w:t xml:space="preserve"> — mythological framework</w:t>
      </w:r>
    </w:p>
    <w:p/>
    <w:p>
      <w:pPr>
        <w:jc w:val="center"/>
      </w:pPr>
      <w:r>
        <w:rPr>
          <w:color w:val="B8860B"/>
          <w:sz w:val="24"/>
        </w:rPr>
        <w:t>— ✦ —</w:t>
      </w:r>
    </w:p>
    <w:p>
      <w:r>
        <w:rPr>
          <w:b w:val="0"/>
          <w:i w:val="0"/>
        </w:rPr>
      </w:r>
      <w:r>
        <w:rPr>
          <w:b/>
          <w:i w:val="0"/>
        </w:rPr>
        <w:t>American</w:t>
      </w:r>
      <w:r>
        <w:rPr>
          <w:b w:val="0"/>
          <w:i w:val="0"/>
        </w:rPr>
        <w:t xml:space="preserve"> | </w:t>
      </w:r>
      <w:r>
        <w:rPr>
          <w:b/>
          <w:i w:val="0"/>
        </w:rPr>
        <w:t>Independent research, editor</w:t>
      </w:r>
      <w:r>
        <w:rPr>
          <w:b w:val="0"/>
          <w:i w:val="0"/>
        </w:rPr>
      </w:r>
    </w:p>
    <w:p>
      <w:r>
        <w:rPr>
          <w:b w:val="0"/>
          <w:i w:val="0"/>
        </w:rPr>
        <w:t xml:space="preserve">Ginenthal produced the most sustained published defense of Velikovsky against institutional dismissal and conducted independent paleoclimatological research on mammoth extinction. His </w:t>
      </w:r>
      <w:r>
        <w:rPr>
          <w:b w:val="0"/>
          <w:i/>
        </w:rPr>
        <w:t>Carl Sagan and Immanuel Velikovsky</w:t>
      </w:r>
      <w:r>
        <w:rPr>
          <w:b w:val="0"/>
          <w:i w:val="0"/>
        </w:rPr>
        <w:t xml:space="preserve"> (1995) is a point-by-point rebuttal demonstrating that Sagan repeatedly misrepresented Velikovsky's claims and used rhetorical rather than scientific criteria — the definitive response to the presentation considered the "closing argument" that ended Velikovskian respectability. His </w:t>
      </w:r>
      <w:r>
        <w:rPr>
          <w:b w:val="0"/>
          <w:i/>
        </w:rPr>
        <w:t>Extinction of the Mammoth</w:t>
      </w:r>
      <w:r>
        <w:rPr>
          <w:b w:val="0"/>
          <w:i w:val="0"/>
        </w:rPr>
        <w:t xml:space="preserve"> (1997) argued mammoths were killed by catastrophic polar axis displacement, not gradual glacial retreat. As editor of </w:t>
      </w:r>
      <w:r>
        <w:rPr>
          <w:b w:val="0"/>
          <w:i/>
        </w:rPr>
        <w:t>The Velikovskian</w:t>
      </w:r>
      <w:r>
        <w:rPr>
          <w:b w:val="0"/>
          <w:i w:val="0"/>
        </w:rPr>
        <w:t xml:space="preserve"> journal, he maintained a continuing venue for catastrophist scholarship through the 1990s and 2000s. Cook uses his Arctic climate estimates in the chronological reconstruction.</w:t>
      </w:r>
    </w:p>
    <w:p>
      <w:r>
        <w:rPr>
          <w:b w:val="0"/>
          <w:i w:val="0"/>
        </w:rPr>
      </w:r>
      <w:r>
        <w:rPr>
          <w:b/>
          <w:i w:val="0"/>
        </w:rPr>
        <w:t>Key Works:</w:t>
      </w:r>
      <w:r>
        <w:rPr>
          <w:b w:val="0"/>
          <w:i w:val="0"/>
        </w:rPr>
        <w:t xml:space="preserve"> </w:t>
      </w:r>
      <w:r>
        <w:rPr>
          <w:b w:val="0"/>
          <w:i/>
        </w:rPr>
        <w:t>Carl Sagan and Immanuel Velikovsky</w:t>
      </w:r>
      <w:r>
        <w:rPr>
          <w:b w:val="0"/>
          <w:i w:val="0"/>
        </w:rPr>
        <w:t xml:space="preserve"> (1995); </w:t>
      </w:r>
      <w:r>
        <w:rPr>
          <w:b w:val="0"/>
          <w:i/>
        </w:rPr>
        <w:t>The Extinction of the Mammoth</w:t>
      </w:r>
      <w:r>
        <w:rPr>
          <w:b w:val="0"/>
          <w:i w:val="0"/>
        </w:rPr>
        <w:t xml:space="preserve"> (1997)</w:t>
      </w:r>
    </w:p>
    <w:p>
      <w:pPr>
        <w:pBdr>
          <w:bottom w:val="single" w:sz="6" w:space="1" w:color="CCCCCC"/>
        </w:pBdr>
      </w:pPr>
    </w:p>
    <w:p>
      <w:pPr>
        <w:pStyle w:val="Heading3"/>
      </w:pPr>
      <w:r>
        <w:t>See Also</w:t>
      </w:r>
    </w:p>
    <w:p>
      <w:pPr>
        <w:pStyle w:val="ListBullet"/>
        <w:spacing w:before="20" w:after="20"/>
      </w:pPr>
      <w:hyperlink r:id="rId105">
        <w:r>
          <w:rPr>
            <w:b w:val="0"/>
            <w:i w:val="0"/>
            <w:color w:val="B8860B"/>
            <w:sz w:val="19"/>
          </w:rPr>
          <w:t>Authors Who Read Ancient Sources as World Cataclysm</w:t>
        </w:r>
      </w:hyperlink>
    </w:p>
    <w:p>
      <w:pPr>
        <w:pStyle w:val="ListBullet"/>
        <w:spacing w:before="20" w:after="20"/>
      </w:pPr>
      <w:hyperlink r:id="rId109">
        <w:r>
          <w:rPr>
            <w:b w:val="0"/>
            <w:i w:val="0"/>
            <w:color w:val="B8860B"/>
            <w:sz w:val="19"/>
          </w:rPr>
          <w:t>Immanuel Velikovsky</w:t>
        </w:r>
      </w:hyperlink>
      <w:r>
        <w:rPr>
          <w:b w:val="0"/>
          <w:i w:val="0"/>
          <w:sz w:val="19"/>
        </w:rPr>
        <w:t xml:space="preserve"> — whose work Ginenthal defended</w:t>
      </w:r>
    </w:p>
    <w:p>
      <w:pPr>
        <w:pStyle w:val="ListBullet"/>
        <w:spacing w:before="20" w:after="20"/>
      </w:pPr>
      <w:hyperlink r:id="rId114">
        <w:r>
          <w:rPr>
            <w:b w:val="0"/>
            <w:i w:val="0"/>
            <w:color w:val="B8860B"/>
            <w:sz w:val="19"/>
          </w:rPr>
          <w:t>Alfred de Grazia</w:t>
        </w:r>
      </w:hyperlink>
      <w:r>
        <w:rPr>
          <w:b w:val="0"/>
          <w:i w:val="0"/>
          <w:sz w:val="19"/>
        </w:rPr>
        <w:t xml:space="preserve"> — </w:t>
      </w:r>
      <w:r>
        <w:rPr>
          <w:b w:val="0"/>
          <w:i/>
          <w:sz w:val="19"/>
        </w:rPr>
        <w:t>Cosmic Heretics</w:t>
      </w:r>
      <w:r>
        <w:rPr>
          <w:b w:val="0"/>
          <w:i w:val="0"/>
          <w:sz w:val="19"/>
        </w:rPr>
        <w:t xml:space="preserve"> covers the same suppression from an insider perspective</w:t>
      </w:r>
    </w:p>
    <w:p/>
    <w:p>
      <w:pPr>
        <w:jc w:val="center"/>
      </w:pPr>
      <w:r>
        <w:rPr>
          <w:color w:val="B8860B"/>
          <w:sz w:val="24"/>
        </w:rPr>
        <w:t>— ✦ —</w:t>
      </w:r>
    </w:p>
    <w:p>
      <w:r>
        <w:rPr>
          <w:b w:val="0"/>
          <w:i w:val="0"/>
        </w:rPr>
      </w:r>
      <w:r>
        <w:rPr>
          <w:b/>
          <w:i w:val="0"/>
        </w:rPr>
        <w:t>American</w:t>
      </w:r>
      <w:r>
        <w:rPr>
          <w:b w:val="0"/>
          <w:i w:val="0"/>
        </w:rPr>
        <w:t xml:space="preserve"> | </w:t>
      </w:r>
      <w:r>
        <w:rPr>
          <w:b/>
          <w:i w:val="0"/>
        </w:rPr>
        <w:t>Geology, stratigraphy, geomorphology, archaeoastronomy</w:t>
      </w:r>
      <w:r>
        <w:rPr>
          <w:b w:val="0"/>
          <w:i w:val="0"/>
        </w:rPr>
      </w:r>
    </w:p>
    <w:p>
      <w:r>
        <w:rPr>
          <w:b w:val="0"/>
          <w:i w:val="0"/>
        </w:rPr>
        <w:t>Schoch is an associate professor of natural science at Boston University whose geological re-dating of the Great Sphinx to at least 7,000–10,000 BCE — based on water erosion patterns consistent with prolonged heavy rainfall — challenged the conventional ~2500 BCE construction date from within academic geology. The vertical undulating erosion channels in the Sphinx enclosure match thousands of years of heavy rainfall, not wind or the brief rains of the last 4,000 years. In later work (</w:t>
      </w:r>
      <w:r>
        <w:rPr>
          <w:b w:val="0"/>
          <w:i/>
        </w:rPr>
        <w:t>Forgotten Civilization</w:t>
      </w:r>
      <w:r>
        <w:rPr>
          <w:b w:val="0"/>
          <w:i w:val="0"/>
        </w:rPr>
        <w:t>, 2012), he argued that a massive solar plasma outburst around 9,700 BCE ended the last ice age catastrophically and destroyed an earlier advanced civilization, connecting directly to the EU catastrophist framework.</w:t>
      </w:r>
    </w:p>
    <w:p>
      <w:r>
        <w:rPr>
          <w:b w:val="0"/>
          <w:i w:val="0"/>
        </w:rPr>
      </w:r>
      <w:r>
        <w:rPr>
          <w:b/>
          <w:i w:val="0"/>
        </w:rPr>
        <w:t>Key Works:</w:t>
      </w:r>
      <w:r>
        <w:rPr>
          <w:b w:val="0"/>
          <w:i w:val="0"/>
        </w:rPr>
        <w:t xml:space="preserve"> </w:t>
      </w:r>
      <w:r>
        <w:rPr>
          <w:b w:val="0"/>
          <w:i/>
        </w:rPr>
        <w:t>Voices of the Rocks</w:t>
      </w:r>
      <w:r>
        <w:rPr>
          <w:b w:val="0"/>
          <w:i w:val="0"/>
        </w:rPr>
        <w:t xml:space="preserve"> (1999); </w:t>
      </w:r>
      <w:r>
        <w:rPr>
          <w:b w:val="0"/>
          <w:i/>
        </w:rPr>
        <w:t>Forgotten Civilization</w:t>
      </w:r>
      <w:r>
        <w:rPr>
          <w:b w:val="0"/>
          <w:i w:val="0"/>
        </w:rPr>
        <w:t xml:space="preserve"> (2012)</w:t>
      </w:r>
    </w:p>
    <w:p>
      <w:pPr>
        <w:pStyle w:val="Heading3"/>
      </w:pPr>
      <w:r>
        <w:t>Does Both</w:t>
      </w:r>
    </w:p>
    <w:p>
      <w:r>
        <w:rPr>
          <w:b w:val="0"/>
          <w:i w:val="0"/>
        </w:rPr>
        <w:t xml:space="preserve">Schoch </w:t>
      </w:r>
      <w:r>
        <w:rPr>
          <w:b/>
          <w:i w:val="0"/>
        </w:rPr>
        <w:t>challenges chronology</w:t>
      </w:r>
      <w:r>
        <w:rPr>
          <w:b w:val="0"/>
          <w:i w:val="0"/>
        </w:rPr>
        <w:t xml:space="preserve"> (re-dates the Sphinx geologically) and </w:t>
      </w:r>
      <w:r>
        <w:rPr>
          <w:b/>
          <w:i w:val="0"/>
        </w:rPr>
        <w:t>interprets evidence as world cataclysm</w:t>
      </w:r>
      <w:r>
        <w:rPr>
          <w:b w:val="0"/>
          <w:i w:val="0"/>
        </w:rPr>
        <w:t xml:space="preserve"> (solar plasma destroyed earlier civilization):</w:t>
      </w:r>
    </w:p>
    <w:p>
      <w:pPr>
        <w:pStyle w:val="ListBullet"/>
        <w:spacing w:before="20" w:after="20"/>
      </w:pPr>
      <w:r>
        <w:rPr>
          <w:b w:val="0"/>
          <w:i w:val="0"/>
          <w:sz w:val="19"/>
        </w:rPr>
        <w:t xml:space="preserve">→ </w:t>
      </w:r>
      <w:hyperlink r:id="rId104">
        <w:r>
          <w:rPr>
            <w:b w:val="0"/>
            <w:i w:val="0"/>
            <w:color w:val="B8860B"/>
            <w:sz w:val="19"/>
          </w:rPr>
          <w:t>Authors Challenging the Mainstream Timeline</w:t>
        </w:r>
      </w:hyperlink>
    </w:p>
    <w:p>
      <w:pPr>
        <w:pStyle w:val="ListBullet"/>
        <w:spacing w:before="20" w:after="20"/>
      </w:pPr>
      <w:r>
        <w:rPr>
          <w:b w:val="0"/>
          <w:i w:val="0"/>
          <w:sz w:val="19"/>
        </w:rPr>
        <w:t xml:space="preserve">→ </w:t>
      </w:r>
      <w:hyperlink r:id="rId105">
        <w:r>
          <w:rPr>
            <w:b w:val="0"/>
            <w:i w:val="0"/>
            <w:color w:val="B8860B"/>
            <w:sz w:val="19"/>
          </w:rPr>
          <w:t>Authors Who Read Ancient Sources as World Cataclysm</w:t>
        </w:r>
      </w:hyperlink>
    </w:p>
    <w:p>
      <w:pPr>
        <w:pBdr>
          <w:bottom w:val="single" w:sz="6" w:space="1" w:color="CCCCCC"/>
        </w:pBdr>
      </w:pPr>
    </w:p>
    <w:p>
      <w:pPr>
        <w:pStyle w:val="Heading3"/>
      </w:pPr>
      <w:r>
        <w:t>See Also</w:t>
      </w:r>
    </w:p>
    <w:p>
      <w:pPr>
        <w:pStyle w:val="ListBullet"/>
        <w:spacing w:before="20" w:after="20"/>
      </w:pPr>
      <w:hyperlink r:id="rId128">
        <w:r>
          <w:rPr>
            <w:b w:val="0"/>
            <w:i w:val="0"/>
            <w:color w:val="B8860B"/>
            <w:sz w:val="19"/>
          </w:rPr>
          <w:t>Graham Hancock</w:t>
        </w:r>
      </w:hyperlink>
      <w:r>
        <w:rPr>
          <w:b w:val="0"/>
          <w:i w:val="0"/>
          <w:sz w:val="19"/>
        </w:rPr>
        <w:t xml:space="preserve"> — parallel lost civilization research</w:t>
      </w:r>
    </w:p>
    <w:p>
      <w:pPr>
        <w:pStyle w:val="ListBullet"/>
        <w:spacing w:before="20" w:after="20"/>
      </w:pPr>
      <w:hyperlink r:id="rId121">
        <w:r>
          <w:rPr>
            <w:b w:val="0"/>
            <w:i w:val="0"/>
            <w:color w:val="B8860B"/>
            <w:sz w:val="19"/>
          </w:rPr>
          <w:t>Victor Clube &amp; Bill Napier</w:t>
        </w:r>
      </w:hyperlink>
      <w:r>
        <w:rPr>
          <w:b w:val="0"/>
          <w:i w:val="0"/>
          <w:sz w:val="19"/>
        </w:rPr>
        <w:t xml:space="preserve"> — parallel comet-based catastrophism</w:t>
      </w:r>
    </w:p>
    <w:p>
      <w:pPr>
        <w:pStyle w:val="ListBullet"/>
        <w:spacing w:before="20" w:after="20"/>
      </w:pPr>
      <w:hyperlink r:id="rId107">
        <w:r>
          <w:rPr>
            <w:b w:val="0"/>
            <w:i w:val="0"/>
            <w:color w:val="B8860B"/>
            <w:sz w:val="19"/>
          </w:rPr>
          <w:t>Wal Thornhill</w:t>
        </w:r>
      </w:hyperlink>
      <w:r>
        <w:rPr>
          <w:b w:val="0"/>
          <w:i w:val="0"/>
          <w:sz w:val="19"/>
        </w:rPr>
        <w:t xml:space="preserve"> — EU solar model Schoch's plasma hypothesis connects to</w:t>
      </w:r>
    </w:p>
    <w:p/>
    <w:p>
      <w:pPr>
        <w:jc w:val="center"/>
      </w:pPr>
      <w:r>
        <w:rPr>
          <w:color w:val="B8860B"/>
          <w:sz w:val="24"/>
        </w:rPr>
        <w:t>— ✦ —</w:t>
      </w:r>
    </w:p>
    <w:p>
      <w:r>
        <w:rPr>
          <w:b w:val="0"/>
          <w:i w:val="0"/>
        </w:rPr>
      </w:r>
      <w:r>
        <w:rPr>
          <w:b/>
          <w:i w:val="0"/>
        </w:rPr>
        <w:t>British</w:t>
      </w:r>
      <w:r>
        <w:rPr>
          <w:b w:val="0"/>
          <w:i w:val="0"/>
        </w:rPr>
        <w:t xml:space="preserve"> | </w:t>
      </w:r>
      <w:r>
        <w:rPr>
          <w:b/>
          <w:i w:val="0"/>
        </w:rPr>
        <w:t>Investigative journalism, prehistoric archaeology, alternative history</w:t>
      </w:r>
      <w:r>
        <w:rPr>
          <w:b w:val="0"/>
          <w:i w:val="0"/>
        </w:rPr>
      </w:r>
    </w:p>
    <w:p>
      <w:r>
        <w:rPr>
          <w:b w:val="0"/>
          <w:i w:val="0"/>
        </w:rPr>
        <w:t>Hancock assembled evidence for a lost advanced civilization destroyed by the Younger Dryas impact event (~10,900 BCE), whose survivors seeded the apparently "sudden" emergence of agriculture and monumental architecture worldwide. He argued that Göbekli Tepe (~9600 BCE) requires a civilizational substrate conventional prehistory cannot account for, that the Younger Dryas was caused by a fragmenting comet (the Taurid Complex per Clube &amp; Napier), and that astronomical alignments and precessional cycles encoded in monuments preserve knowledge of this pre-catastrophe civilization. He documented submerged structures off India, Japan, and the Mediterranean dated before post-glacial sea-level rise, and argued Plato's Atlantis preserves genuine historical memory.</w:t>
      </w:r>
    </w:p>
    <w:p>
      <w:r>
        <w:rPr>
          <w:b w:val="0"/>
          <w:i w:val="0"/>
        </w:rPr>
      </w:r>
      <w:r>
        <w:rPr>
          <w:b/>
          <w:i w:val="0"/>
        </w:rPr>
        <w:t>Key Works:</w:t>
      </w:r>
      <w:r>
        <w:rPr>
          <w:b w:val="0"/>
          <w:i w:val="0"/>
        </w:rPr>
        <w:t xml:space="preserve"> </w:t>
      </w:r>
      <w:r>
        <w:rPr>
          <w:b w:val="0"/>
          <w:i/>
        </w:rPr>
        <w:t>Fingerprints of the Gods</w:t>
      </w:r>
      <w:r>
        <w:rPr>
          <w:b w:val="0"/>
          <w:i w:val="0"/>
        </w:rPr>
        <w:t xml:space="preserve"> (1995); </w:t>
      </w:r>
      <w:r>
        <w:rPr>
          <w:b w:val="0"/>
          <w:i/>
        </w:rPr>
        <w:t>Magicians of the Gods</w:t>
      </w:r>
      <w:r>
        <w:rPr>
          <w:b w:val="0"/>
          <w:i w:val="0"/>
        </w:rPr>
        <w:t xml:space="preserve"> (2015)</w:t>
      </w:r>
    </w:p>
    <w:p>
      <w:pPr>
        <w:pStyle w:val="Heading3"/>
      </w:pPr>
      <w:r>
        <w:t>Does Both</w:t>
      </w:r>
    </w:p>
    <w:p>
      <w:r>
        <w:rPr>
          <w:b w:val="0"/>
          <w:i w:val="0"/>
        </w:rPr>
        <w:t xml:space="preserve">Hancock </w:t>
      </w:r>
      <w:r>
        <w:rPr>
          <w:b/>
          <w:i w:val="0"/>
        </w:rPr>
        <w:t>challenges the timeline</w:t>
      </w:r>
      <w:r>
        <w:rPr>
          <w:b w:val="0"/>
          <w:i w:val="0"/>
        </w:rPr>
        <w:t xml:space="preserve"> (human civilization 10,000+ years older than accepted) and </w:t>
      </w:r>
      <w:r>
        <w:rPr>
          <w:b/>
          <w:i w:val="0"/>
        </w:rPr>
        <w:t>interprets ancient sources as literal records</w:t>
      </w:r>
      <w:r>
        <w:rPr>
          <w:b w:val="0"/>
          <w:i w:val="0"/>
        </w:rPr>
        <w:t xml:space="preserve"> (Plato's Atlantis, global flood myths):</w:t>
      </w:r>
    </w:p>
    <w:p>
      <w:pPr>
        <w:pStyle w:val="ListBullet"/>
        <w:spacing w:before="20" w:after="20"/>
      </w:pPr>
      <w:r>
        <w:rPr>
          <w:b w:val="0"/>
          <w:i w:val="0"/>
          <w:sz w:val="19"/>
        </w:rPr>
        <w:t xml:space="preserve">→ </w:t>
      </w:r>
      <w:hyperlink r:id="rId104">
        <w:r>
          <w:rPr>
            <w:b w:val="0"/>
            <w:i w:val="0"/>
            <w:color w:val="B8860B"/>
            <w:sz w:val="19"/>
          </w:rPr>
          <w:t>Authors Challenging the Mainstream Timeline</w:t>
        </w:r>
      </w:hyperlink>
    </w:p>
    <w:p>
      <w:pPr>
        <w:pStyle w:val="ListBullet"/>
        <w:spacing w:before="20" w:after="20"/>
      </w:pPr>
      <w:r>
        <w:rPr>
          <w:b w:val="0"/>
          <w:i w:val="0"/>
          <w:sz w:val="19"/>
        </w:rPr>
        <w:t xml:space="preserve">→ </w:t>
      </w:r>
      <w:hyperlink r:id="rId105">
        <w:r>
          <w:rPr>
            <w:b w:val="0"/>
            <w:i w:val="0"/>
            <w:color w:val="B8860B"/>
            <w:sz w:val="19"/>
          </w:rPr>
          <w:t>Authors Who Read Ancient Sources as World Cataclysm</w:t>
        </w:r>
      </w:hyperlink>
    </w:p>
    <w:p>
      <w:pPr>
        <w:pBdr>
          <w:bottom w:val="single" w:sz="6" w:space="1" w:color="CCCCCC"/>
        </w:pBdr>
      </w:pPr>
    </w:p>
    <w:p>
      <w:pPr>
        <w:pStyle w:val="Heading3"/>
      </w:pPr>
      <w:r>
        <w:t>See Also</w:t>
      </w:r>
    </w:p>
    <w:p>
      <w:pPr>
        <w:pStyle w:val="ListBullet"/>
        <w:spacing w:before="20" w:after="20"/>
      </w:pPr>
      <w:hyperlink r:id="rId127">
        <w:r>
          <w:rPr>
            <w:b w:val="0"/>
            <w:i w:val="0"/>
            <w:color w:val="B8860B"/>
            <w:sz w:val="19"/>
          </w:rPr>
          <w:t>Robert Schoch</w:t>
        </w:r>
      </w:hyperlink>
      <w:r>
        <w:rPr>
          <w:b w:val="0"/>
          <w:i w:val="0"/>
          <w:sz w:val="19"/>
        </w:rPr>
        <w:t xml:space="preserve"> — geological partner, Sphinx re-dating</w:t>
      </w:r>
    </w:p>
    <w:p>
      <w:pPr>
        <w:pStyle w:val="ListBullet"/>
        <w:spacing w:before="20" w:after="20"/>
      </w:pPr>
      <w:hyperlink r:id="rId121">
        <w:r>
          <w:rPr>
            <w:b w:val="0"/>
            <w:i w:val="0"/>
            <w:color w:val="B8860B"/>
            <w:sz w:val="19"/>
          </w:rPr>
          <w:t>Victor Clube &amp; Bill Napier</w:t>
        </w:r>
      </w:hyperlink>
      <w:r>
        <w:rPr>
          <w:b w:val="0"/>
          <w:i w:val="0"/>
          <w:sz w:val="19"/>
        </w:rPr>
        <w:t xml:space="preserve"> — the Taurid Complex mechanism behind the Younger Dryas event Hancock describes</w:t>
      </w:r>
    </w:p>
    <w:p>
      <w:pPr>
        <w:pStyle w:val="ListBullet"/>
        <w:spacing w:before="20" w:after="20"/>
      </w:pPr>
      <w:hyperlink r:id="rId129">
        <w:r>
          <w:rPr>
            <w:b w:val="0"/>
            <w:i w:val="0"/>
            <w:color w:val="B8860B"/>
            <w:sz w:val="19"/>
          </w:rPr>
          <w:t>Michael Cremo</w:t>
        </w:r>
      </w:hyperlink>
      <w:r>
        <w:rPr>
          <w:b w:val="0"/>
          <w:i w:val="0"/>
          <w:sz w:val="19"/>
        </w:rPr>
        <w:t xml:space="preserve"> — parallel forbidden archaeology / human antiquity work</w:t>
      </w:r>
    </w:p>
    <w:p/>
    <w:p>
      <w:pPr>
        <w:jc w:val="center"/>
      </w:pPr>
      <w:r>
        <w:rPr>
          <w:color w:val="B8860B"/>
          <w:sz w:val="24"/>
        </w:rPr>
        <w:t>— ✦ —</w:t>
      </w:r>
    </w:p>
    <w:p>
      <w:r>
        <w:rPr>
          <w:b w:val="0"/>
          <w:i w:val="0"/>
        </w:rPr>
      </w:r>
      <w:r>
        <w:rPr>
          <w:b/>
          <w:i w:val="0"/>
        </w:rPr>
        <w:t>American (Bhaktivedanta Institute)</w:t>
      </w:r>
      <w:r>
        <w:rPr>
          <w:b w:val="0"/>
          <w:i w:val="0"/>
        </w:rPr>
        <w:t xml:space="preserve"> | </w:t>
      </w:r>
      <w:r>
        <w:rPr>
          <w:b/>
          <w:i w:val="0"/>
        </w:rPr>
        <w:t>Independent research, Vedic cosmology, forbidden archaeology</w:t>
      </w:r>
      <w:r>
        <w:rPr>
          <w:b w:val="0"/>
          <w:i w:val="0"/>
        </w:rPr>
      </w:r>
    </w:p>
    <w:p>
      <w:r>
        <w:rPr>
          <w:b w:val="0"/>
          <w:i w:val="0"/>
        </w:rPr>
        <w:t xml:space="preserve">Cremo co-authored with Richard L. Thompson the 900-page </w:t>
      </w:r>
      <w:r>
        <w:rPr>
          <w:b w:val="0"/>
          <w:i/>
        </w:rPr>
        <w:t>Forbidden Archaeology</w:t>
      </w:r>
      <w:r>
        <w:rPr>
          <w:b w:val="0"/>
          <w:i w:val="0"/>
        </w:rPr>
        <w:t xml:space="preserve"> (1993), systematically documenting hundreds of suppressed cases where modern human skeletal remains or artifacts were found in geological strata dated to millions of years ago — cases quietly discarded rather than addressed by the mainstream literature. He argued that scientific institutions apply a "knowledge filter," systematically excluding evidence contradicting the established human evolution timeline. He connected this archaeological evidence to Vedic cosmological accounts of cyclical human civilizations and argued for devolution rather than evolution. If even a fraction of his suppressed cases are valid, the human species is far older than the 200,000-year consensus — with direct implications for every chronological framework in this timeline.</w:t>
      </w:r>
    </w:p>
    <w:p>
      <w:r>
        <w:rPr>
          <w:b w:val="0"/>
          <w:i w:val="0"/>
        </w:rPr>
      </w:r>
      <w:r>
        <w:rPr>
          <w:b/>
          <w:i w:val="0"/>
        </w:rPr>
        <w:t>Key Works:</w:t>
      </w:r>
      <w:r>
        <w:rPr>
          <w:b w:val="0"/>
          <w:i w:val="0"/>
        </w:rPr>
        <w:t xml:space="preserve"> </w:t>
      </w:r>
      <w:r>
        <w:rPr>
          <w:b w:val="0"/>
          <w:i/>
        </w:rPr>
        <w:t>Forbidden Archaeology</w:t>
      </w:r>
      <w:r>
        <w:rPr>
          <w:b w:val="0"/>
          <w:i w:val="0"/>
        </w:rPr>
        <w:t xml:space="preserve"> (1993, with Thompson); </w:t>
      </w:r>
      <w:r>
        <w:rPr>
          <w:b w:val="0"/>
          <w:i/>
        </w:rPr>
        <w:t>Human Devolution</w:t>
      </w:r>
      <w:r>
        <w:rPr>
          <w:b w:val="0"/>
          <w:i w:val="0"/>
        </w:rPr>
        <w:t xml:space="preserve"> (2003)</w:t>
      </w:r>
    </w:p>
    <w:p>
      <w:pPr>
        <w:pStyle w:val="Heading3"/>
      </w:pPr>
      <w:r>
        <w:t>Does Both</w:t>
      </w:r>
    </w:p>
    <w:p>
      <w:r>
        <w:rPr>
          <w:b w:val="0"/>
          <w:i w:val="0"/>
        </w:rPr>
        <w:t xml:space="preserve">Cremo </w:t>
      </w:r>
      <w:r>
        <w:rPr>
          <w:b/>
          <w:i w:val="0"/>
        </w:rPr>
        <w:t>challenges the timeline</w:t>
      </w:r>
      <w:r>
        <w:rPr>
          <w:b w:val="0"/>
          <w:i w:val="0"/>
        </w:rPr>
        <w:t xml:space="preserve"> (extreme human antiquity from archaeology) and </w:t>
      </w:r>
      <w:r>
        <w:rPr>
          <w:b/>
          <w:i w:val="0"/>
        </w:rPr>
        <w:t>interprets ancient texts as historical reality</w:t>
      </w:r>
      <w:r>
        <w:rPr>
          <w:b w:val="0"/>
          <w:i w:val="0"/>
        </w:rPr>
        <w:t xml:space="preserve"> (Vedic texts as real cosmic history):</w:t>
      </w:r>
    </w:p>
    <w:p>
      <w:pPr>
        <w:pStyle w:val="ListBullet"/>
        <w:spacing w:before="20" w:after="20"/>
      </w:pPr>
      <w:r>
        <w:rPr>
          <w:b w:val="0"/>
          <w:i w:val="0"/>
          <w:sz w:val="19"/>
        </w:rPr>
        <w:t xml:space="preserve">→ </w:t>
      </w:r>
      <w:hyperlink r:id="rId104">
        <w:r>
          <w:rPr>
            <w:b w:val="0"/>
            <w:i w:val="0"/>
            <w:color w:val="B8860B"/>
            <w:sz w:val="19"/>
          </w:rPr>
          <w:t>Authors Challenging the Mainstream Timeline</w:t>
        </w:r>
      </w:hyperlink>
    </w:p>
    <w:p>
      <w:pPr>
        <w:pStyle w:val="ListBullet"/>
        <w:spacing w:before="20" w:after="20"/>
      </w:pPr>
      <w:r>
        <w:rPr>
          <w:b w:val="0"/>
          <w:i w:val="0"/>
          <w:sz w:val="19"/>
        </w:rPr>
        <w:t xml:space="preserve">→ </w:t>
      </w:r>
      <w:hyperlink r:id="rId105">
        <w:r>
          <w:rPr>
            <w:b w:val="0"/>
            <w:i w:val="0"/>
            <w:color w:val="B8860B"/>
            <w:sz w:val="19"/>
          </w:rPr>
          <w:t>Authors Who Read Ancient Sources as World Cataclysm</w:t>
        </w:r>
      </w:hyperlink>
    </w:p>
    <w:p>
      <w:pPr>
        <w:pBdr>
          <w:bottom w:val="single" w:sz="6" w:space="1" w:color="CCCCCC"/>
        </w:pBdr>
      </w:pPr>
    </w:p>
    <w:p>
      <w:pPr>
        <w:pStyle w:val="Heading3"/>
      </w:pPr>
      <w:r>
        <w:t>See Also</w:t>
      </w:r>
    </w:p>
    <w:p>
      <w:pPr>
        <w:pStyle w:val="ListBullet"/>
        <w:spacing w:before="20" w:after="20"/>
      </w:pPr>
      <w:hyperlink r:id="rId128">
        <w:r>
          <w:rPr>
            <w:b w:val="0"/>
            <w:i w:val="0"/>
            <w:color w:val="B8860B"/>
            <w:sz w:val="19"/>
          </w:rPr>
          <w:t>Graham Hancock</w:t>
        </w:r>
      </w:hyperlink>
      <w:r>
        <w:rPr>
          <w:b w:val="0"/>
          <w:i w:val="0"/>
          <w:sz w:val="19"/>
        </w:rPr>
        <w:t xml:space="preserve"> — parallel forbidden prehistory research</w:t>
      </w:r>
    </w:p>
    <w:p>
      <w:pPr>
        <w:pStyle w:val="ListBullet"/>
        <w:spacing w:before="20" w:after="20"/>
      </w:pPr>
      <w:hyperlink r:id="rId127">
        <w:r>
          <w:rPr>
            <w:b w:val="0"/>
            <w:i w:val="0"/>
            <w:color w:val="B8860B"/>
            <w:sz w:val="19"/>
          </w:rPr>
          <w:t>Robert Schoch</w:t>
        </w:r>
      </w:hyperlink>
      <w:r>
        <w:rPr>
          <w:b w:val="0"/>
          <w:i w:val="0"/>
          <w:sz w:val="19"/>
        </w:rPr>
        <w:t xml:space="preserve"> — geological evidence for pre-conventional civilization</w:t>
      </w:r>
    </w:p>
    <w:p/>
    <w:p>
      <w:pPr>
        <w:jc w:val="center"/>
      </w:pPr>
      <w:r>
        <w:rPr>
          <w:color w:val="B8860B"/>
          <w:sz w:val="24"/>
        </w:rPr>
        <w:t>— ✦ —</w:t>
      </w:r>
    </w:p>
    <w:p>
      <w:r>
        <w:rPr>
          <w:b w:val="0"/>
          <w:i w:val="0"/>
        </w:rPr>
      </w:r>
      <w:r>
        <w:rPr>
          <w:b/>
          <w:i w:val="0"/>
        </w:rPr>
        <w:t>American</w:t>
      </w:r>
      <w:r>
        <w:rPr>
          <w:b w:val="0"/>
          <w:i w:val="0"/>
        </w:rPr>
        <w:t xml:space="preserve"> | </w:t>
      </w:r>
      <w:r>
        <w:rPr>
          <w:b/>
          <w:i w:val="0"/>
        </w:rPr>
        <w:t>Ophthalmology, bioelectric medicine, scalar energy</w:t>
      </w:r>
      <w:r>
        <w:rPr>
          <w:b w:val="0"/>
          <w:i w:val="0"/>
        </w:rPr>
      </w:r>
    </w:p>
    <w:p>
      <w:r>
        <w:rPr>
          <w:b w:val="0"/>
          <w:i w:val="0"/>
        </w:rPr>
        <w:t>Jerry Tennant, MD, MD(H), is a board-certified ophthalmologist and ophthalmic plastic surgeon who conducted approximately 90% of the research for the VISX excimer laser used in LASIK surgery. Trained at Southwestern Medical School (top 10, age 23) and Harvard/Massachusetts Eye and Ear Infirmary, he founded the Dallas Eye Institute and directed ophthalmic plastic surgery at Parkland Memorial Hospital. He holds over 13 patents and co-founded the Outpatient Ophthalmic Surgical Society.</w:t>
      </w:r>
    </w:p>
    <w:p>
      <w:r>
        <w:rPr>
          <w:b w:val="0"/>
          <w:i w:val="0"/>
        </w:rPr>
        <w:t xml:space="preserve">In approximately 1995, Tennant contracted viral encephalitis from a patient during eye surgery — viruses released from a corneal scar entered through his nose and reached his brain. The resulting neurological damage left him unable to function: he could not read, converse, or work. Over seven years, he rebuilt himself by studying the body's electrical systems — ultimately concluding that </w:t>
      </w:r>
      <w:r>
        <w:rPr>
          <w:b/>
          <w:i w:val="0"/>
        </w:rPr>
        <w:t>all chronic disease is a voltage deficiency</w:t>
      </w:r>
      <w:r>
        <w:rPr>
          <w:b w:val="0"/>
          <w:i w:val="0"/>
        </w:rPr>
        <w:t xml:space="preserve"> and that the body operates as an electronic circuit.</w:t>
      </w:r>
    </w:p>
    <w:p>
      <w:r>
        <w:rPr>
          <w:b w:val="0"/>
          <w:i w:val="0"/>
        </w:rPr>
      </w:r>
      <w:r>
        <w:rPr>
          <w:b/>
          <w:i w:val="0"/>
        </w:rPr>
        <w:t>Key Works:</w:t>
      </w:r>
      <w:r>
        <w:rPr>
          <w:b w:val="0"/>
          <w:i w:val="0"/>
        </w:rPr>
        <w:t xml:space="preserve"> </w:t>
      </w:r>
      <w:r>
        <w:rPr>
          <w:b w:val="0"/>
          <w:i/>
        </w:rPr>
        <w:t>Healing is Voltage</w:t>
      </w:r>
      <w:r>
        <w:rPr>
          <w:b w:val="0"/>
          <w:i w:val="0"/>
        </w:rPr>
        <w:t xml:space="preserve"> (book series); lectures at EU2017 (Thunderbolts Project); </w:t>
      </w:r>
      <w:r>
        <w:rPr>
          <w:b w:val="0"/>
          <w:i/>
        </w:rPr>
        <w:t>Electricity of Life</w:t>
      </w:r>
      <w:r>
        <w:rPr>
          <w:b w:val="0"/>
          <w:i w:val="0"/>
        </w:rPr>
        <w:t xml:space="preserve"> series (Thunderbolts Project)</w:t>
      </w:r>
    </w:p>
    <w:p>
      <w:pPr>
        <w:pBdr>
          <w:bottom w:val="single" w:sz="6" w:space="1" w:color="CCCCCC"/>
        </w:pBdr>
      </w:pPr>
    </w:p>
    <w:p>
      <w:pPr>
        <w:pStyle w:val="Heading3"/>
      </w:pPr>
      <w:r>
        <w:t>Core Thesis: Healing is Voltage</w:t>
      </w:r>
    </w:p>
    <w:p>
      <w:r>
        <w:rPr>
          <w:b w:val="0"/>
          <w:i w:val="0"/>
        </w:rPr>
        <w:t>Tennant's central claim is that pH is a measurement of voltage in a liquid. Healthy cells operate at −20 to −25 mV (pH 7.35–7.45). Cell repair and regeneration require −50 mV. All chronic disease occurs when voltage drops below the threshold needed to make new cells. Cancer represents a polarity reversal to +30 mV.</w:t>
      </w:r>
    </w:p>
    <w:p>
      <w:r>
        <w:rPr>
          <w:b w:val="0"/>
          <w:i w:val="0"/>
        </w:rPr>
        <w:t xml:space="preserve">The body's "battery packs" include: muscle stacks (wired as acupuncture meridians, per Tom Myers's </w:t>
      </w:r>
      <w:r>
        <w:rPr>
          <w:b w:val="0"/>
          <w:i/>
        </w:rPr>
        <w:t>Anatomy Trains</w:t>
      </w:r>
      <w:r>
        <w:rPr>
          <w:b w:val="0"/>
          <w:i w:val="0"/>
        </w:rPr>
        <w:t>), cell membranes (capacitors), EZ water (H₃O₂⁻, Gerald Pollack's Exclusion Zone water), mitochondria (ATP/ADP cycle), and DNA (scalar implosion at the golden mean). Fascia functions as a semiconductor. The tunica adventitia around blood vessels functions as a semiconductor. Scars, dental infections, emotions (stored as magnetic fields), hypothyroidism, and toxins block voltage delivery.</w:t>
      </w:r>
    </w:p>
    <w:p>
      <w:r>
        <w:rPr>
          <w:b w:val="0"/>
          <w:i w:val="0"/>
        </w:rPr>
        <w:t xml:space="preserve">Tennant builds on Becker and Nordenström. </w:t>
      </w:r>
      <w:r>
        <w:rPr>
          <w:b/>
          <w:i w:val="0"/>
        </w:rPr>
        <w:t>Flexner-era researchers ignored by establishment:</w:t>
      </w:r>
      <w:r>
        <w:rPr>
          <w:b w:val="0"/>
          <w:i w:val="0"/>
        </w:rPr>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006"/>
        <w:gridCol w:w="3493"/>
        <w:gridCol w:w="1874"/>
      </w:tblGrid>
      <w:tr>
        <w:tc>
          <w:tcPr>
            <w:tcW w:type="dxa" w:w="1006"/>
            <w:shd w:val="clear" w:color="auto" w:fill="F0F0F0"/>
          </w:tcPr>
          <w:p>
            <w:pPr>
              <w:spacing w:before="20" w:after="20"/>
              <w:jc w:val="center"/>
            </w:pPr>
            <w:r>
              <w:rPr>
                <w:rFonts w:ascii="Libre Franklin" w:hAnsi="Libre Franklin"/>
                <w:b/>
                <w:sz w:val="18"/>
              </w:rPr>
              <w:t>Researcher</w:t>
            </w:r>
          </w:p>
        </w:tc>
        <w:tc>
          <w:tcPr>
            <w:tcW w:type="dxa" w:w="3493"/>
            <w:shd w:val="clear" w:color="auto" w:fill="F0F0F0"/>
          </w:tcPr>
          <w:p>
            <w:pPr>
              <w:spacing w:before="20" w:after="20"/>
              <w:jc w:val="center"/>
            </w:pPr>
            <w:r>
              <w:rPr>
                <w:rFonts w:ascii="Libre Franklin" w:hAnsi="Libre Franklin"/>
                <w:b/>
                <w:sz w:val="18"/>
              </w:rPr>
              <w:t>Contribution</w:t>
            </w:r>
          </w:p>
        </w:tc>
        <w:tc>
          <w:tcPr>
            <w:tcW w:type="dxa" w:w="1874"/>
            <w:shd w:val="clear" w:color="auto" w:fill="F0F0F0"/>
          </w:tcPr>
          <w:p>
            <w:pPr>
              <w:spacing w:before="20" w:after="20"/>
              <w:jc w:val="center"/>
            </w:pPr>
            <w:r>
              <w:rPr>
                <w:rFonts w:ascii="Libre Franklin" w:hAnsi="Libre Franklin"/>
                <w:b/>
                <w:sz w:val="18"/>
              </w:rPr>
              <w:t>Outcome</w:t>
            </w:r>
          </w:p>
        </w:tc>
      </w:tr>
      <w:tr>
        <w:tc>
          <w:tcPr>
            <w:tcW w:type="dxa" w:w="1006"/>
          </w:tcPr>
          <w:p>
            <w:pPr>
              <w:spacing w:before="20" w:after="20"/>
            </w:pPr>
            <w:r>
              <w:rPr>
                <w:b w:val="0"/>
                <w:i w:val="0"/>
                <w:sz w:val="18"/>
              </w:rPr>
              <w:t>Robert Becker</w:t>
            </w:r>
          </w:p>
        </w:tc>
        <w:tc>
          <w:tcPr>
            <w:tcW w:type="dxa" w:w="3493"/>
          </w:tcPr>
          <w:p>
            <w:pPr>
              <w:spacing w:before="20" w:after="20"/>
            </w:pPr>
            <w:r>
              <w:rPr>
                <w:b w:val="0"/>
                <w:i/>
                <w:sz w:val="18"/>
              </w:rPr>
              <w:t>The Body Electric</w:t>
            </w:r>
            <w:r>
              <w:rPr>
                <w:b w:val="0"/>
                <w:i w:val="0"/>
                <w:sz w:val="18"/>
              </w:rPr>
              <w:t xml:space="preserve"> (1985); electrical currents in bone healing, limb regeneration</w:t>
            </w:r>
          </w:p>
        </w:tc>
        <w:tc>
          <w:tcPr>
            <w:tcW w:type="dxa" w:w="1874"/>
          </w:tcPr>
          <w:p>
            <w:pPr>
              <w:spacing w:before="20" w:after="20"/>
            </w:pPr>
            <w:r>
              <w:rPr>
                <w:b w:val="0"/>
                <w:i w:val="0"/>
                <w:sz w:val="18"/>
              </w:rPr>
              <w:t>Twice Nobel-nominated; funding cut</w:t>
            </w:r>
          </w:p>
        </w:tc>
      </w:tr>
      <w:tr>
        <w:tc>
          <w:tcPr>
            <w:tcW w:type="dxa" w:w="1006"/>
          </w:tcPr>
          <w:p>
            <w:pPr>
              <w:spacing w:before="20" w:after="20"/>
            </w:pPr>
            <w:r>
              <w:rPr>
                <w:b w:val="0"/>
                <w:i w:val="0"/>
                <w:sz w:val="18"/>
              </w:rPr>
              <w:t>Björn Nordenström</w:t>
            </w:r>
          </w:p>
        </w:tc>
        <w:tc>
          <w:tcPr>
            <w:tcW w:type="dxa" w:w="3493"/>
          </w:tcPr>
          <w:p>
            <w:pPr>
              <w:spacing w:before="20" w:after="20"/>
            </w:pPr>
            <w:r>
              <w:rPr>
                <w:b w:val="0"/>
                <w:i/>
                <w:sz w:val="18"/>
              </w:rPr>
              <w:t>Biologically Closed Electric Circuits</w:t>
            </w:r>
            <w:r>
              <w:rPr>
                <w:b w:val="0"/>
                <w:i w:val="0"/>
                <w:sz w:val="18"/>
              </w:rPr>
              <w:t xml:space="preserve"> (1983); chair of Nobel Assembly for Medicine</w:t>
            </w:r>
          </w:p>
        </w:tc>
        <w:tc>
          <w:tcPr>
            <w:tcW w:type="dxa" w:w="1874"/>
          </w:tcPr>
          <w:p>
            <w:pPr>
              <w:spacing w:before="20" w:after="20"/>
            </w:pPr>
            <w:r>
              <w:rPr>
                <w:b w:val="0"/>
                <w:i w:val="0"/>
                <w:sz w:val="18"/>
              </w:rPr>
              <w:t>Published as Karolinska chair; ignored</w:t>
            </w:r>
          </w:p>
        </w:tc>
      </w:tr>
      <w:tr>
        <w:tc>
          <w:tcPr>
            <w:tcW w:type="dxa" w:w="1006"/>
          </w:tcPr>
          <w:p>
            <w:pPr>
              <w:spacing w:before="20" w:after="20"/>
            </w:pPr>
            <w:r>
              <w:rPr>
                <w:b w:val="0"/>
                <w:i w:val="0"/>
                <w:sz w:val="18"/>
              </w:rPr>
              <w:t>Steinman &amp; Leonora</w:t>
            </w:r>
          </w:p>
        </w:tc>
        <w:tc>
          <w:tcPr>
            <w:tcW w:type="dxa" w:w="3493"/>
          </w:tcPr>
          <w:p>
            <w:pPr>
              <w:spacing w:before="20" w:after="20"/>
            </w:pPr>
            <w:r>
              <w:rPr>
                <w:b w:val="0"/>
                <w:i w:val="0"/>
                <w:sz w:val="18"/>
              </w:rPr>
              <w:t>Dentinal fluid transport; hypothalamic-parotid axis</w:t>
            </w:r>
          </w:p>
        </w:tc>
        <w:tc>
          <w:tcPr>
            <w:tcW w:type="dxa" w:w="1874"/>
          </w:tcPr>
          <w:p>
            <w:pPr>
              <w:spacing w:before="20" w:after="20"/>
            </w:pPr>
            <w:r>
              <w:rPr>
                <w:b w:val="0"/>
                <w:i w:val="0"/>
                <w:sz w:val="18"/>
              </w:rPr>
              <w:t>Ignored by dentistry</w:t>
            </w:r>
          </w:p>
        </w:tc>
      </w:tr>
      <w:tr>
        <w:tc>
          <w:tcPr>
            <w:tcW w:type="dxa" w:w="1006"/>
          </w:tcPr>
          <w:p>
            <w:pPr>
              <w:spacing w:before="20" w:after="20"/>
            </w:pPr>
            <w:r>
              <w:rPr>
                <w:b w:val="0"/>
                <w:i w:val="0"/>
                <w:sz w:val="18"/>
              </w:rPr>
              <w:t>Yoshio Nakatani</w:t>
            </w:r>
          </w:p>
        </w:tc>
        <w:tc>
          <w:tcPr>
            <w:tcW w:type="dxa" w:w="3493"/>
          </w:tcPr>
          <w:p>
            <w:pPr>
              <w:spacing w:before="20" w:after="20"/>
            </w:pPr>
            <w:r>
              <w:rPr>
                <w:b w:val="0"/>
                <w:i w:val="0"/>
                <w:sz w:val="18"/>
              </w:rPr>
              <w:t>Acupuncture meridian mapping (1951)</w:t>
            </w:r>
          </w:p>
        </w:tc>
        <w:tc>
          <w:tcPr>
            <w:tcW w:type="dxa" w:w="1874"/>
          </w:tcPr>
          <w:p>
            <w:pPr>
              <w:spacing w:before="20" w:after="20"/>
            </w:pPr>
            <w:r>
              <w:rPr>
                <w:b w:val="0"/>
                <w:i w:val="0"/>
                <w:sz w:val="18"/>
              </w:rPr>
              <w:t>Known in Japan; unknown in West</w:t>
            </w:r>
          </w:p>
        </w:tc>
      </w:tr>
      <w:tr>
        <w:tc>
          <w:tcPr>
            <w:tcW w:type="dxa" w:w="1006"/>
          </w:tcPr>
          <w:p>
            <w:pPr>
              <w:spacing w:before="20" w:after="20"/>
            </w:pPr>
            <w:r>
              <w:rPr>
                <w:b w:val="0"/>
                <w:i w:val="0"/>
                <w:sz w:val="18"/>
              </w:rPr>
              <w:t>Gerald Pollack</w:t>
            </w:r>
          </w:p>
        </w:tc>
        <w:tc>
          <w:tcPr>
            <w:tcW w:type="dxa" w:w="3493"/>
          </w:tcPr>
          <w:p>
            <w:pPr>
              <w:spacing w:before="20" w:after="20"/>
            </w:pPr>
            <w:r>
              <w:rPr>
                <w:b w:val="0"/>
                <w:i/>
                <w:sz w:val="18"/>
              </w:rPr>
              <w:t>The Fourth Phase of Water</w:t>
            </w:r>
            <w:r>
              <w:rPr>
                <w:b w:val="0"/>
                <w:i w:val="0"/>
                <w:sz w:val="18"/>
              </w:rPr>
              <w:t xml:space="preserve"> (2013); EZ water</w:t>
            </w:r>
          </w:p>
        </w:tc>
        <w:tc>
          <w:tcPr>
            <w:tcW w:type="dxa" w:w="1874"/>
          </w:tcPr>
          <w:p>
            <w:pPr>
              <w:spacing w:before="20" w:after="20"/>
            </w:pPr>
            <w:r>
              <w:rPr>
                <w:b w:val="0"/>
                <w:i w:val="0"/>
                <w:sz w:val="18"/>
              </w:rPr>
              <w:t>Endowed chair; treated as fringe</w:t>
            </w:r>
          </w:p>
        </w:tc>
      </w:tr>
    </w:tbl>
    <w:p/>
    <w:p>
      <w:pPr>
        <w:pBdr>
          <w:bottom w:val="single" w:sz="6" w:space="1" w:color="CCCCCC"/>
        </w:pBdr>
      </w:pPr>
    </w:p>
    <w:p>
      <w:pPr>
        <w:pStyle w:val="Heading3"/>
      </w:pPr>
      <w:r>
        <w:t>Timeline Relevance: The Flexner Suppression</w:t>
      </w:r>
    </w:p>
    <w:p>
      <w:r>
        <w:rPr>
          <w:b w:val="0"/>
          <w:i w:val="0"/>
        </w:rPr>
        <w:t xml:space="preserve">Tennant's most timeline-relevant claim concerns the </w:t>
      </w:r>
      <w:r>
        <w:rPr>
          <w:b/>
          <w:i w:val="0"/>
        </w:rPr>
        <w:t>Flexner Report (1910)</w:t>
      </w:r>
      <w:r>
        <w:rPr>
          <w:b w:val="0"/>
          <w:i w:val="0"/>
        </w:rPr>
        <w:t xml:space="preserve">. In his lecture </w:t>
      </w:r>
      <w:r>
        <w:rPr>
          <w:b w:val="0"/>
          <w:i/>
        </w:rPr>
        <w:t>Recharge Your Battery and Heal</w:t>
      </w:r>
      <w:r>
        <w:rPr>
          <w:b w:val="0"/>
          <w:i w:val="0"/>
        </w:rPr>
        <w:t>, he states:</w:t>
      </w:r>
    </w:p>
    <w:p>
      <w:pPr>
        <w:pStyle w:val="Quote"/>
      </w:pPr>
      <w:r>
        <w:rPr>
          <w:b w:val="0"/>
          <w:i w:val="0"/>
          <w:sz w:val="19"/>
        </w:rPr>
        <w:t xml:space="preserve">Around 1910, Andrew Carnegie and John D. Rockefeller became major investors in the pharmaceutical industry. The Flexner Report was written and taken to Congress. Congress </w:t>
      </w:r>
      <w:r>
        <w:rPr>
          <w:b/>
          <w:i w:val="0"/>
          <w:sz w:val="19"/>
        </w:rPr>
        <w:t>forbade the use of any federal money for anyone who said there was energy in the body</w:t>
      </w:r>
      <w:r>
        <w:rPr>
          <w:b w:val="0"/>
          <w:i w:val="0"/>
          <w:sz w:val="19"/>
        </w:rPr>
        <w:t xml:space="preserve">. That closed the 13 homeopathic medical schools. Any physician using an electronic device to treat patients </w:t>
      </w:r>
      <w:r>
        <w:rPr>
          <w:b/>
          <w:i w:val="0"/>
          <w:sz w:val="19"/>
        </w:rPr>
        <w:t>got put in jail</w:t>
      </w:r>
      <w:r>
        <w:rPr>
          <w:b w:val="0"/>
          <w:i w:val="0"/>
          <w:sz w:val="19"/>
        </w:rPr>
        <w:t>. That set up pretty much of a chilling effect and that's how our country stopped looking at energy in the body.</w:t>
      </w:r>
    </w:p>
    <w:p>
      <w:r>
        <w:rPr>
          <w:b w:val="0"/>
          <w:i w:val="0"/>
        </w:rPr>
        <w:t xml:space="preserve">This claim connects directly to the </w:t>
      </w:r>
      <w:hyperlink r:id="rId139">
        <w:r>
          <w:rPr>
            <w:b w:val="0"/>
            <w:i w:val="0"/>
            <w:color w:val="B8860B"/>
          </w:rPr>
          <w:t>suppression of Maxwell and the aether</w:t>
        </w:r>
      </w:hyperlink>
      <w:r>
        <w:rPr>
          <w:b w:val="0"/>
          <w:i w:val="0"/>
        </w:rPr>
        <w:t xml:space="preserve">. The same institutional forces that erased the aether from physics also erased bioelectric medicine from healthcare. See the </w:t>
      </w:r>
      <w:hyperlink r:id="rId140">
        <w:r>
          <w:rPr>
            <w:b w:val="0"/>
            <w:i w:val="0"/>
            <w:color w:val="B8860B"/>
          </w:rPr>
          <w:t>companion article</w:t>
        </w:r>
      </w:hyperlink>
      <w:r>
        <w:rPr>
          <w:b w:val="0"/>
          <w:i w:val="0"/>
        </w:rPr>
        <w:t xml:space="preserve"> for the full analysis.</w:t>
      </w:r>
    </w:p>
    <w:p>
      <w:pPr>
        <w:pBdr>
          <w:bottom w:val="single" w:sz="6" w:space="1" w:color="CCCCCC"/>
        </w:pBdr>
      </w:pPr>
    </w:p>
    <w:p>
      <w:pPr>
        <w:pStyle w:val="Heading3"/>
      </w:pPr>
      <w:r>
        <w:t>See Also</w:t>
      </w:r>
    </w:p>
    <w:p>
      <w:pPr>
        <w:pStyle w:val="ListBullet"/>
        <w:spacing w:before="20" w:after="20"/>
      </w:pPr>
      <w:hyperlink r:id="rId140">
        <w:r>
          <w:rPr>
            <w:b w:val="0"/>
            <w:i w:val="0"/>
            <w:color w:val="B8860B"/>
            <w:sz w:val="19"/>
          </w:rPr>
          <w:t>The Flexner Report and the Suppression of Bioelectric Medicine</w:t>
        </w:r>
      </w:hyperlink>
      <w:r>
        <w:rPr>
          <w:b w:val="0"/>
          <w:i w:val="0"/>
          <w:sz w:val="19"/>
        </w:rPr>
        <w:t xml:space="preserve"> — main timeline article</w:t>
      </w:r>
    </w:p>
    <w:p>
      <w:pPr>
        <w:pStyle w:val="ListBullet"/>
        <w:spacing w:before="20" w:after="20"/>
      </w:pPr>
      <w:hyperlink r:id="rId139">
        <w:r>
          <w:rPr>
            <w:b w:val="0"/>
            <w:i w:val="0"/>
            <w:color w:val="B8860B"/>
            <w:sz w:val="19"/>
          </w:rPr>
          <w:t>The Suppression of Maxwell and the Aether</w:t>
        </w:r>
      </w:hyperlink>
      <w:r>
        <w:rPr>
          <w:b w:val="0"/>
          <w:i w:val="0"/>
          <w:sz w:val="19"/>
        </w:rPr>
        <w:t xml:space="preserve"> — parent article</w:t>
      </w:r>
    </w:p>
    <w:p>
      <w:pPr>
        <w:pStyle w:val="ListBullet"/>
        <w:spacing w:before="20" w:after="20"/>
      </w:pPr>
      <w:hyperlink r:id="rId20">
        <w:r>
          <w:rPr>
            <w:b w:val="0"/>
            <w:i w:val="0"/>
            <w:color w:val="B8860B"/>
            <w:sz w:val="19"/>
          </w:rPr>
          <w:t>Suppressed Energy Technology: A Cross-Reference</w:t>
        </w:r>
      </w:hyperlink>
      <w:r>
        <w:rPr>
          <w:b w:val="0"/>
          <w:i w:val="0"/>
          <w:sz w:val="19"/>
        </w:rPr>
        <w:t xml:space="preserve"> — appendix mapping all suppressed energy threads</w:t>
      </w:r>
    </w:p>
    <w:p/>
    <w:p>
      <w:pPr>
        <w:sectPr>
          <w:headerReference w:type="default" r:id="rId102"/>
          <w:footerReference w:type="default" r:id="rId103"/>
          <w:pgSz w:w="8640" w:h="12960"/>
          <w:pgMar w:top="1020" w:right="1134" w:bottom="1134" w:left="1134" w:header="720" w:footer="720" w:gutter="0"/>
          <w:cols w:space="720"/>
          <w:titlePg/>
          <w:docGrid w:linePitch="360"/>
        </w:sectPr>
      </w:pPr>
    </w:p>
    <w:p>
      <w:pPr>
        <w:pStyle w:val="Heading2"/>
      </w:pPr>
      <w:r>
        <w:rPr>
          <w:b/>
        </w:rPr>
        <w:t>Chapter 8: Suppressed Energy Technology: A Cross-Reference</w:t>
      </w:r>
    </w:p>
    <w:p>
      <w:r>
        <w:rPr>
          <w:b w:val="0"/>
          <w:i w:val="0"/>
        </w:rPr>
        <w:t xml:space="preserve">This appendix maps the connections between suppressed energy technologies documented throughout the timeline. The thesis is straightforward: </w:t>
      </w:r>
      <w:r>
        <w:rPr>
          <w:b/>
          <w:i w:val="0"/>
        </w:rPr>
        <w:t>the same aether physics underlies all of them</w:t>
      </w:r>
      <w:r>
        <w:rPr>
          <w:b w:val="0"/>
          <w:i w:val="0"/>
        </w:rPr>
        <w:t>, and the suppression is coordinated because any one breakthrough would expose the others. This article also holds Maxwell-specific evidence moved from the main article.</w:t>
      </w:r>
    </w:p>
    <w:p>
      <w:pPr>
        <w:pBdr>
          <w:bottom w:val="single" w:sz="6" w:space="1" w:color="CCCCCC"/>
        </w:pBdr>
      </w:pPr>
    </w:p>
    <w:p>
      <w:pPr>
        <w:pStyle w:val="Heading2"/>
      </w:pPr>
      <w:r>
        <w:t>Maxwell: Period Table and Dollard</w:t>
      </w:r>
    </w:p>
    <w:p>
      <w:r>
        <w:rPr>
          <w:b w:val="0"/>
          <w:i w:val="0"/>
        </w:rPr>
        <w:t>Eric P. Dollard — one of the few researchers to have replicated Tesla's longitudinal wave experiments:</w:t>
      </w:r>
    </w:p>
    <w:p>
      <w:pPr>
        <w:pStyle w:val="Quote"/>
      </w:pPr>
      <w:r>
        <w:rPr>
          <w:b w:val="0"/>
          <w:i/>
          <w:sz w:val="19"/>
        </w:rPr>
        <w:t>"With the introduction of the so-called 'electron' by Thomson and the supposed debunking of the Ether theory, the golden age of electrical discovery ended. Tesla's Wardenclyffe tower was demolished. His work and that of other Ether researchers fell into disrepute."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27"/>
        <w:gridCol w:w="982"/>
        <w:gridCol w:w="4563"/>
      </w:tblGrid>
      <w:tr>
        <w:tc>
          <w:tcPr>
            <w:tcW w:type="dxa" w:w="827"/>
            <w:shd w:val="clear" w:color="auto" w:fill="F0F0F0"/>
          </w:tcPr>
          <w:p>
            <w:pPr>
              <w:spacing w:before="20" w:after="20"/>
              <w:jc w:val="center"/>
            </w:pPr>
            <w:r>
              <w:rPr>
                <w:rFonts w:ascii="Libre Franklin" w:hAnsi="Libre Franklin"/>
                <w:b/>
                <w:sz w:val="18"/>
              </w:rPr>
              <w:t>Period</w:t>
            </w:r>
          </w:p>
        </w:tc>
        <w:tc>
          <w:tcPr>
            <w:tcW w:type="dxa" w:w="982"/>
            <w:shd w:val="clear" w:color="auto" w:fill="F0F0F0"/>
          </w:tcPr>
          <w:p>
            <w:pPr>
              <w:spacing w:before="20" w:after="20"/>
              <w:jc w:val="center"/>
            </w:pPr>
            <w:r>
              <w:rPr>
                <w:rFonts w:ascii="Libre Franklin" w:hAnsi="Libre Franklin"/>
                <w:b/>
                <w:sz w:val="18"/>
              </w:rPr>
              <w:t>Framework</w:t>
            </w:r>
          </w:p>
        </w:tc>
        <w:tc>
          <w:tcPr>
            <w:tcW w:type="dxa" w:w="4563"/>
            <w:shd w:val="clear" w:color="auto" w:fill="F0F0F0"/>
          </w:tcPr>
          <w:p>
            <w:pPr>
              <w:spacing w:before="20" w:after="20"/>
              <w:jc w:val="center"/>
            </w:pPr>
            <w:r>
              <w:rPr>
                <w:rFonts w:ascii="Libre Franklin" w:hAnsi="Libre Franklin"/>
                <w:b/>
                <w:sz w:val="18"/>
              </w:rPr>
              <w:t>What Was Created</w:t>
            </w:r>
          </w:p>
        </w:tc>
      </w:tr>
      <w:tr>
        <w:tc>
          <w:tcPr>
            <w:tcW w:type="dxa" w:w="827"/>
          </w:tcPr>
          <w:p>
            <w:pPr>
              <w:spacing w:before="20" w:after="20"/>
            </w:pPr>
            <w:r>
              <w:rPr>
                <w:b w:val="0"/>
                <w:i w:val="0"/>
                <w:sz w:val="18"/>
              </w:rPr>
              <w:t>1830–1930</w:t>
            </w:r>
          </w:p>
        </w:tc>
        <w:tc>
          <w:tcPr>
            <w:tcW w:type="dxa" w:w="982"/>
          </w:tcPr>
          <w:p>
            <w:pPr>
              <w:spacing w:before="20" w:after="20"/>
            </w:pPr>
            <w:r>
              <w:rPr>
                <w:b w:val="0"/>
                <w:i w:val="0"/>
                <w:sz w:val="18"/>
              </w:rPr>
              <w:t>Aether-based physics</w:t>
            </w:r>
          </w:p>
        </w:tc>
        <w:tc>
          <w:tcPr>
            <w:tcW w:type="dxa" w:w="4563"/>
          </w:tcPr>
          <w:p>
            <w:pPr>
              <w:spacing w:before="20" w:after="20"/>
            </w:pPr>
            <w:r>
              <w:rPr>
                <w:b w:val="0"/>
                <w:i w:val="0"/>
                <w:sz w:val="18"/>
              </w:rPr>
              <w:t>Electric motor, generator, transformer, AC power grid, radio, wireless power, fluorescent lighting, X-rays, radar</w:t>
            </w:r>
          </w:p>
        </w:tc>
      </w:tr>
      <w:tr>
        <w:tc>
          <w:tcPr>
            <w:tcW w:type="dxa" w:w="827"/>
          </w:tcPr>
          <w:p>
            <w:pPr>
              <w:spacing w:before="20" w:after="20"/>
            </w:pPr>
            <w:r>
              <w:rPr>
                <w:b w:val="0"/>
                <w:i w:val="0"/>
                <w:sz w:val="18"/>
              </w:rPr>
              <w:t>1930–present</w:t>
            </w:r>
          </w:p>
        </w:tc>
        <w:tc>
          <w:tcPr>
            <w:tcW w:type="dxa" w:w="982"/>
          </w:tcPr>
          <w:p>
            <w:pPr>
              <w:spacing w:before="20" w:after="20"/>
            </w:pPr>
            <w:r>
              <w:rPr>
                <w:b w:val="0"/>
                <w:i w:val="0"/>
                <w:sz w:val="18"/>
              </w:rPr>
              <w:t>Post-aether physics</w:t>
            </w:r>
          </w:p>
        </w:tc>
        <w:tc>
          <w:tcPr>
            <w:tcW w:type="dxa" w:w="4563"/>
          </w:tcPr>
          <w:p>
            <w:pPr>
              <w:spacing w:before="20" w:after="20"/>
            </w:pPr>
            <w:r>
              <w:rPr>
                <w:b w:val="0"/>
                <w:i w:val="0"/>
                <w:sz w:val="18"/>
              </w:rPr>
              <w:t>Refinements and miniaturizations; particle accelerators; no fundamentally new energy paradigms</w:t>
            </w:r>
          </w:p>
        </w:tc>
      </w:tr>
    </w:tbl>
    <w:p/>
    <w:p>
      <w:pPr>
        <w:pStyle w:val="Heading3"/>
      </w:pPr>
      <w:r>
        <w:t>Maxwell Sources &amp; Open Questions</w:t>
      </w:r>
    </w:p>
    <w:p>
      <w:pPr>
        <w:pStyle w:val="ListBullet"/>
        <w:spacing w:before="20" w:after="20"/>
      </w:pPr>
      <w:r>
        <w:rPr>
          <w:b w:val="0"/>
          <w:i w:val="0"/>
          <w:sz w:val="19"/>
        </w:rPr>
        <w:t xml:space="preserve">Maxwell, J.C. — </w:t>
      </w:r>
      <w:r>
        <w:rPr>
          <w:b w:val="0"/>
          <w:i/>
          <w:sz w:val="19"/>
        </w:rPr>
        <w:t>Treatise on Electricity and Magnetism</w:t>
      </w:r>
      <w:r>
        <w:rPr>
          <w:b w:val="0"/>
          <w:i w:val="0"/>
          <w:sz w:val="19"/>
        </w:rPr>
        <w:t xml:space="preserve"> (1873)</w:t>
      </w:r>
    </w:p>
    <w:p>
      <w:pPr>
        <w:pStyle w:val="ListBullet"/>
        <w:spacing w:before="20" w:after="20"/>
      </w:pPr>
      <w:r>
        <w:rPr>
          <w:b w:val="0"/>
          <w:i w:val="0"/>
          <w:sz w:val="19"/>
        </w:rPr>
        <w:t xml:space="preserve">Wheeler, Ken Lee — </w:t>
      </w:r>
      <w:r>
        <w:rPr>
          <w:b w:val="0"/>
          <w:i/>
          <w:sz w:val="19"/>
        </w:rPr>
        <w:t>Uncovering the Missing Secrets of Magnetism</w:t>
      </w:r>
    </w:p>
    <w:p>
      <w:pPr>
        <w:pStyle w:val="ListBullet"/>
        <w:spacing w:before="20" w:after="20"/>
      </w:pPr>
      <w:r>
        <w:rPr>
          <w:b w:val="0"/>
          <w:i w:val="0"/>
          <w:sz w:val="19"/>
        </w:rPr>
        <w:t xml:space="preserve">Dollard, Eric P.; Steinmetz, Tesla, Einstein (early paper); Newton, Letters to Bentley; Laughlin (Nobel): </w:t>
      </w:r>
      <w:r>
        <w:rPr>
          <w:b w:val="0"/>
          <w:i/>
          <w:sz w:val="19"/>
        </w:rPr>
        <w:t>"The word Ether has extremely negative connotations... it nicely captures the way most physicists actually think about the vacuum."</w:t>
      </w:r>
    </w:p>
    <w:p>
      <w:r>
        <w:rPr>
          <w:b w:val="0"/>
          <w:i w:val="0"/>
        </w:rPr>
      </w:r>
      <w:r>
        <w:rPr>
          <w:b/>
          <w:i w:val="0"/>
        </w:rPr>
        <w:t>Open Questions:</w:t>
      </w:r>
      <w:r>
        <w:rPr>
          <w:b w:val="0"/>
          <w:i w:val="0"/>
        </w:rPr>
        <w:t xml:space="preserve"> What was lost in the Heaviside reduction? Can Dollard's experiments be replicated? Dayton Miller's 1920s interferometry? Sagnac experiment (1913)? Ferrocell RGB magneto-dielectric dispersion (Wheeler 2014)?</w:t>
      </w:r>
    </w:p>
    <w:p>
      <w:pPr>
        <w:pBdr>
          <w:bottom w:val="single" w:sz="6" w:space="1" w:color="CCCCCC"/>
        </w:pBdr>
      </w:pPr>
    </w:p>
    <w:p>
      <w:pPr>
        <w:pStyle w:val="Heading2"/>
      </w:pPr>
      <w:r>
        <w:t>The Core Thesis: One Physics, Many Applications</w:t>
      </w:r>
    </w:p>
    <w:p>
      <w:r>
        <w:rPr>
          <w:b w:val="0"/>
          <w:i w:val="0"/>
        </w:rPr>
        <w:t xml:space="preserve">In 1865, Maxwell published equations describing electromagnetic waves propagating through a physical medium — the aether. The speed of light derives from two </w:t>
      </w:r>
      <w:r>
        <w:rPr>
          <w:b/>
          <w:i w:val="0"/>
        </w:rPr>
        <w:t>measured properties of the vacuum</w:t>
      </w:r>
      <w:r>
        <w:rPr>
          <w:b w:val="0"/>
          <w:i w:val="0"/>
        </w:rPr>
        <w:t xml:space="preserve">: (c = 1/\sqrt{\mu_0\varepsilon_0}) — permittivity and permeability. Properties of </w:t>
      </w:r>
      <w:r>
        <w:rPr>
          <w:b w:val="0"/>
          <w:i/>
        </w:rPr>
        <w:t>what?</w:t>
      </w:r>
      <w:r>
        <w:rPr>
          <w:b w:val="0"/>
          <w:i w:val="0"/>
        </w:rPr>
        <w:t xml:space="preserve"> Nothingness cannot have measurable characteristics. Same logic as speed of sound in air: the medium determines velocity. His original </w:t>
      </w:r>
      <w:r>
        <w:rPr>
          <w:b/>
          <w:i w:val="0"/>
        </w:rPr>
        <w:t>20 quaternion equations</w:t>
      </w:r>
      <w:r>
        <w:rPr>
          <w:b w:val="0"/>
          <w:i w:val="0"/>
        </w:rPr>
        <w:t xml:space="preserve"> included longitudinal waves, gravitational-EM coupling, medium stress tensor. </w:t>
      </w:r>
      <w:r>
        <w:rPr>
          <w:b/>
          <w:i w:val="0"/>
        </w:rPr>
        <w:t>Heaviside</w:t>
      </w:r>
      <w:r>
        <w:rPr>
          <w:b w:val="0"/>
          <w:i w:val="0"/>
        </w:rPr>
        <w:t xml:space="preserve"> stripped these to 4 vector equations; the remainder was declared aether-free. </w:t>
      </w:r>
      <w:r>
        <w:rPr>
          <w:b/>
          <w:i w:val="0"/>
        </w:rPr>
        <w:t>Tesla, Steinmetz, Heaviside, Einstein</w:t>
      </w:r>
      <w:r>
        <w:rPr>
          <w:b w:val="0"/>
          <w:i w:val="0"/>
        </w:rPr>
        <w:t xml:space="preserve"> all affirmed the aether; "it doesn't exist" came from the generation that classified. Every technology below exploits the same medium. </w:t>
      </w:r>
      <w:r>
        <w:rPr>
          <w:b/>
          <w:i w:val="0"/>
        </w:rPr>
        <w:t>Author's thesis:</w:t>
      </w:r>
      <w:r>
        <w:rPr>
          <w:b w:val="0"/>
          <w:i w:val="0"/>
        </w:rPr>
        <w:t xml:space="preserve"> The suppression of the aether is the master key — not conspiracy but engineering.</w:t>
      </w:r>
    </w:p>
    <w:p>
      <w:pPr>
        <w:pBdr>
          <w:bottom w:val="single" w:sz="6" w:space="1" w:color="CCCCCC"/>
        </w:pBdr>
      </w:pPr>
    </w:p>
    <w:p>
      <w:pPr>
        <w:pStyle w:val="Heading2"/>
      </w:pPr>
      <w:r>
        <w:t>The Suppression Stack</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46"/>
        <w:gridCol w:w="1652"/>
        <w:gridCol w:w="1789"/>
        <w:gridCol w:w="1138"/>
        <w:gridCol w:w="947"/>
      </w:tblGrid>
      <w:tr>
        <w:tc>
          <w:tcPr>
            <w:tcW w:type="dxa" w:w="846"/>
            <w:shd w:val="clear" w:color="auto" w:fill="F0F0F0"/>
          </w:tcPr>
          <w:p>
            <w:pPr>
              <w:spacing w:before="20" w:after="20"/>
              <w:jc w:val="center"/>
            </w:pPr>
            <w:r>
              <w:rPr>
                <w:rFonts w:ascii="Libre Franklin" w:hAnsi="Libre Franklin"/>
                <w:b/>
                <w:sz w:val="18"/>
              </w:rPr>
              <w:t>Domain</w:t>
            </w:r>
          </w:p>
        </w:tc>
        <w:tc>
          <w:tcPr>
            <w:tcW w:type="dxa" w:w="1652"/>
            <w:shd w:val="clear" w:color="auto" w:fill="F0F0F0"/>
          </w:tcPr>
          <w:p>
            <w:pPr>
              <w:spacing w:before="20" w:after="20"/>
              <w:jc w:val="center"/>
            </w:pPr>
            <w:r>
              <w:rPr>
                <w:rFonts w:ascii="Libre Franklin" w:hAnsi="Libre Franklin"/>
                <w:b/>
                <w:sz w:val="18"/>
              </w:rPr>
              <w:t>What It Actually Is</w:t>
            </w:r>
          </w:p>
        </w:tc>
        <w:tc>
          <w:tcPr>
            <w:tcW w:type="dxa" w:w="1789"/>
            <w:shd w:val="clear" w:color="auto" w:fill="F0F0F0"/>
          </w:tcPr>
          <w:p>
            <w:pPr>
              <w:spacing w:before="20" w:after="20"/>
              <w:jc w:val="center"/>
            </w:pPr>
            <w:r>
              <w:rPr>
                <w:rFonts w:ascii="Libre Franklin" w:hAnsi="Libre Franklin"/>
                <w:b/>
                <w:sz w:val="18"/>
              </w:rPr>
              <w:t>Aether Mechanism</w:t>
            </w:r>
          </w:p>
        </w:tc>
        <w:tc>
          <w:tcPr>
            <w:tcW w:type="dxa" w:w="1138"/>
            <w:shd w:val="clear" w:color="auto" w:fill="F0F0F0"/>
          </w:tcPr>
          <w:p>
            <w:pPr>
              <w:spacing w:before="20" w:after="20"/>
              <w:jc w:val="center"/>
            </w:pPr>
            <w:r>
              <w:rPr>
                <w:rFonts w:ascii="Libre Franklin" w:hAnsi="Libre Franklin"/>
                <w:b/>
                <w:sz w:val="18"/>
              </w:rPr>
              <w:t>Official Cover Story</w:t>
            </w:r>
          </w:p>
        </w:tc>
        <w:tc>
          <w:tcPr>
            <w:tcW w:type="dxa" w:w="947"/>
            <w:shd w:val="clear" w:color="auto" w:fill="F0F0F0"/>
          </w:tcPr>
          <w:p>
            <w:pPr>
              <w:spacing w:before="20" w:after="20"/>
              <w:jc w:val="center"/>
            </w:pPr>
            <w:r>
              <w:rPr>
                <w:rFonts w:ascii="Libre Franklin" w:hAnsi="Libre Franklin"/>
                <w:b/>
                <w:sz w:val="18"/>
              </w:rPr>
              <w:t>Timeline Article</w:t>
            </w:r>
          </w:p>
        </w:tc>
      </w:tr>
      <w:tr>
        <w:tc>
          <w:tcPr>
            <w:tcW w:type="dxa" w:w="846"/>
          </w:tcPr>
          <w:p>
            <w:pPr>
              <w:spacing w:before="20" w:after="20"/>
            </w:pPr>
            <w:r>
              <w:rPr>
                <w:b w:val="0"/>
                <w:i w:val="0"/>
                <w:sz w:val="18"/>
              </w:rPr>
            </w:r>
            <w:r>
              <w:rPr>
                <w:b/>
                <w:i w:val="0"/>
                <w:sz w:val="18"/>
              </w:rPr>
              <w:t>Energy transmission</w:t>
            </w:r>
            <w:r>
              <w:rPr>
                <w:b w:val="0"/>
                <w:i w:val="0"/>
                <w:sz w:val="18"/>
              </w:rPr>
            </w:r>
          </w:p>
        </w:tc>
        <w:tc>
          <w:tcPr>
            <w:tcW w:type="dxa" w:w="1652"/>
          </w:tcPr>
          <w:p>
            <w:pPr>
              <w:spacing w:before="20" w:after="20"/>
            </w:pPr>
            <w:r>
              <w:rPr>
                <w:b w:val="0"/>
                <w:i w:val="0"/>
                <w:sz w:val="18"/>
              </w:rPr>
              <w:t>Wireless power at any distance</w:t>
            </w:r>
          </w:p>
        </w:tc>
        <w:tc>
          <w:tcPr>
            <w:tcW w:type="dxa" w:w="1789"/>
          </w:tcPr>
          <w:p>
            <w:pPr>
              <w:spacing w:before="20" w:after="20"/>
            </w:pPr>
            <w:r>
              <w:rPr>
                <w:b w:val="0"/>
                <w:i w:val="0"/>
                <w:sz w:val="18"/>
              </w:rPr>
              <w:t>Longitudinal wave propagation through medium</w:t>
            </w:r>
          </w:p>
        </w:tc>
        <w:tc>
          <w:tcPr>
            <w:tcW w:type="dxa" w:w="1138"/>
          </w:tcPr>
          <w:p>
            <w:pPr>
              <w:spacing w:before="20" w:after="20"/>
            </w:pPr>
            <w:r>
              <w:rPr>
                <w:b w:val="0"/>
                <w:i w:val="0"/>
                <w:sz w:val="18"/>
              </w:rPr>
              <w:t>"Tesla was a dreamer"</w:t>
            </w:r>
          </w:p>
        </w:tc>
        <w:tc>
          <w:tcPr>
            <w:tcW w:type="dxa" w:w="947"/>
          </w:tcPr>
          <w:p>
            <w:pPr>
              <w:spacing w:before="20" w:after="20"/>
            </w:pPr>
            <w:hyperlink r:id="rId139">
              <w:r>
                <w:rPr>
                  <w:b w:val="0"/>
                  <w:i w:val="0"/>
                  <w:color w:val="B8860B"/>
                  <w:sz w:val="18"/>
                </w:rPr>
                <w:t>Maxwell &amp; the Aether</w:t>
              </w:r>
            </w:hyperlink>
          </w:p>
        </w:tc>
      </w:tr>
      <w:tr>
        <w:tc>
          <w:tcPr>
            <w:tcW w:type="dxa" w:w="846"/>
          </w:tcPr>
          <w:p>
            <w:pPr>
              <w:spacing w:before="20" w:after="20"/>
            </w:pPr>
            <w:r>
              <w:rPr>
                <w:b w:val="0"/>
                <w:i w:val="0"/>
                <w:sz w:val="18"/>
              </w:rPr>
            </w:r>
            <w:r>
              <w:rPr>
                <w:b/>
                <w:i w:val="0"/>
                <w:sz w:val="18"/>
              </w:rPr>
              <w:t>Weather control</w:t>
            </w:r>
            <w:r>
              <w:rPr>
                <w:b w:val="0"/>
                <w:i w:val="0"/>
                <w:sz w:val="18"/>
              </w:rPr>
            </w:r>
          </w:p>
        </w:tc>
        <w:tc>
          <w:tcPr>
            <w:tcW w:type="dxa" w:w="1652"/>
          </w:tcPr>
          <w:p>
            <w:pPr>
              <w:spacing w:before="20" w:after="20"/>
            </w:pPr>
            <w:r>
              <w:rPr>
                <w:b w:val="0"/>
                <w:i w:val="0"/>
                <w:sz w:val="18"/>
              </w:rPr>
              <w:t>Tunable resonant cavity (ionosphere–ground)</w:t>
            </w:r>
          </w:p>
        </w:tc>
        <w:tc>
          <w:tcPr>
            <w:tcW w:type="dxa" w:w="1789"/>
          </w:tcPr>
          <w:p>
            <w:pPr>
              <w:spacing w:before="20" w:after="20"/>
            </w:pPr>
            <w:r>
              <w:rPr>
                <w:b w:val="0"/>
                <w:i w:val="0"/>
                <w:sz w:val="18"/>
              </w:rPr>
              <w:t>Ionospheric heating + particulate seeding modulates the medium</w:t>
            </w:r>
          </w:p>
        </w:tc>
        <w:tc>
          <w:tcPr>
            <w:tcW w:type="dxa" w:w="1138"/>
          </w:tcPr>
          <w:p>
            <w:pPr>
              <w:spacing w:before="20" w:after="20"/>
            </w:pPr>
            <w:r>
              <w:rPr>
                <w:b w:val="0"/>
                <w:i w:val="0"/>
                <w:sz w:val="18"/>
              </w:rPr>
              <w:t>"Cloud seeding sometimes works"</w:t>
            </w:r>
          </w:p>
        </w:tc>
        <w:tc>
          <w:tcPr>
            <w:tcW w:type="dxa" w:w="947"/>
          </w:tcPr>
          <w:p>
            <w:pPr>
              <w:spacing w:before="20" w:after="20"/>
            </w:pPr>
            <w:hyperlink r:id="rId143">
              <w:r>
                <w:rPr>
                  <w:b w:val="0"/>
                  <w:i w:val="0"/>
                  <w:color w:val="B8860B"/>
                  <w:sz w:val="18"/>
                </w:rPr>
                <w:t>Weather Control</w:t>
              </w:r>
            </w:hyperlink>
          </w:p>
        </w:tc>
      </w:tr>
      <w:tr>
        <w:tc>
          <w:tcPr>
            <w:tcW w:type="dxa" w:w="846"/>
          </w:tcPr>
          <w:p>
            <w:pPr>
              <w:spacing w:before="20" w:after="20"/>
            </w:pPr>
            <w:r>
              <w:rPr>
                <w:b w:val="0"/>
                <w:i w:val="0"/>
                <w:sz w:val="18"/>
              </w:rPr>
            </w:r>
            <w:r>
              <w:rPr>
                <w:b/>
                <w:i w:val="0"/>
                <w:sz w:val="18"/>
              </w:rPr>
              <w:t>Directed-energy weapons</w:t>
            </w:r>
            <w:r>
              <w:rPr>
                <w:b w:val="0"/>
                <w:i w:val="0"/>
                <w:sz w:val="18"/>
              </w:rPr>
            </w:r>
          </w:p>
        </w:tc>
        <w:tc>
          <w:tcPr>
            <w:tcW w:type="dxa" w:w="1652"/>
          </w:tcPr>
          <w:p>
            <w:pPr>
              <w:spacing w:before="20" w:after="20"/>
            </w:pPr>
            <w:r>
              <w:rPr>
                <w:b w:val="0"/>
                <w:i w:val="0"/>
                <w:sz w:val="18"/>
              </w:rPr>
              <w:t>Focused EM/microwave targeting of biological systems</w:t>
            </w:r>
          </w:p>
        </w:tc>
        <w:tc>
          <w:tcPr>
            <w:tcW w:type="dxa" w:w="1789"/>
          </w:tcPr>
          <w:p>
            <w:pPr>
              <w:spacing w:before="20" w:after="20"/>
            </w:pPr>
            <w:r>
              <w:rPr>
                <w:b w:val="0"/>
                <w:i w:val="0"/>
                <w:sz w:val="18"/>
              </w:rPr>
              <w:t>Coherent field propagation through medium</w:t>
            </w:r>
          </w:p>
        </w:tc>
        <w:tc>
          <w:tcPr>
            <w:tcW w:type="dxa" w:w="1138"/>
          </w:tcPr>
          <w:p>
            <w:pPr>
              <w:spacing w:before="20" w:after="20"/>
            </w:pPr>
            <w:r>
              <w:rPr>
                <w:b w:val="0"/>
                <w:i w:val="0"/>
                <w:sz w:val="18"/>
              </w:rPr>
              <w:t>"Havana Syndrome is mass hysteria"</w:t>
            </w:r>
          </w:p>
        </w:tc>
        <w:tc>
          <w:tcPr>
            <w:tcW w:type="dxa" w:w="947"/>
          </w:tcPr>
          <w:p>
            <w:pPr>
              <w:spacing w:before="20" w:after="20"/>
            </w:pPr>
            <w:hyperlink r:id="rId143">
              <w:r>
                <w:rPr>
                  <w:b w:val="0"/>
                  <w:i w:val="0"/>
                  <w:color w:val="B8860B"/>
                  <w:sz w:val="18"/>
                </w:rPr>
                <w:t>Weather Control § Same Physics</w:t>
              </w:r>
            </w:hyperlink>
          </w:p>
        </w:tc>
      </w:tr>
      <w:tr>
        <w:tc>
          <w:tcPr>
            <w:tcW w:type="dxa" w:w="846"/>
          </w:tcPr>
          <w:p>
            <w:pPr>
              <w:spacing w:before="20" w:after="20"/>
            </w:pPr>
            <w:r>
              <w:rPr>
                <w:b w:val="0"/>
                <w:i w:val="0"/>
                <w:sz w:val="18"/>
              </w:rPr>
            </w:r>
            <w:r>
              <w:rPr>
                <w:b/>
                <w:i w:val="0"/>
                <w:sz w:val="18"/>
              </w:rPr>
              <w:t>Portal technology</w:t>
            </w:r>
            <w:r>
              <w:rPr>
                <w:b w:val="0"/>
                <w:i w:val="0"/>
                <w:sz w:val="18"/>
              </w:rPr>
            </w:r>
          </w:p>
        </w:tc>
        <w:tc>
          <w:tcPr>
            <w:tcW w:type="dxa" w:w="1652"/>
          </w:tcPr>
          <w:p>
            <w:pPr>
              <w:spacing w:before="20" w:after="20"/>
            </w:pPr>
            <w:r>
              <w:rPr>
                <w:b w:val="0"/>
                <w:i w:val="0"/>
                <w:sz w:val="18"/>
              </w:rPr>
              <w:t>Localized aether distortion</w:t>
            </w:r>
          </w:p>
        </w:tc>
        <w:tc>
          <w:tcPr>
            <w:tcW w:type="dxa" w:w="1789"/>
          </w:tcPr>
          <w:p>
            <w:pPr>
              <w:spacing w:before="20" w:after="20"/>
            </w:pPr>
            <w:r>
              <w:rPr>
                <w:b w:val="0"/>
                <w:i w:val="0"/>
                <w:sz w:val="18"/>
              </w:rPr>
              <w:t>Extreme energy in confined volume compresses/structures medium</w:t>
            </w:r>
          </w:p>
        </w:tc>
        <w:tc>
          <w:tcPr>
            <w:tcW w:type="dxa" w:w="1138"/>
          </w:tcPr>
          <w:p>
            <w:pPr>
              <w:spacing w:before="20" w:after="20"/>
            </w:pPr>
            <w:r>
              <w:rPr>
                <w:b w:val="0"/>
                <w:i w:val="0"/>
                <w:sz w:val="18"/>
              </w:rPr>
              <w:t>"CERN does particle physics"</w:t>
            </w:r>
          </w:p>
        </w:tc>
        <w:tc>
          <w:tcPr>
            <w:tcW w:type="dxa" w:w="947"/>
          </w:tcPr>
          <w:p>
            <w:pPr>
              <w:spacing w:before="20" w:after="20"/>
            </w:pPr>
            <w:hyperlink r:id="rId144">
              <w:r>
                <w:rPr>
                  <w:b w:val="0"/>
                  <w:i w:val="0"/>
                  <w:color w:val="B8860B"/>
                  <w:sz w:val="18"/>
                </w:rPr>
                <w:t>CERN's LHC &amp; the Portal</w:t>
              </w:r>
            </w:hyperlink>
          </w:p>
        </w:tc>
      </w:tr>
      <w:tr>
        <w:tc>
          <w:tcPr>
            <w:tcW w:type="dxa" w:w="846"/>
          </w:tcPr>
          <w:p>
            <w:pPr>
              <w:spacing w:before="20" w:after="20"/>
            </w:pPr>
            <w:r>
              <w:rPr>
                <w:b w:val="0"/>
                <w:i w:val="0"/>
                <w:sz w:val="18"/>
              </w:rPr>
            </w:r>
            <w:r>
              <w:rPr>
                <w:b/>
                <w:i w:val="0"/>
                <w:sz w:val="18"/>
              </w:rPr>
              <w:t>Over-unity energy</w:t>
            </w:r>
            <w:r>
              <w:rPr>
                <w:b w:val="0"/>
                <w:i w:val="0"/>
                <w:sz w:val="18"/>
              </w:rPr>
            </w:r>
          </w:p>
        </w:tc>
        <w:tc>
          <w:tcPr>
            <w:tcW w:type="dxa" w:w="1652"/>
          </w:tcPr>
          <w:p>
            <w:pPr>
              <w:spacing w:before="20" w:after="20"/>
            </w:pPr>
            <w:r>
              <w:rPr>
                <w:b w:val="0"/>
                <w:i w:val="0"/>
                <w:sz w:val="18"/>
              </w:rPr>
              <w:t>Plasma–aether interaction producing excess energy</w:t>
            </w:r>
          </w:p>
        </w:tc>
        <w:tc>
          <w:tcPr>
            <w:tcW w:type="dxa" w:w="1789"/>
          </w:tcPr>
          <w:p>
            <w:pPr>
              <w:spacing w:before="20" w:after="20"/>
            </w:pPr>
            <w:r>
              <w:rPr>
                <w:b w:val="0"/>
                <w:i w:val="0"/>
                <w:sz w:val="18"/>
              </w:rPr>
              <w:t>Aether medium coupled to plasma yields more output than input</w:t>
            </w:r>
          </w:p>
        </w:tc>
        <w:tc>
          <w:tcPr>
            <w:tcW w:type="dxa" w:w="1138"/>
          </w:tcPr>
          <w:p>
            <w:pPr>
              <w:spacing w:before="20" w:after="20"/>
            </w:pPr>
            <w:r>
              <w:rPr>
                <w:b w:val="0"/>
                <w:i w:val="0"/>
                <w:sz w:val="18"/>
              </w:rPr>
              <w:t>"Violates thermodynamics"</w:t>
            </w:r>
          </w:p>
        </w:tc>
        <w:tc>
          <w:tcPr>
            <w:tcW w:type="dxa" w:w="947"/>
          </w:tcPr>
          <w:p>
            <w:pPr>
              <w:spacing w:before="20" w:after="20"/>
            </w:pPr>
            <w:hyperlink r:id="rId145">
              <w:r>
                <w:rPr>
                  <w:b w:val="0"/>
                  <w:i w:val="0"/>
                  <w:color w:val="B8860B"/>
                  <w:sz w:val="18"/>
                </w:rPr>
                <w:t>Challenging Established Physics</w:t>
              </w:r>
            </w:hyperlink>
          </w:p>
        </w:tc>
      </w:tr>
      <w:tr>
        <w:tc>
          <w:tcPr>
            <w:tcW w:type="dxa" w:w="846"/>
          </w:tcPr>
          <w:p>
            <w:pPr>
              <w:spacing w:before="20" w:after="20"/>
            </w:pPr>
            <w:r>
              <w:rPr>
                <w:b w:val="0"/>
                <w:i w:val="0"/>
                <w:sz w:val="18"/>
              </w:rPr>
            </w:r>
            <w:r>
              <w:rPr>
                <w:b/>
                <w:i w:val="0"/>
                <w:sz w:val="18"/>
              </w:rPr>
              <w:t>Remote viewing</w:t>
            </w:r>
            <w:r>
              <w:rPr>
                <w:b w:val="0"/>
                <w:i w:val="0"/>
                <w:sz w:val="18"/>
              </w:rPr>
            </w:r>
          </w:p>
        </w:tc>
        <w:tc>
          <w:tcPr>
            <w:tcW w:type="dxa" w:w="1652"/>
          </w:tcPr>
          <w:p>
            <w:pPr>
              <w:spacing w:before="20" w:after="20"/>
            </w:pPr>
            <w:r>
              <w:rPr>
                <w:b w:val="0"/>
                <w:i w:val="0"/>
                <w:sz w:val="18"/>
              </w:rPr>
              <w:t>Action at a distance through medium</w:t>
            </w:r>
          </w:p>
        </w:tc>
        <w:tc>
          <w:tcPr>
            <w:tcW w:type="dxa" w:w="1789"/>
          </w:tcPr>
          <w:p>
            <w:pPr>
              <w:spacing w:before="20" w:after="20"/>
            </w:pPr>
            <w:r>
              <w:rPr>
                <w:b w:val="0"/>
                <w:i w:val="0"/>
                <w:sz w:val="18"/>
              </w:rPr>
              <w:t>Consciousness as aether-field phenomenon</w:t>
            </w:r>
          </w:p>
        </w:tc>
        <w:tc>
          <w:tcPr>
            <w:tcW w:type="dxa" w:w="1138"/>
          </w:tcPr>
          <w:p>
            <w:pPr>
              <w:spacing w:before="20" w:after="20"/>
            </w:pPr>
            <w:r>
              <w:rPr>
                <w:b w:val="0"/>
                <w:i w:val="0"/>
                <w:sz w:val="18"/>
              </w:rPr>
              <w:t>"Pseudoscience"</w:t>
            </w:r>
          </w:p>
        </w:tc>
        <w:tc>
          <w:tcPr>
            <w:tcW w:type="dxa" w:w="947"/>
          </w:tcPr>
          <w:p>
            <w:pPr>
              <w:spacing w:before="20" w:after="20"/>
            </w:pPr>
            <w:hyperlink r:id="rId93">
              <w:r>
                <w:rPr>
                  <w:b w:val="0"/>
                  <w:i w:val="0"/>
                  <w:color w:val="B8860B"/>
                  <w:sz w:val="18"/>
                </w:rPr>
                <w:t>Mars Contacts</w:t>
              </w:r>
            </w:hyperlink>
          </w:p>
        </w:tc>
      </w:tr>
      <w:tr>
        <w:tc>
          <w:tcPr>
            <w:tcW w:type="dxa" w:w="846"/>
          </w:tcPr>
          <w:p>
            <w:pPr>
              <w:spacing w:before="20" w:after="20"/>
            </w:pPr>
            <w:r>
              <w:rPr>
                <w:b w:val="0"/>
                <w:i w:val="0"/>
                <w:sz w:val="18"/>
              </w:rPr>
            </w:r>
            <w:r>
              <w:rPr>
                <w:b/>
                <w:i w:val="0"/>
                <w:sz w:val="18"/>
              </w:rPr>
              <w:t>Nuclear exaggeration</w:t>
            </w:r>
            <w:r>
              <w:rPr>
                <w:b w:val="0"/>
                <w:i w:val="0"/>
                <w:sz w:val="18"/>
              </w:rPr>
            </w:r>
          </w:p>
        </w:tc>
        <w:tc>
          <w:tcPr>
            <w:tcW w:type="dxa" w:w="1652"/>
          </w:tcPr>
          <w:p>
            <w:pPr>
              <w:spacing w:before="20" w:after="20"/>
            </w:pPr>
            <w:r>
              <w:rPr>
                <w:b w:val="0"/>
                <w:i w:val="0"/>
                <w:sz w:val="18"/>
              </w:rPr>
              <w:t>Real fission, systematically overstated effects</w:t>
            </w:r>
          </w:p>
        </w:tc>
        <w:tc>
          <w:tcPr>
            <w:tcW w:type="dxa" w:w="1789"/>
          </w:tcPr>
          <w:p>
            <w:pPr>
              <w:spacing w:before="20" w:after="20"/>
            </w:pPr>
            <w:r>
              <w:rPr>
                <w:b w:val="0"/>
                <w:i w:val="0"/>
                <w:sz w:val="18"/>
              </w:rPr>
              <w:t>—</w:t>
            </w:r>
          </w:p>
        </w:tc>
        <w:tc>
          <w:tcPr>
            <w:tcW w:type="dxa" w:w="1138"/>
          </w:tcPr>
          <w:p>
            <w:pPr>
              <w:spacing w:before="20" w:after="20"/>
            </w:pPr>
            <w:r>
              <w:rPr>
                <w:b w:val="0"/>
                <w:i w:val="0"/>
                <w:sz w:val="18"/>
              </w:rPr>
              <w:t>"Nuclear weapons end civilization"</w:t>
            </w:r>
          </w:p>
        </w:tc>
        <w:tc>
          <w:tcPr>
            <w:tcW w:type="dxa" w:w="947"/>
          </w:tcPr>
          <w:p>
            <w:pPr>
              <w:spacing w:before="20" w:after="20"/>
            </w:pPr>
            <w:hyperlink r:id="rId146">
              <w:r>
                <w:rPr>
                  <w:b w:val="0"/>
                  <w:i w:val="0"/>
                  <w:color w:val="B8860B"/>
                  <w:sz w:val="18"/>
                </w:rPr>
                <w:t>Nuclear Energy &amp; the Bomb</w:t>
              </w:r>
            </w:hyperlink>
          </w:p>
        </w:tc>
      </w:tr>
    </w:tbl>
    <w:p/>
    <w:p>
      <w:pPr>
        <w:pBdr>
          <w:bottom w:val="single" w:sz="6" w:space="1" w:color="CCCCCC"/>
        </w:pBdr>
      </w:pPr>
    </w:p>
    <w:p>
      <w:pPr>
        <w:pStyle w:val="Heading2"/>
      </w:pPr>
      <w:r>
        <w:t>Thread 1: Maxwell → Tesla → Eastlund → HAARP → Weather Control</w:t>
      </w:r>
    </w:p>
    <w:p>
      <w:r>
        <w:rPr>
          <w:b w:val="0"/>
          <w:i w:val="0"/>
        </w:rPr>
        <w:t>The direct lineage:</w:t>
      </w:r>
    </w:p>
    <w:p>
      <w:pPr>
        <w:pStyle w:val="ListNumber"/>
        <w:spacing w:before="20" w:after="20"/>
      </w:pPr>
      <w:r>
        <w:rPr>
          <w:b w:val="0"/>
          <w:i w:val="0"/>
          <w:sz w:val="19"/>
        </w:rPr>
      </w:r>
      <w:r>
        <w:rPr>
          <w:b/>
          <w:i w:val="0"/>
          <w:sz w:val="19"/>
        </w:rPr>
        <w:t>Maxwell (1865)</w:t>
      </w:r>
      <w:r>
        <w:rPr>
          <w:b w:val="0"/>
          <w:i w:val="0"/>
          <w:sz w:val="19"/>
        </w:rPr>
        <w:t xml:space="preserve"> — Equations describe EM waves in a physical medium. Original quaternion formulation includes longitudinal waves and medium stress terms.</w:t>
      </w:r>
    </w:p>
    <w:p>
      <w:pPr>
        <w:pStyle w:val="ListNumber"/>
        <w:spacing w:before="20" w:after="20"/>
      </w:pPr>
      <w:r>
        <w:rPr>
          <w:b w:val="0"/>
          <w:i w:val="0"/>
          <w:sz w:val="19"/>
        </w:rPr>
      </w:r>
      <w:r>
        <w:rPr>
          <w:b/>
          <w:i w:val="0"/>
          <w:sz w:val="19"/>
        </w:rPr>
        <w:t>Tesla (1890s–1905)</w:t>
      </w:r>
      <w:r>
        <w:rPr>
          <w:b w:val="0"/>
          <w:i w:val="0"/>
          <w:sz w:val="19"/>
        </w:rPr>
        <w:t xml:space="preserve"> — Demonstrates wireless power transmission at Wardenclyffe using longitudinal waves through the aether. Tower demolished 1917; not because it failed, but because energy that cannot be metered cannot be monetized.</w:t>
      </w:r>
    </w:p>
    <w:p>
      <w:pPr>
        <w:pStyle w:val="ListNumber"/>
        <w:spacing w:before="20" w:after="20"/>
      </w:pPr>
      <w:r>
        <w:rPr>
          <w:b w:val="0"/>
          <w:i w:val="0"/>
          <w:sz w:val="19"/>
        </w:rPr>
      </w:r>
      <w:r>
        <w:rPr>
          <w:b/>
          <w:i w:val="0"/>
          <w:sz w:val="19"/>
        </w:rPr>
        <w:t>Heaviside reduction (1884–1893)</w:t>
      </w:r>
      <w:r>
        <w:rPr>
          <w:b w:val="0"/>
          <w:i w:val="0"/>
          <w:sz w:val="19"/>
        </w:rPr>
        <w:t xml:space="preserve"> — Maxwell's 20 equations stripped to 4. Longitudinal wave terms and gravitational coupling removed. The equations can now be taught without reference to the medium.</w:t>
      </w:r>
    </w:p>
    <w:p>
      <w:pPr>
        <w:pStyle w:val="ListNumber"/>
        <w:spacing w:before="20" w:after="20"/>
      </w:pPr>
      <w:r>
        <w:rPr>
          <w:b w:val="0"/>
          <w:i w:val="0"/>
          <w:sz w:val="19"/>
        </w:rPr>
      </w:r>
      <w:r>
        <w:rPr>
          <w:b/>
          <w:i w:val="0"/>
          <w:sz w:val="19"/>
        </w:rPr>
        <w:t>Michelson-Morley (1887) / Einstein (1905)</w:t>
      </w:r>
      <w:r>
        <w:rPr>
          <w:b w:val="0"/>
          <w:i w:val="0"/>
          <w:sz w:val="19"/>
        </w:rPr>
        <w:t xml:space="preserve"> — One specific aether model (rigid, stationary frame) returns null results. Reinterpreted as "aether doesn't exist." The concept is not disproven — one model of it is. But the institutional momentum carries the conclusion forward.</w:t>
      </w:r>
    </w:p>
    <w:p>
      <w:pPr>
        <w:pStyle w:val="ListNumber"/>
        <w:spacing w:before="20" w:after="20"/>
      </w:pPr>
      <w:r>
        <w:rPr>
          <w:b w:val="0"/>
          <w:i w:val="0"/>
          <w:sz w:val="19"/>
        </w:rPr>
      </w:r>
      <w:r>
        <w:rPr>
          <w:b/>
          <w:i w:val="0"/>
          <w:sz w:val="19"/>
        </w:rPr>
        <w:t>Operation Paperclip (1945)</w:t>
      </w:r>
      <w:r>
        <w:rPr>
          <w:b w:val="0"/>
          <w:i w:val="0"/>
          <w:sz w:val="19"/>
        </w:rPr>
        <w:t xml:space="preserve"> — German scientists absorbed into US programs. Whatever Germany knew about directed-energy and atmospheric physics enters the classified world.</w:t>
      </w:r>
    </w:p>
    <w:p>
      <w:pPr>
        <w:pStyle w:val="ListNumber"/>
        <w:spacing w:before="20" w:after="20"/>
      </w:pPr>
      <w:r>
        <w:rPr>
          <w:b w:val="0"/>
          <w:i w:val="0"/>
          <w:sz w:val="19"/>
        </w:rPr>
      </w:r>
      <w:r>
        <w:rPr>
          <w:b/>
          <w:i w:val="0"/>
          <w:sz w:val="19"/>
        </w:rPr>
        <w:t>Bernard Eastlund (1987)</w:t>
      </w:r>
      <w:r>
        <w:rPr>
          <w:b w:val="0"/>
          <w:i w:val="0"/>
          <w:sz w:val="19"/>
        </w:rPr>
        <w:t xml:space="preserve"> — Patent US4686605: "Method and Apparatus for Altering a Region in the Earth's Atmosphere, Ionosphere, and/or Magnetosphere." Describes using focused RF energy to heat ionospheric plasma, creating "unprecedented" disruptions. Filed by ARCO (Atlantic Richfield), the company that owned the North Slope gas fields that would power HAARP. Eastlund explicitly referenced Tesla's work.</w:t>
      </w:r>
    </w:p>
    <w:p>
      <w:pPr>
        <w:pStyle w:val="ListNumber"/>
        <w:spacing w:before="20" w:after="20"/>
      </w:pPr>
      <w:r>
        <w:rPr>
          <w:b w:val="0"/>
          <w:i w:val="0"/>
          <w:sz w:val="19"/>
        </w:rPr>
      </w:r>
      <w:r>
        <w:rPr>
          <w:b/>
          <w:i w:val="0"/>
          <w:sz w:val="19"/>
        </w:rPr>
        <w:t>HAARP (1993–present)</w:t>
      </w:r>
      <w:r>
        <w:rPr>
          <w:b w:val="0"/>
          <w:i w:val="0"/>
          <w:sz w:val="19"/>
        </w:rPr>
        <w:t xml:space="preserve"> — 3.6 MW effective radiated power aimed at the ionosphere. One node in a global network: HAARP (Alaska), EISCAT (Norway), Sura (Russia), SPEAR (Svalbard), HIPAS (Alaska), Arecibo (Puerto Rico). Combined: the ionosphere–ground cavity becomes a tunable resonant system.</w:t>
      </w:r>
    </w:p>
    <w:p>
      <w:pPr>
        <w:pStyle w:val="ListNumber"/>
        <w:spacing w:before="20" w:after="20"/>
      </w:pPr>
      <w:r>
        <w:rPr>
          <w:b w:val="0"/>
          <w:i w:val="0"/>
          <w:sz w:val="19"/>
        </w:rPr>
      </w:r>
      <w:r>
        <w:rPr>
          <w:b/>
          <w:i w:val="0"/>
          <w:sz w:val="19"/>
        </w:rPr>
        <w:t>Weather as weapon (ongoing)</w:t>
      </w:r>
      <w:r>
        <w:rPr>
          <w:b w:val="0"/>
          <w:i w:val="0"/>
          <w:sz w:val="19"/>
        </w:rPr>
        <w:t xml:space="preserve"> — Operation Popeye (1967–1972) proved cloud seeding works in combat. ENMOD treaty (1976) banned the practice — which means the practice exists. ENMOD signatories produce 83% of global CO₂ emissions. The nations that banned weather weapons are the nations that had them.</w:t>
      </w:r>
    </w:p>
    <w:p>
      <w:r>
        <w:rPr>
          <w:b w:val="0"/>
          <w:i w:val="0"/>
        </w:rPr>
      </w:r>
      <w:r>
        <w:rPr>
          <w:b/>
          <w:i w:val="0"/>
        </w:rPr>
        <w:t>The connection to the aether:</w:t>
      </w:r>
      <w:r>
        <w:rPr>
          <w:b w:val="0"/>
          <w:i w:val="0"/>
        </w:rPr>
        <w:t xml:space="preserve"> Tesla's wireless power and Eastlund's ionospheric heating are the same physics operating at different power levels. Both require a propagation medium. Both exploit the ionosphere as a reflective boundary. The official position that "the aether doesn't exist" is maintained precisely because acknowledging it would connect these dots.</w:t>
      </w:r>
    </w:p>
    <w:p>
      <w:r>
        <w:rPr>
          <w:b w:val="0"/>
          <w:i w:val="0"/>
        </w:rPr>
      </w:r>
      <w:r>
        <w:rPr>
          <w:b/>
          <w:i w:val="0"/>
        </w:rPr>
        <w:t>Weather control chronology (1946–2024):</w:t>
      </w:r>
      <w:r>
        <w:rPr>
          <w:b w:val="0"/>
          <w:i w:val="0"/>
        </w:rPr>
        <w:t xml:space="preserve"> Project Cirrus (1946), Cape Sable hurricane reversal (1947), Lynmouth flood (1952), Stormfury, Operation Popeye (1967–72), ENMOD treaty (1977), Eastlund patent (1987), HAARP (1993+), Beijing Olympics (2008), Tennessee HB 2063 (2024). For full chronology table, see main article.</w:t>
      </w:r>
    </w:p>
    <w:p>
      <w:r>
        <w:rPr>
          <w:b w:val="0"/>
          <w:i w:val="0"/>
        </w:rPr>
      </w:r>
      <w:r>
        <w:rPr>
          <w:b/>
          <w:i w:val="0"/>
        </w:rPr>
        <w:t>Global ionospheric heater network:</w:t>
      </w:r>
      <w:r>
        <w:rPr>
          <w:b w:val="0"/>
          <w:i w:val="0"/>
        </w:rPr>
        <w:t xml:space="preserve"> HAARP (Alaska), EISCAT (Norway), Sura (Russia), SPEAR (Svalbard), Arecibo (Puerto Rico), HIPAS (Alaska), Jicamarca (Peru).</w:t>
      </w:r>
    </w:p>
    <w:p>
      <w:pPr>
        <w:pStyle w:val="Quote"/>
      </w:pPr>
      <w:r>
        <w:rPr>
          <w:b w:val="0"/>
          <w:i w:val="0"/>
          <w:sz w:val="19"/>
        </w:rPr>
        <w:t xml:space="preserve">For the full investigation, see: </w:t>
      </w:r>
      <w:hyperlink r:id="rId147">
        <w:r>
          <w:rPr>
            <w:b w:val="0"/>
            <w:i w:val="0"/>
            <w:color w:val="B8860B"/>
            <w:sz w:val="19"/>
          </w:rPr>
          <w:t>Weather Modification Investigation</w:t>
        </w:r>
      </w:hyperlink>
    </w:p>
    <w:p>
      <w:pPr>
        <w:pBdr>
          <w:bottom w:val="single" w:sz="6" w:space="1" w:color="CCCCCC"/>
        </w:pBdr>
      </w:pPr>
    </w:p>
    <w:p>
      <w:pPr>
        <w:pStyle w:val="Heading2"/>
      </w:pPr>
      <w:r>
        <w:t>Thread 2: Directed Energy → Moscow Signal → Havana Syndrome → Weather Modification</w:t>
      </w:r>
    </w:p>
    <w:p>
      <w:r>
        <w:rPr>
          <w:b w:val="0"/>
          <w:i w:val="0"/>
        </w:rPr>
        <w:t>The institutional denial pattern:</w:t>
      </w:r>
    </w:p>
    <w:p>
      <w:pPr>
        <w:pStyle w:val="ListNumber"/>
        <w:spacing w:before="20" w:after="20"/>
      </w:pPr>
      <w:r>
        <w:rPr>
          <w:b w:val="0"/>
          <w:i w:val="0"/>
          <w:sz w:val="19"/>
        </w:rPr>
      </w:r>
      <w:r>
        <w:rPr>
          <w:b/>
          <w:i w:val="0"/>
          <w:sz w:val="19"/>
        </w:rPr>
        <w:t>Moscow Signal (1953–1976)</w:t>
      </w:r>
      <w:r>
        <w:rPr>
          <w:b w:val="0"/>
          <w:i w:val="0"/>
          <w:sz w:val="19"/>
        </w:rPr>
        <w:t xml:space="preserve"> — The Soviet Union bathed the US Embassy in Moscow in microwave radiation for 23 years. The State Department denied it for decades. When it became public, it was called "research." Embassy staff had elevated rates of cancer. (Documented fact — not disputed.)</w:t>
      </w:r>
    </w:p>
    <w:p>
      <w:pPr>
        <w:pStyle w:val="ListNumber"/>
        <w:spacing w:before="20" w:after="20"/>
      </w:pPr>
      <w:r>
        <w:rPr>
          <w:b w:val="0"/>
          <w:i w:val="0"/>
          <w:sz w:val="19"/>
        </w:rPr>
      </w:r>
      <w:r>
        <w:rPr>
          <w:b/>
          <w:i w:val="0"/>
          <w:sz w:val="19"/>
        </w:rPr>
        <w:t>Active Denial System (2001)</w:t>
      </w:r>
      <w:r>
        <w:rPr>
          <w:b w:val="0"/>
          <w:i w:val="0"/>
          <w:sz w:val="19"/>
        </w:rPr>
        <w:t xml:space="preserve"> — The US military's own "pain ray." Uses 95 GHz millimeter waves to heat skin from 300+ meters. Documented, deployed, publicly demonstrated. This is a directed-energy weapon that the government admits exists.</w:t>
      </w:r>
    </w:p>
    <w:p>
      <w:pPr>
        <w:pStyle w:val="ListNumber"/>
        <w:spacing w:before="20" w:after="20"/>
      </w:pPr>
      <w:r>
        <w:rPr>
          <w:b w:val="0"/>
          <w:i w:val="0"/>
          <w:sz w:val="19"/>
        </w:rPr>
      </w:r>
      <w:r>
        <w:rPr>
          <w:b/>
          <w:i w:val="0"/>
          <w:sz w:val="19"/>
        </w:rPr>
        <w:t>MEDUSA (2003–2005)</w:t>
      </w:r>
      <w:r>
        <w:rPr>
          <w:b w:val="0"/>
          <w:i w:val="0"/>
          <w:sz w:val="19"/>
        </w:rPr>
        <w:t xml:space="preserve"> — "Mob Excess Deterrent Using Silent Audio." Navy-funded project using pulsed microwave energy to induce discomfort or disorientation at a distance. Described in Navy SBIR filings.</w:t>
      </w:r>
    </w:p>
    <w:p>
      <w:pPr>
        <w:pStyle w:val="ListNumber"/>
        <w:spacing w:before="20" w:after="20"/>
      </w:pPr>
      <w:r>
        <w:rPr>
          <w:b w:val="0"/>
          <w:i w:val="0"/>
          <w:sz w:val="19"/>
        </w:rPr>
      </w:r>
      <w:r>
        <w:rPr>
          <w:b/>
          <w:i w:val="0"/>
          <w:sz w:val="19"/>
        </w:rPr>
        <w:t>Stasi UV/X-ray targeting (1960s–1989)</w:t>
      </w:r>
      <w:r>
        <w:rPr>
          <w:b w:val="0"/>
          <w:i w:val="0"/>
          <w:sz w:val="19"/>
        </w:rPr>
        <w:t xml:space="preserve"> — East German state security used directed radiation against dissidents, causing cancer in targeted individuals. Documented in post-reunification archives.</w:t>
      </w:r>
    </w:p>
    <w:p>
      <w:pPr>
        <w:pStyle w:val="ListNumber"/>
        <w:spacing w:before="20" w:after="20"/>
      </w:pPr>
      <w:r>
        <w:rPr>
          <w:b w:val="0"/>
          <w:i w:val="0"/>
          <w:sz w:val="19"/>
        </w:rPr>
      </w:r>
      <w:r>
        <w:rPr>
          <w:b/>
          <w:i w:val="0"/>
          <w:sz w:val="19"/>
        </w:rPr>
        <w:t>Havana Syndrome (2016–present)</w:t>
      </w:r>
      <w:r>
        <w:rPr>
          <w:b w:val="0"/>
          <w:i w:val="0"/>
          <w:sz w:val="19"/>
        </w:rPr>
        <w:t xml:space="preserve"> — US and Canadian diplomats report sudden-onset neurological symptoms: vertigo, hearing loss, cognitive impairment, brain lesions visible on MRI. The US government's response: six contradictory official findings in eight years. The National Academies of Sciences (2020) concluded "directed pulsed RF energy" was the most plausible explanation. The intelligence community said "no foreign adversary." Both cannot be true.</w:t>
      </w:r>
    </w:p>
    <w:p>
      <w:pPr>
        <w:pStyle w:val="ListNumber"/>
        <w:spacing w:before="20" w:after="20"/>
      </w:pPr>
      <w:r>
        <w:rPr>
          <w:b w:val="0"/>
          <w:i w:val="0"/>
          <w:sz w:val="19"/>
        </w:rPr>
      </w:r>
      <w:r>
        <w:rPr>
          <w:b/>
          <w:i w:val="0"/>
          <w:sz w:val="19"/>
        </w:rPr>
        <w:t>2026 bombshells</w:t>
      </w:r>
      <w:r>
        <w:rPr>
          <w:b w:val="0"/>
          <w:i w:val="0"/>
          <w:sz w:val="19"/>
        </w:rPr>
        <w:t xml:space="preserve"> — HSI (Homeland Security Investigations) attempted to purchase a "Havana Syndrome" device from a foreign source in a sting operation. A Norwegian researcher experimentally induced neurological symptoms in himself using commercially available RF equipment. These confirm the technology exists and is reproducible.</w:t>
      </w:r>
    </w:p>
    <w:p>
      <w:r>
        <w:rPr>
          <w:b w:val="0"/>
          <w:i w:val="0"/>
        </w:rPr>
      </w:r>
      <w:r>
        <w:rPr>
          <w:b/>
          <w:i w:val="0"/>
        </w:rPr>
        <w:t>The connection to weather modification:</w:t>
      </w:r>
      <w:r>
        <w:rPr>
          <w:b w:val="0"/>
          <w:i w:val="0"/>
        </w:rPr>
        <w:t xml:space="preserve"> The Active Denial System operates at 95 GHz. HAARP operates at 2.8–10 MHz. EISCAT operates at 224–933 MHz. These are the same physics — coherent electromagnetic energy directed at a target (person, building, ionospheric region) — at different frequencies, power levels, and scales. The table below formalizes this: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21"/>
        <w:gridCol w:w="1620"/>
        <w:gridCol w:w="2049"/>
        <w:gridCol w:w="1882"/>
      </w:tblGrid>
      <w:tr>
        <w:tc>
          <w:tcPr>
            <w:tcW w:type="dxa" w:w="821"/>
            <w:shd w:val="clear" w:color="auto" w:fill="F0F0F0"/>
          </w:tcPr>
          <w:p>
            <w:pPr>
              <w:spacing w:before="20" w:after="20"/>
              <w:jc w:val="center"/>
            </w:pPr>
            <w:r>
              <w:rPr>
                <w:rFonts w:ascii="Libre Franklin" w:hAnsi="Libre Franklin"/>
                <w:b/>
                <w:sz w:val="18"/>
              </w:rPr>
              <w:t>Scale</w:t>
            </w:r>
          </w:p>
        </w:tc>
        <w:tc>
          <w:tcPr>
            <w:tcW w:type="dxa" w:w="1620"/>
            <w:shd w:val="clear" w:color="auto" w:fill="F0F0F0"/>
          </w:tcPr>
          <w:p>
            <w:pPr>
              <w:spacing w:before="20" w:after="20"/>
              <w:jc w:val="center"/>
            </w:pPr>
            <w:r>
              <w:rPr>
                <w:rFonts w:ascii="Libre Franklin" w:hAnsi="Libre Franklin"/>
                <w:b/>
                <w:sz w:val="18"/>
              </w:rPr>
              <w:t>Technology</w:t>
            </w:r>
          </w:p>
        </w:tc>
        <w:tc>
          <w:tcPr>
            <w:tcW w:type="dxa" w:w="2049"/>
            <w:shd w:val="clear" w:color="auto" w:fill="F0F0F0"/>
          </w:tcPr>
          <w:p>
            <w:pPr>
              <w:spacing w:before="20" w:after="20"/>
              <w:jc w:val="center"/>
            </w:pPr>
            <w:r>
              <w:rPr>
                <w:rFonts w:ascii="Libre Franklin" w:hAnsi="Libre Franklin"/>
                <w:b/>
                <w:sz w:val="18"/>
              </w:rPr>
              <w:t>Mechanism</w:t>
            </w:r>
          </w:p>
        </w:tc>
        <w:tc>
          <w:tcPr>
            <w:tcW w:type="dxa" w:w="1882"/>
            <w:shd w:val="clear" w:color="auto" w:fill="F0F0F0"/>
          </w:tcPr>
          <w:p>
            <w:pPr>
              <w:spacing w:before="20" w:after="20"/>
              <w:jc w:val="center"/>
            </w:pPr>
            <w:r>
              <w:rPr>
                <w:rFonts w:ascii="Libre Franklin" w:hAnsi="Libre Franklin"/>
                <w:b/>
                <w:sz w:val="18"/>
              </w:rPr>
              <w:t>Effect</w:t>
            </w:r>
          </w:p>
        </w:tc>
      </w:tr>
      <w:tr>
        <w:tc>
          <w:tcPr>
            <w:tcW w:type="dxa" w:w="821"/>
          </w:tcPr>
          <w:p>
            <w:pPr>
              <w:spacing w:before="20" w:after="20"/>
            </w:pPr>
            <w:r>
              <w:rPr>
                <w:b w:val="0"/>
                <w:i w:val="0"/>
                <w:sz w:val="18"/>
              </w:rPr>
            </w:r>
            <w:r>
              <w:rPr>
                <w:b/>
                <w:i w:val="0"/>
                <w:sz w:val="18"/>
              </w:rPr>
              <w:t>Individual</w:t>
            </w:r>
            <w:r>
              <w:rPr>
                <w:b w:val="0"/>
                <w:i w:val="0"/>
                <w:sz w:val="18"/>
              </w:rPr>
            </w:r>
          </w:p>
        </w:tc>
        <w:tc>
          <w:tcPr>
            <w:tcW w:type="dxa" w:w="1620"/>
          </w:tcPr>
          <w:p>
            <w:pPr>
              <w:spacing w:before="20" w:after="20"/>
            </w:pPr>
            <w:r>
              <w:rPr>
                <w:b w:val="0"/>
                <w:i w:val="0"/>
                <w:sz w:val="18"/>
              </w:rPr>
              <w:t>Directed-energy weapon (ADS, microwave)</w:t>
            </w:r>
          </w:p>
        </w:tc>
        <w:tc>
          <w:tcPr>
            <w:tcW w:type="dxa" w:w="2049"/>
          </w:tcPr>
          <w:p>
            <w:pPr>
              <w:spacing w:before="20" w:after="20"/>
            </w:pPr>
            <w:r>
              <w:rPr>
                <w:b w:val="0"/>
                <w:i w:val="0"/>
                <w:sz w:val="18"/>
              </w:rPr>
              <w:t>Focused RF/microwave on biological target</w:t>
            </w:r>
          </w:p>
        </w:tc>
        <w:tc>
          <w:tcPr>
            <w:tcW w:type="dxa" w:w="1882"/>
          </w:tcPr>
          <w:p>
            <w:pPr>
              <w:spacing w:before="20" w:after="20"/>
            </w:pPr>
            <w:r>
              <w:rPr>
                <w:b w:val="0"/>
                <w:i w:val="0"/>
                <w:sz w:val="18"/>
              </w:rPr>
              <w:t>Pain, neurological damage, cognitive impairment</w:t>
            </w:r>
          </w:p>
        </w:tc>
      </w:tr>
      <w:tr>
        <w:tc>
          <w:tcPr>
            <w:tcW w:type="dxa" w:w="821"/>
          </w:tcPr>
          <w:p>
            <w:pPr>
              <w:spacing w:before="20" w:after="20"/>
            </w:pPr>
            <w:r>
              <w:rPr>
                <w:b w:val="0"/>
                <w:i w:val="0"/>
                <w:sz w:val="18"/>
              </w:rPr>
            </w:r>
            <w:r>
              <w:rPr>
                <w:b/>
                <w:i w:val="0"/>
                <w:sz w:val="18"/>
              </w:rPr>
              <w:t>Building</w:t>
            </w:r>
            <w:r>
              <w:rPr>
                <w:b w:val="0"/>
                <w:i w:val="0"/>
                <w:sz w:val="18"/>
              </w:rPr>
            </w:r>
          </w:p>
        </w:tc>
        <w:tc>
          <w:tcPr>
            <w:tcW w:type="dxa" w:w="1620"/>
          </w:tcPr>
          <w:p>
            <w:pPr>
              <w:spacing w:before="20" w:after="20"/>
            </w:pPr>
            <w:r>
              <w:rPr>
                <w:b w:val="0"/>
                <w:i w:val="0"/>
                <w:sz w:val="18"/>
              </w:rPr>
              <w:t>"Havana Syndrome" device</w:t>
            </w:r>
          </w:p>
        </w:tc>
        <w:tc>
          <w:tcPr>
            <w:tcW w:type="dxa" w:w="2049"/>
          </w:tcPr>
          <w:p>
            <w:pPr>
              <w:spacing w:before="20" w:after="20"/>
            </w:pPr>
            <w:r>
              <w:rPr>
                <w:b w:val="0"/>
                <w:i w:val="0"/>
                <w:sz w:val="18"/>
              </w:rPr>
              <w:t>Pulsed RF energy through walls</w:t>
            </w:r>
          </w:p>
        </w:tc>
        <w:tc>
          <w:tcPr>
            <w:tcW w:type="dxa" w:w="1882"/>
          </w:tcPr>
          <w:p>
            <w:pPr>
              <w:spacing w:before="20" w:after="20"/>
            </w:pPr>
            <w:r>
              <w:rPr>
                <w:b w:val="0"/>
                <w:i w:val="0"/>
                <w:sz w:val="18"/>
              </w:rPr>
              <w:t>Targeted neurological attack on occupants</w:t>
            </w:r>
          </w:p>
        </w:tc>
      </w:tr>
      <w:tr>
        <w:tc>
          <w:tcPr>
            <w:tcW w:type="dxa" w:w="821"/>
          </w:tcPr>
          <w:p>
            <w:pPr>
              <w:spacing w:before="20" w:after="20"/>
            </w:pPr>
            <w:r>
              <w:rPr>
                <w:b w:val="0"/>
                <w:i w:val="0"/>
                <w:sz w:val="18"/>
              </w:rPr>
            </w:r>
            <w:r>
              <w:rPr>
                <w:b/>
                <w:i w:val="0"/>
                <w:sz w:val="18"/>
              </w:rPr>
              <w:t>Regional</w:t>
            </w:r>
            <w:r>
              <w:rPr>
                <w:b w:val="0"/>
                <w:i w:val="0"/>
                <w:sz w:val="18"/>
              </w:rPr>
            </w:r>
          </w:p>
        </w:tc>
        <w:tc>
          <w:tcPr>
            <w:tcW w:type="dxa" w:w="1620"/>
          </w:tcPr>
          <w:p>
            <w:pPr>
              <w:spacing w:before="20" w:after="20"/>
            </w:pPr>
            <w:r>
              <w:rPr>
                <w:b w:val="0"/>
                <w:i w:val="0"/>
                <w:sz w:val="18"/>
              </w:rPr>
              <w:t>Cloud seeding + ionospheric heating</w:t>
            </w:r>
          </w:p>
        </w:tc>
        <w:tc>
          <w:tcPr>
            <w:tcW w:type="dxa" w:w="2049"/>
          </w:tcPr>
          <w:p>
            <w:pPr>
              <w:spacing w:before="20" w:after="20"/>
            </w:pPr>
            <w:r>
              <w:rPr>
                <w:b w:val="0"/>
                <w:i w:val="0"/>
                <w:sz w:val="18"/>
              </w:rPr>
              <w:t>Particulate + RF modulates local atmosphere</w:t>
            </w:r>
          </w:p>
        </w:tc>
        <w:tc>
          <w:tcPr>
            <w:tcW w:type="dxa" w:w="1882"/>
          </w:tcPr>
          <w:p>
            <w:pPr>
              <w:spacing w:before="20" w:after="20"/>
            </w:pPr>
            <w:r>
              <w:rPr>
                <w:b w:val="0"/>
                <w:i w:val="0"/>
                <w:sz w:val="18"/>
              </w:rPr>
              <w:t>Drought, flood, storm steering</w:t>
            </w:r>
          </w:p>
        </w:tc>
      </w:tr>
      <w:tr>
        <w:tc>
          <w:tcPr>
            <w:tcW w:type="dxa" w:w="821"/>
          </w:tcPr>
          <w:p>
            <w:pPr>
              <w:spacing w:before="20" w:after="20"/>
            </w:pPr>
            <w:r>
              <w:rPr>
                <w:b w:val="0"/>
                <w:i w:val="0"/>
                <w:sz w:val="18"/>
              </w:rPr>
            </w:r>
            <w:r>
              <w:rPr>
                <w:b/>
                <w:i w:val="0"/>
                <w:sz w:val="18"/>
              </w:rPr>
              <w:t>Continental</w:t>
            </w:r>
            <w:r>
              <w:rPr>
                <w:b w:val="0"/>
                <w:i w:val="0"/>
                <w:sz w:val="18"/>
              </w:rPr>
            </w:r>
          </w:p>
        </w:tc>
        <w:tc>
          <w:tcPr>
            <w:tcW w:type="dxa" w:w="1620"/>
          </w:tcPr>
          <w:p>
            <w:pPr>
              <w:spacing w:before="20" w:after="20"/>
            </w:pPr>
            <w:r>
              <w:rPr>
                <w:b w:val="0"/>
                <w:i w:val="0"/>
                <w:sz w:val="18"/>
              </w:rPr>
              <w:t>HAARP-class facility network</w:t>
            </w:r>
          </w:p>
        </w:tc>
        <w:tc>
          <w:tcPr>
            <w:tcW w:type="dxa" w:w="2049"/>
          </w:tcPr>
          <w:p>
            <w:pPr>
              <w:spacing w:before="20" w:after="20"/>
            </w:pPr>
            <w:r>
              <w:rPr>
                <w:b w:val="0"/>
                <w:i w:val="0"/>
                <w:sz w:val="18"/>
              </w:rPr>
              <w:t>Ionospheric cavity tuning via coordinated heaters</w:t>
            </w:r>
          </w:p>
        </w:tc>
        <w:tc>
          <w:tcPr>
            <w:tcW w:type="dxa" w:w="1882"/>
          </w:tcPr>
          <w:p>
            <w:pPr>
              <w:spacing w:before="20" w:after="20"/>
            </w:pPr>
            <w:r>
              <w:rPr>
                <w:b w:val="0"/>
                <w:i w:val="0"/>
                <w:sz w:val="18"/>
              </w:rPr>
              <w:t>Climate-scale weather manipulation</w:t>
            </w:r>
          </w:p>
        </w:tc>
      </w:tr>
    </w:tbl>
    <w:p/>
    <w:p>
      <w:r>
        <w:rPr>
          <w:b w:val="0"/>
          <w:i w:val="0"/>
        </w:rPr>
      </w:r>
      <w:r>
        <w:rPr>
          <w:b/>
          <w:i w:val="0"/>
        </w:rPr>
        <w:t>The gaslighting pattern is identical at every scale:</w:t>
      </w:r>
      <w:r>
        <w:rPr>
          <w:b w:val="0"/>
          <w:i w:val="0"/>
        </w:rPr>
        <w:t xml:space="preserve"> deny the technology exists → dismiss victims (hysteria, psychosomatic) → issue contradictory findings → classify → pay compensation quietly → never acknowledge the weapon.</w:t>
      </w:r>
    </w:p>
    <w:p>
      <w:pPr>
        <w:pStyle w:val="Quote"/>
      </w:pPr>
      <w:r>
        <w:rPr>
          <w:b w:val="0"/>
          <w:i w:val="0"/>
          <w:sz w:val="19"/>
        </w:rPr>
        <w:t xml:space="preserve">For the full investigation, see: </w:t>
      </w:r>
      <w:hyperlink r:id="rId148">
        <w:r>
          <w:rPr>
            <w:b w:val="0"/>
            <w:i w:val="0"/>
            <w:color w:val="B8860B"/>
            <w:sz w:val="19"/>
          </w:rPr>
          <w:t>Havana Syndrome Investigation</w:t>
        </w:r>
      </w:hyperlink>
    </w:p>
    <w:p>
      <w:pPr>
        <w:pBdr>
          <w:bottom w:val="single" w:sz="6" w:space="1" w:color="CCCCCC"/>
        </w:pBdr>
      </w:pPr>
    </w:p>
    <w:p>
      <w:pPr>
        <w:pStyle w:val="Heading2"/>
      </w:pPr>
      <w:r>
        <w:t>Thread 3: CERN → Portals → Aether Manipulation at Extreme Energy</w:t>
      </w:r>
    </w:p>
    <w:p>
      <w:r>
        <w:rPr>
          <w:b w:val="0"/>
          <w:i w:val="0"/>
        </w:rPr>
        <w:t>If the aether is a physical medium that can be compressed, polarized, or structured, then devices capable of creating localized aether distortions are engineering problems. The Large Hadron Collider fits that description.</w:t>
      </w:r>
    </w:p>
    <w:p>
      <w:r>
        <w:rPr>
          <w:b w:val="0"/>
          <w:i w:val="0"/>
        </w:rPr>
      </w:r>
      <w:r>
        <w:rPr>
          <w:b/>
          <w:i w:val="0"/>
        </w:rPr>
        <w:t>Primary source evidence:</w:t>
      </w:r>
      <w:r>
        <w:rPr>
          <w:b w:val="0"/>
          <w:i w:val="0"/>
        </w:rPr>
      </w:r>
    </w:p>
    <w:p>
      <w:pPr>
        <w:pStyle w:val="ListBullet"/>
        <w:spacing w:before="20" w:after="20"/>
      </w:pPr>
      <w:r>
        <w:rPr>
          <w:b w:val="0"/>
          <w:i w:val="0"/>
          <w:sz w:val="19"/>
        </w:rPr>
      </w:r>
      <w:r>
        <w:rPr>
          <w:b/>
          <w:i w:val="0"/>
          <w:sz w:val="19"/>
        </w:rPr>
        <w:t>Sergio Bertolucci</w:t>
      </w:r>
      <w:r>
        <w:rPr>
          <w:b w:val="0"/>
          <w:i w:val="0"/>
          <w:sz w:val="19"/>
        </w:rPr>
        <w:t xml:space="preserve">, Director for Research and Scientific Computing, CERN (November 2009): </w:t>
      </w:r>
      <w:r>
        <w:rPr>
          <w:b w:val="0"/>
          <w:i/>
          <w:sz w:val="19"/>
        </w:rPr>
        <w:t>"Out of this door might come something, or we might send something through it."</w:t>
      </w:r>
      <w:r>
        <w:rPr>
          <w:b w:val="0"/>
          <w:i w:val="0"/>
          <w:sz w:val="19"/>
        </w:rPr>
        <w:t xml:space="preserve"> — in context of extra dimensions and the LHC. (</w:t>
      </w:r>
      <w:r>
        <w:rPr>
          <w:b/>
          <w:i w:val="0"/>
          <w:sz w:val="19"/>
        </w:rPr>
        <w:t>Source:</w:t>
      </w:r>
      <w:r>
        <w:rPr>
          <w:b w:val="0"/>
          <w:i w:val="0"/>
          <w:sz w:val="19"/>
        </w:rPr>
        <w:t xml:space="preserve"> The Register, 6 Nov 2009.)</w:t>
      </w:r>
    </w:p>
    <w:p>
      <w:pPr>
        <w:pStyle w:val="ListBullet"/>
        <w:spacing w:before="20" w:after="20"/>
      </w:pPr>
      <w:r>
        <w:rPr>
          <w:b w:val="0"/>
          <w:i w:val="0"/>
          <w:sz w:val="19"/>
        </w:rPr>
      </w:r>
      <w:r>
        <w:rPr>
          <w:b/>
          <w:i w:val="0"/>
          <w:sz w:val="19"/>
        </w:rPr>
        <w:t>Reuters (October 2010):</w:t>
      </w:r>
      <w:r>
        <w:rPr>
          <w:b w:val="0"/>
          <w:i w:val="0"/>
          <w:sz w:val="19"/>
        </w:rPr>
        <w:t xml:space="preserve"> CERN theorists discussed detecting extra dimensions and parallel universes via the LHC — particles "disappearing into extra dimensions and returning." This is portal language in mainstream science journalism.</w:t>
      </w:r>
    </w:p>
    <w:p>
      <w:pPr>
        <w:pStyle w:val="ListBullet"/>
        <w:spacing w:before="20" w:after="20"/>
      </w:pPr>
      <w:r>
        <w:rPr>
          <w:b w:val="0"/>
          <w:i w:val="0"/>
          <w:sz w:val="19"/>
        </w:rPr>
      </w:r>
      <w:r>
        <w:rPr>
          <w:b/>
          <w:i w:val="0"/>
          <w:sz w:val="19"/>
        </w:rPr>
        <w:t>Shiva/Nataraja statue (2004):</w:t>
      </w:r>
      <w:r>
        <w:rPr>
          <w:b w:val="0"/>
          <w:i w:val="0"/>
          <w:sz w:val="19"/>
        </w:rPr>
        <w:t xml:space="preserve"> A 2-meter bronze of Shiva's cosmic dance installed at CERN Meyrin. In Hindu cosmology, Shiva's Tandava symbolizes the dissolution and recreation of worlds — doorways, cosmic gates, cycles of destruction. Whether the symbolism is coincidental or deliberate, it exists.</w:t>
      </w:r>
    </w:p>
    <w:p>
      <w:r>
        <w:rPr>
          <w:b w:val="0"/>
          <w:i w:val="0"/>
        </w:rPr>
      </w:r>
      <w:r>
        <w:rPr>
          <w:b/>
          <w:i w:val="0"/>
        </w:rPr>
        <w:t>The official denial cycle:</w:t>
      </w:r>
      <w:r>
        <w:rPr>
          <w:b w:val="0"/>
          <w:i w:val="0"/>
        </w:rPr>
        <w:t xml:space="preserve"> Every LHC milestone (first beams 2008, Higgs 2012, restart 2022) produces viral claims of "portal opening." Fact-checkers cite CERN's denials and declare the claims false. The project's position: "CERN says no" does not close the question when the Director of Research said "out of this door might come something" on the record.</w:t>
      </w:r>
    </w:p>
    <w:p>
      <w:r>
        <w:rPr>
          <w:b w:val="0"/>
          <w:i w:val="0"/>
        </w:rPr>
      </w:r>
      <w:r>
        <w:rPr>
          <w:b/>
          <w:i w:val="0"/>
        </w:rPr>
        <w:t>Connection to the aether stack:</w:t>
      </w:r>
      <w:r>
        <w:rPr>
          <w:b w:val="0"/>
          <w:i w:val="0"/>
        </w:rPr>
      </w:r>
    </w:p>
    <w:p>
      <w:pPr>
        <w:pStyle w:val="ListBullet"/>
        <w:spacing w:before="20" w:after="20"/>
      </w:pPr>
      <w:r>
        <w:rPr>
          <w:b w:val="0"/>
          <w:i w:val="0"/>
          <w:sz w:val="19"/>
        </w:rPr>
        <w:t>The LHC manipulates extreme energies and fields in a confined volume. Mainstream physics describes the vacuum as a "quantum field" — not empty. In aether terms, the LHC is compressing and distorting the medium at particle-scale.</w:t>
      </w:r>
    </w:p>
    <w:p>
      <w:pPr>
        <w:pStyle w:val="ListBullet"/>
        <w:spacing w:before="20" w:after="20"/>
      </w:pPr>
      <w:r>
        <w:rPr>
          <w:b w:val="0"/>
          <w:i w:val="0"/>
          <w:sz w:val="19"/>
        </w:rPr>
        <w:t>The Heaviside reduction removed the terms in Maxwell's equations that described the medium's stress tensor. If those terms are real, then sufficient energy applied to a confined volume of aether can produce structural distortions — what the ancients described as portals, and what Bertolucci described as a "door."</w:t>
      </w:r>
    </w:p>
    <w:p>
      <w:pPr>
        <w:pStyle w:val="ListBullet"/>
        <w:spacing w:before="20" w:after="20"/>
      </w:pPr>
      <w:r>
        <w:rPr>
          <w:b w:val="0"/>
          <w:i w:val="0"/>
          <w:sz w:val="19"/>
        </w:rPr>
        <w:t>CERN's annual budget exceeds $1 billion. It has produced no new energy technology, no practical applications, and no verifiable breakthroughs beyond the Higgs boson — a particle that confirms the existence of a space-filling field (the Higgs field) with measurable properties. A space-filling field with measurable properties is the aether by another name.</w:t>
      </w:r>
    </w:p>
    <w:p>
      <w:pPr>
        <w:pStyle w:val="Quote"/>
      </w:pPr>
      <w:r>
        <w:rPr>
          <w:b w:val="0"/>
          <w:i w:val="0"/>
          <w:sz w:val="19"/>
        </w:rPr>
        <w:t xml:space="preserve">For the full investigation, see: </w:t>
      </w:r>
      <w:hyperlink r:id="rId149">
        <w:r>
          <w:rPr>
            <w:b w:val="0"/>
            <w:i w:val="0"/>
            <w:color w:val="B8860B"/>
            <w:sz w:val="19"/>
          </w:rPr>
          <w:t>CERN &amp; Portal Technology Investigation</w:t>
        </w:r>
      </w:hyperlink>
    </w:p>
    <w:p>
      <w:pPr>
        <w:pBdr>
          <w:bottom w:val="single" w:sz="6" w:space="1" w:color="CCCCCC"/>
        </w:pBdr>
      </w:pPr>
    </w:p>
    <w:p>
      <w:pPr>
        <w:pStyle w:val="Heading2"/>
      </w:pPr>
      <w:r>
        <w:t>Thread 4: SAFIRE → Over-Unity Energy → The Reason for Suppression</w:t>
      </w:r>
    </w:p>
    <w:p>
      <w:r>
        <w:rPr>
          <w:b w:val="0"/>
          <w:i w:val="0"/>
        </w:rPr>
        <w:t>The SAFIRE (Stellar Atmospheric Function in Regulation Experiment) project set out to test the Electric Sun model in a laboratory. What it found goes further:</w:t>
      </w:r>
    </w:p>
    <w:p>
      <w:pPr>
        <w:pStyle w:val="ListBullet"/>
        <w:spacing w:before="20" w:after="20"/>
      </w:pPr>
      <w:r>
        <w:rPr>
          <w:b w:val="0"/>
          <w:i w:val="0"/>
          <w:sz w:val="19"/>
        </w:rPr>
      </w:r>
      <w:r>
        <w:rPr>
          <w:b/>
          <w:i w:val="0"/>
          <w:sz w:val="19"/>
        </w:rPr>
        <w:t>Replicated the sun's atmospheric conditions</w:t>
      </w:r>
      <w:r>
        <w:rPr>
          <w:b w:val="0"/>
          <w:i w:val="0"/>
          <w:sz w:val="19"/>
        </w:rPr>
        <w:t xml:space="preserve"> — layered plasma with photospheric, chromospheric, and coronal behaviors.</w:t>
      </w:r>
    </w:p>
    <w:p>
      <w:pPr>
        <w:pStyle w:val="ListBullet"/>
        <w:spacing w:before="20" w:after="20"/>
      </w:pPr>
      <w:r>
        <w:rPr>
          <w:b w:val="0"/>
          <w:i w:val="0"/>
          <w:sz w:val="19"/>
        </w:rPr>
      </w:r>
      <w:r>
        <w:rPr>
          <w:b/>
          <w:i w:val="0"/>
          <w:sz w:val="19"/>
        </w:rPr>
        <w:t>Achieved transmutation</w:t>
      </w:r>
      <w:r>
        <w:rPr>
          <w:b w:val="0"/>
          <w:i w:val="0"/>
          <w:sz w:val="19"/>
        </w:rPr>
        <w:t xml:space="preserve"> — input elements transformed into heavier elements without radioactivity. This is low-energy nuclear reaction (LENR), previously dismissed as "cold fusion."</w:t>
      </w:r>
    </w:p>
    <w:p>
      <w:pPr>
        <w:pStyle w:val="ListBullet"/>
        <w:spacing w:before="20" w:after="20"/>
      </w:pPr>
      <w:r>
        <w:rPr>
          <w:b w:val="0"/>
          <w:i w:val="0"/>
          <w:sz w:val="19"/>
        </w:rPr>
      </w:r>
      <w:r>
        <w:rPr>
          <w:b/>
          <w:i w:val="0"/>
          <w:sz w:val="19"/>
        </w:rPr>
        <w:t>Demonstrated over-unity characteristics</w:t>
      </w:r>
      <w:r>
        <w:rPr>
          <w:b w:val="0"/>
          <w:i w:val="0"/>
          <w:sz w:val="19"/>
        </w:rPr>
        <w:t xml:space="preserve"> — more energy output than electrical input, consistent with energy drawn from the plasma–aether interaction.</w:t>
      </w:r>
    </w:p>
    <w:p>
      <w:r>
        <w:rPr>
          <w:b w:val="0"/>
          <w:i w:val="0"/>
        </w:rPr>
        <w:t xml:space="preserve">The project was founded in 2012, ran for years, and commercialized as </w:t>
      </w:r>
      <w:r>
        <w:rPr>
          <w:b/>
          <w:i w:val="0"/>
        </w:rPr>
        <w:t>Aureon Energy Ltd.</w:t>
      </w:r>
      <w:r>
        <w:rPr>
          <w:b w:val="0"/>
          <w:i w:val="0"/>
        </w:rPr>
        <w:t xml:space="preserve"> Its results have not been refuted — they have been ignored.</w:t>
      </w:r>
    </w:p>
    <w:p>
      <w:r>
        <w:rPr>
          <w:b w:val="0"/>
          <w:i w:val="0"/>
        </w:rPr>
      </w:r>
      <w:r>
        <w:rPr>
          <w:b/>
          <w:i w:val="0"/>
        </w:rPr>
        <w:t>Why over-unity is the threat:</w:t>
      </w:r>
      <w:r>
        <w:rPr>
          <w:b w:val="0"/>
          <w:i w:val="0"/>
        </w:rPr>
        <w:t xml:space="preserve"> If a plasma device can produce more energy than it consumes by coupling to the aether, then:</w:t>
      </w:r>
    </w:p>
    <w:p>
      <w:pPr>
        <w:pStyle w:val="ListBullet"/>
        <w:spacing w:before="20" w:after="20"/>
      </w:pPr>
      <w:r>
        <w:rPr>
          <w:b w:val="0"/>
          <w:i w:val="0"/>
          <w:sz w:val="19"/>
        </w:rPr>
        <w:t>Centralized power grids are obsolete</w:t>
      </w:r>
    </w:p>
    <w:p>
      <w:pPr>
        <w:pStyle w:val="ListBullet"/>
        <w:spacing w:before="20" w:after="20"/>
      </w:pPr>
      <w:r>
        <w:rPr>
          <w:b w:val="0"/>
          <w:i w:val="0"/>
          <w:sz w:val="19"/>
        </w:rPr>
        <w:t>Fossil fuels are unnecessary</w:t>
      </w:r>
    </w:p>
    <w:p>
      <w:pPr>
        <w:pStyle w:val="ListBullet"/>
        <w:spacing w:before="20" w:after="20"/>
      </w:pPr>
      <w:r>
        <w:rPr>
          <w:b w:val="0"/>
          <w:i w:val="0"/>
          <w:sz w:val="19"/>
        </w:rPr>
        <w:t>The energy sector — the largest economic sector on Earth — collapses</w:t>
      </w:r>
    </w:p>
    <w:p>
      <w:pPr>
        <w:pStyle w:val="ListBullet"/>
        <w:spacing w:before="20" w:after="20"/>
      </w:pPr>
      <w:r>
        <w:rPr>
          <w:b w:val="0"/>
          <w:i w:val="0"/>
          <w:sz w:val="19"/>
        </w:rPr>
        <w:t>Every energy-dependent control mechanism (metering, pricing, rationing, sanctions) loses its leverage</w:t>
      </w:r>
    </w:p>
    <w:p>
      <w:r>
        <w:rPr>
          <w:b w:val="0"/>
          <w:i w:val="0"/>
        </w:rPr>
        <w:t xml:space="preserve">This is why the aether was suppressed. Not because the physics was wrong, but because the physics was </w:t>
      </w:r>
      <w:r>
        <w:rPr>
          <w:b w:val="0"/>
          <w:i/>
        </w:rPr>
        <w:t>right</w:t>
      </w:r>
      <w:r>
        <w:rPr>
          <w:b w:val="0"/>
          <w:i w:val="0"/>
        </w:rPr>
        <w:t>, and its implications were ungovernable.</w:t>
      </w:r>
    </w:p>
    <w:p>
      <w:r>
        <w:rPr>
          <w:b w:val="0"/>
          <w:i w:val="0"/>
        </w:rPr>
      </w:r>
      <w:r>
        <w:rPr>
          <w:b/>
          <w:i w:val="0"/>
        </w:rPr>
        <w:t>Connection to the other threads:</w:t>
      </w:r>
      <w:r>
        <w:rPr>
          <w:b w:val="0"/>
          <w:i w:val="0"/>
        </w:rPr>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14"/>
        <w:gridCol w:w="5158"/>
      </w:tblGrid>
      <w:tr>
        <w:tc>
          <w:tcPr>
            <w:tcW w:type="dxa" w:w="1214"/>
            <w:shd w:val="clear" w:color="auto" w:fill="F0F0F0"/>
          </w:tcPr>
          <w:p>
            <w:pPr>
              <w:spacing w:before="20" w:after="20"/>
              <w:jc w:val="center"/>
            </w:pPr>
            <w:r>
              <w:rPr>
                <w:rFonts w:ascii="Libre Franklin" w:hAnsi="Libre Franklin"/>
                <w:b/>
                <w:sz w:val="18"/>
              </w:rPr>
              <w:t>Thread</w:t>
            </w:r>
          </w:p>
        </w:tc>
        <w:tc>
          <w:tcPr>
            <w:tcW w:type="dxa" w:w="5158"/>
            <w:shd w:val="clear" w:color="auto" w:fill="F0F0F0"/>
          </w:tcPr>
          <w:p>
            <w:pPr>
              <w:spacing w:before="20" w:after="20"/>
              <w:jc w:val="center"/>
            </w:pPr>
            <w:r>
              <w:rPr>
                <w:rFonts w:ascii="Libre Franklin" w:hAnsi="Libre Franklin"/>
                <w:b/>
                <w:sz w:val="18"/>
              </w:rPr>
              <w:t>Why suppression is necessary</w:t>
            </w:r>
          </w:p>
        </w:tc>
      </w:tr>
      <w:tr>
        <w:tc>
          <w:tcPr>
            <w:tcW w:type="dxa" w:w="1214"/>
          </w:tcPr>
          <w:p>
            <w:pPr>
              <w:spacing w:before="20" w:after="20"/>
            </w:pPr>
            <w:r>
              <w:rPr>
                <w:b w:val="0"/>
                <w:i w:val="0"/>
                <w:sz w:val="18"/>
              </w:rPr>
            </w:r>
            <w:r>
              <w:rPr>
                <w:b/>
                <w:i w:val="0"/>
                <w:sz w:val="18"/>
              </w:rPr>
              <w:t>Wireless power (Tesla)</w:t>
            </w:r>
            <w:r>
              <w:rPr>
                <w:b w:val="0"/>
                <w:i w:val="0"/>
                <w:sz w:val="18"/>
              </w:rPr>
            </w:r>
          </w:p>
        </w:tc>
        <w:tc>
          <w:tcPr>
            <w:tcW w:type="dxa" w:w="5158"/>
          </w:tcPr>
          <w:p>
            <w:pPr>
              <w:spacing w:before="20" w:after="20"/>
            </w:pPr>
            <w:r>
              <w:rPr>
                <w:b w:val="0"/>
                <w:i w:val="0"/>
                <w:sz w:val="18"/>
              </w:rPr>
              <w:t>Cannot be metered → cannot be monetized</w:t>
            </w:r>
          </w:p>
        </w:tc>
      </w:tr>
      <w:tr>
        <w:tc>
          <w:tcPr>
            <w:tcW w:type="dxa" w:w="1214"/>
          </w:tcPr>
          <w:p>
            <w:pPr>
              <w:spacing w:before="20" w:after="20"/>
            </w:pPr>
            <w:r>
              <w:rPr>
                <w:b w:val="0"/>
                <w:i w:val="0"/>
                <w:sz w:val="18"/>
              </w:rPr>
            </w:r>
            <w:r>
              <w:rPr>
                <w:b/>
                <w:i w:val="0"/>
                <w:sz w:val="18"/>
              </w:rPr>
              <w:t>Weather control</w:t>
            </w:r>
            <w:r>
              <w:rPr>
                <w:b w:val="0"/>
                <w:i w:val="0"/>
                <w:sz w:val="18"/>
              </w:rPr>
            </w:r>
          </w:p>
        </w:tc>
        <w:tc>
          <w:tcPr>
            <w:tcW w:type="dxa" w:w="5158"/>
          </w:tcPr>
          <w:p>
            <w:pPr>
              <w:spacing w:before="20" w:after="20"/>
            </w:pPr>
            <w:r>
              <w:rPr>
                <w:b w:val="0"/>
                <w:i w:val="0"/>
                <w:sz w:val="18"/>
              </w:rPr>
              <w:t>Reveals that climate is manipulable → undermines carbon-governance narrative</w:t>
            </w:r>
          </w:p>
        </w:tc>
      </w:tr>
      <w:tr>
        <w:tc>
          <w:tcPr>
            <w:tcW w:type="dxa" w:w="1214"/>
          </w:tcPr>
          <w:p>
            <w:pPr>
              <w:spacing w:before="20" w:after="20"/>
            </w:pPr>
            <w:r>
              <w:rPr>
                <w:b w:val="0"/>
                <w:i w:val="0"/>
                <w:sz w:val="18"/>
              </w:rPr>
            </w:r>
            <w:r>
              <w:rPr>
                <w:b/>
                <w:i w:val="0"/>
                <w:sz w:val="18"/>
              </w:rPr>
              <w:t>Directed energy</w:t>
            </w:r>
            <w:r>
              <w:rPr>
                <w:b w:val="0"/>
                <w:i w:val="0"/>
                <w:sz w:val="18"/>
              </w:rPr>
            </w:r>
          </w:p>
        </w:tc>
        <w:tc>
          <w:tcPr>
            <w:tcW w:type="dxa" w:w="5158"/>
          </w:tcPr>
          <w:p>
            <w:pPr>
              <w:spacing w:before="20" w:after="20"/>
            </w:pPr>
            <w:r>
              <w:rPr>
                <w:b w:val="0"/>
                <w:i w:val="0"/>
                <w:sz w:val="18"/>
              </w:rPr>
              <w:t>Reveals weapons that officially "don't exist" → liability, treaties</w:t>
            </w:r>
          </w:p>
        </w:tc>
      </w:tr>
      <w:tr>
        <w:tc>
          <w:tcPr>
            <w:tcW w:type="dxa" w:w="1214"/>
          </w:tcPr>
          <w:p>
            <w:pPr>
              <w:spacing w:before="20" w:after="20"/>
            </w:pPr>
            <w:r>
              <w:rPr>
                <w:b w:val="0"/>
                <w:i w:val="0"/>
                <w:sz w:val="18"/>
              </w:rPr>
            </w:r>
            <w:r>
              <w:rPr>
                <w:b/>
                <w:i w:val="0"/>
                <w:sz w:val="18"/>
              </w:rPr>
              <w:t>CERN/portals</w:t>
            </w:r>
            <w:r>
              <w:rPr>
                <w:b w:val="0"/>
                <w:i w:val="0"/>
                <w:sz w:val="18"/>
              </w:rPr>
            </w:r>
          </w:p>
        </w:tc>
        <w:tc>
          <w:tcPr>
            <w:tcW w:type="dxa" w:w="5158"/>
          </w:tcPr>
          <w:p>
            <w:pPr>
              <w:spacing w:before="20" w:after="20"/>
            </w:pPr>
            <w:r>
              <w:rPr>
                <w:b w:val="0"/>
                <w:i w:val="0"/>
                <w:sz w:val="18"/>
              </w:rPr>
              <w:t>Reveals that the aether is manipulable → validates Tesla, invalidates a century of physics</w:t>
            </w:r>
          </w:p>
        </w:tc>
      </w:tr>
      <w:tr>
        <w:tc>
          <w:tcPr>
            <w:tcW w:type="dxa" w:w="1214"/>
          </w:tcPr>
          <w:p>
            <w:pPr>
              <w:spacing w:before="20" w:after="20"/>
            </w:pPr>
            <w:r>
              <w:rPr>
                <w:b w:val="0"/>
                <w:i w:val="0"/>
                <w:sz w:val="18"/>
              </w:rPr>
            </w:r>
            <w:r>
              <w:rPr>
                <w:b/>
                <w:i w:val="0"/>
                <w:sz w:val="18"/>
              </w:rPr>
              <w:t>Over-unity (SAFIRE)</w:t>
            </w:r>
            <w:r>
              <w:rPr>
                <w:b w:val="0"/>
                <w:i w:val="0"/>
                <w:sz w:val="18"/>
              </w:rPr>
            </w:r>
          </w:p>
        </w:tc>
        <w:tc>
          <w:tcPr>
            <w:tcW w:type="dxa" w:w="5158"/>
          </w:tcPr>
          <w:p>
            <w:pPr>
              <w:spacing w:before="20" w:after="20"/>
            </w:pPr>
            <w:r>
              <w:rPr>
                <w:b w:val="0"/>
                <w:i w:val="0"/>
                <w:sz w:val="18"/>
              </w:rPr>
              <w:t>Renders entire energy sector obsolete → existential threat to power structures</w:t>
            </w:r>
          </w:p>
        </w:tc>
      </w:tr>
    </w:tbl>
    <w:p/>
    <w:p>
      <w:pPr>
        <w:pBdr>
          <w:bottom w:val="single" w:sz="6" w:space="1" w:color="CCCCCC"/>
        </w:pBdr>
      </w:pPr>
    </w:p>
    <w:p>
      <w:pPr>
        <w:pStyle w:val="Heading2"/>
      </w:pPr>
      <w:r>
        <w:t>Thread 5: Remote Viewing → Consciousness → The Aether as Medium of Mind</w:t>
      </w:r>
    </w:p>
    <w:p>
      <w:r>
        <w:rPr>
          <w:b w:val="0"/>
          <w:i w:val="0"/>
        </w:rPr>
        <w:t xml:space="preserve">The CIA's Project Stargate (1972–1995) employed remote viewers to gather intelligence on targets including Soviet military installations, hostage locations, and — notably — </w:t>
      </w:r>
      <w:r>
        <w:rPr>
          <w:b/>
          <w:i w:val="0"/>
        </w:rPr>
        <w:t>Mars</w:t>
      </w:r>
      <w:r>
        <w:rPr>
          <w:b w:val="0"/>
          <w:i w:val="0"/>
        </w:rPr>
        <w:t>. The 1984 Mars session (viewer: Joe McMoneagle) described structures, beings, and environmental conditions that correspond to no known Mars data at the time but align with later discoveries.</w:t>
      </w:r>
    </w:p>
    <w:p>
      <w:r>
        <w:rPr>
          <w:b w:val="0"/>
          <w:i w:val="0"/>
        </w:rPr>
        <w:t>If the aether is a physical medium and consciousness is a field phenomenon propagating through it, then remote viewing is not paranormal. It is action-at-a-distance through a medium — the same physics as radio, at a different frequency and involving a biological transceiver (the brain).</w:t>
      </w:r>
    </w:p>
    <w:p>
      <w:r>
        <w:rPr>
          <w:b w:val="0"/>
          <w:i w:val="0"/>
        </w:rPr>
        <w:t xml:space="preserve">Tesla stated: </w:t>
      </w:r>
      <w:r>
        <w:rPr>
          <w:b w:val="0"/>
          <w:i/>
        </w:rPr>
        <w:t>"The day science begins to study non-physical phenomena, it will make more progress in one century than in all the previous centuries of its existence."</w:t>
      </w:r>
    </w:p>
    <w:p>
      <w:r>
        <w:rPr>
          <w:b w:val="0"/>
          <w:i w:val="0"/>
        </w:rPr>
        <w:t>The suppression of the aether is simultaneously:</w:t>
      </w:r>
    </w:p>
    <w:p>
      <w:pPr>
        <w:pStyle w:val="ListBullet"/>
        <w:spacing w:before="20" w:after="20"/>
      </w:pPr>
      <w:r>
        <w:rPr>
          <w:b w:val="0"/>
          <w:i w:val="0"/>
          <w:sz w:val="19"/>
        </w:rPr>
        <w:t>A suppression of free energy</w:t>
      </w:r>
    </w:p>
    <w:p>
      <w:pPr>
        <w:pStyle w:val="ListBullet"/>
        <w:spacing w:before="20" w:after="20"/>
      </w:pPr>
      <w:r>
        <w:rPr>
          <w:b w:val="0"/>
          <w:i w:val="0"/>
          <w:sz w:val="19"/>
        </w:rPr>
        <w:t>A suppression of weapons disclosure</w:t>
      </w:r>
    </w:p>
    <w:p>
      <w:pPr>
        <w:pStyle w:val="ListBullet"/>
        <w:spacing w:before="20" w:after="20"/>
      </w:pPr>
      <w:r>
        <w:rPr>
          <w:b w:val="0"/>
          <w:i w:val="0"/>
          <w:sz w:val="19"/>
        </w:rPr>
        <w:t>A suppression of the physics of consciousness</w:t>
      </w:r>
    </w:p>
    <w:p>
      <w:pPr>
        <w:pStyle w:val="ListBullet"/>
        <w:spacing w:before="20" w:after="20"/>
      </w:pPr>
      <w:r>
        <w:rPr>
          <w:b w:val="0"/>
          <w:i w:val="0"/>
          <w:sz w:val="19"/>
        </w:rPr>
        <w:t>A suppression of what the ancients described as travel between worlds</w:t>
      </w:r>
    </w:p>
    <w:p>
      <w:r>
        <w:rPr>
          <w:b w:val="0"/>
          <w:i w:val="0"/>
        </w:rPr>
        <w:t>These are not separate conspiracies. They are one engineering reality, held behind one classification wall.</w:t>
      </w:r>
    </w:p>
    <w:p>
      <w:pPr>
        <w:pStyle w:val="Quote"/>
      </w:pPr>
      <w:r>
        <w:rPr>
          <w:b w:val="0"/>
          <w:i w:val="0"/>
          <w:sz w:val="19"/>
        </w:rPr>
        <w:t xml:space="preserve">For the full investigation, see: </w:t>
      </w:r>
      <w:hyperlink r:id="rId150">
        <w:r>
          <w:rPr>
            <w:b w:val="0"/>
            <w:i w:val="0"/>
            <w:color w:val="B8860B"/>
            <w:sz w:val="19"/>
          </w:rPr>
          <w:t>Remote Viewing as Aether Physics</w:t>
        </w:r>
      </w:hyperlink>
    </w:p>
    <w:p>
      <w:pPr>
        <w:pBdr>
          <w:bottom w:val="single" w:sz="6" w:space="1" w:color="CCCCCC"/>
        </w:pBdr>
      </w:pPr>
    </w:p>
    <w:p>
      <w:pPr>
        <w:pStyle w:val="Heading2"/>
      </w:pPr>
      <w:r>
        <w:t>Thread 6: Nuclear Exaggeration → Fear as Governance</w:t>
      </w:r>
    </w:p>
    <w:p>
      <w:r>
        <w:rPr>
          <w:b w:val="0"/>
          <w:i w:val="0"/>
        </w:rPr>
        <w:t xml:space="preserve">The nuclear weapons program intersects the suppressed-energy stack not through aether physics directly, but through the </w:t>
      </w:r>
      <w:r>
        <w:rPr>
          <w:b/>
          <w:i w:val="0"/>
        </w:rPr>
        <w:t>governance mechanism</w:t>
      </w:r>
      <w:r>
        <w:rPr>
          <w:b w:val="0"/>
          <w:i w:val="0"/>
        </w:rPr>
        <w:t xml:space="preserve"> — the use of fear to maintain control over energy technology:</w:t>
      </w:r>
    </w:p>
    <w:p>
      <w:pPr>
        <w:pStyle w:val="ListBullet"/>
        <w:spacing w:before="20" w:after="20"/>
      </w:pPr>
      <w:r>
        <w:rPr>
          <w:b w:val="0"/>
          <w:i w:val="0"/>
          <w:sz w:val="19"/>
        </w:rPr>
      </w:r>
      <w:r>
        <w:rPr>
          <w:b/>
          <w:i w:val="0"/>
          <w:sz w:val="19"/>
        </w:rPr>
        <w:t>Galen Windsor</w:t>
      </w:r>
      <w:r>
        <w:rPr>
          <w:b w:val="0"/>
          <w:i w:val="0"/>
          <w:sz w:val="19"/>
        </w:rPr>
        <w:t xml:space="preserve"> — former GE nuclear fuel manager — ate uranium oxide, swam in spent fuel pools, and handled plutonium bare-handed for decades with no ill effects. He argued that spent nuclear fuel is worth $10 million per ton and is deliberately mischaracterized as deadly waste to prevent civilian access.</w:t>
      </w:r>
    </w:p>
    <w:p>
      <w:pPr>
        <w:pStyle w:val="ListBullet"/>
        <w:spacing w:before="20" w:after="20"/>
      </w:pPr>
      <w:r>
        <w:rPr>
          <w:b w:val="0"/>
          <w:i w:val="0"/>
          <w:sz w:val="19"/>
        </w:rPr>
      </w:r>
      <w:r>
        <w:rPr>
          <w:b/>
          <w:i w:val="0"/>
          <w:sz w:val="19"/>
        </w:rPr>
        <w:t>Radiation hormesis</w:t>
      </w:r>
      <w:r>
        <w:rPr>
          <w:b w:val="0"/>
          <w:i w:val="0"/>
          <w:sz w:val="19"/>
        </w:rPr>
        <w:t xml:space="preserve"> — peer-reviewed studies (Kerala, India: 69,985 residents, decade-long study) show no excess cancer risk at 80× normal background radiation.</w:t>
      </w:r>
    </w:p>
    <w:p>
      <w:pPr>
        <w:pStyle w:val="ListBullet"/>
        <w:spacing w:before="20" w:after="20"/>
      </w:pPr>
      <w:r>
        <w:rPr>
          <w:b w:val="0"/>
          <w:i w:val="0"/>
          <w:sz w:val="19"/>
        </w:rPr>
        <w:t>The weapons themselves may be real but their effects systematically overstated. Hiroshima recovered in months; the "nuclear wasteland" narrative remains. The fear serves the same function as climate fear: justifying centralized governance over energy.</w:t>
      </w:r>
    </w:p>
    <w:p>
      <w:r>
        <w:rPr>
          <w:b w:val="0"/>
          <w:i w:val="0"/>
        </w:rPr>
      </w:r>
      <w:r>
        <w:rPr>
          <w:b/>
          <w:i w:val="0"/>
        </w:rPr>
        <w:t>Connection to the suppression stack:</w:t>
      </w:r>
      <w:r>
        <w:rPr>
          <w:b w:val="0"/>
          <w:i w:val="0"/>
        </w:rPr>
        <w:t xml:space="preserve"> The nuclear establishment and the aether suppression serve the same master — centralized control of energy. One says "this energy is too dangerous for you to have." The other says "this energy doesn't exist." Both prevent civilian access to power that would render existing control structures obsolete.</w:t>
      </w:r>
    </w:p>
    <w:p>
      <w:pPr>
        <w:pStyle w:val="Quote"/>
      </w:pPr>
      <w:r>
        <w:rPr>
          <w:b w:val="0"/>
          <w:i w:val="0"/>
          <w:sz w:val="19"/>
        </w:rPr>
        <w:t xml:space="preserve">For the full investigation, see: </w:t>
      </w:r>
      <w:hyperlink r:id="rId151">
        <w:r>
          <w:rPr>
            <w:b w:val="0"/>
            <w:i w:val="0"/>
            <w:color w:val="B8860B"/>
            <w:sz w:val="19"/>
          </w:rPr>
          <w:t>Nuclear Weapons Investigation</w:t>
        </w:r>
      </w:hyperlink>
    </w:p>
    <w:p>
      <w:pPr>
        <w:pBdr>
          <w:bottom w:val="single" w:sz="6" w:space="1" w:color="CCCCCC"/>
        </w:pBdr>
      </w:pPr>
    </w:p>
    <w:p>
      <w:pPr>
        <w:pStyle w:val="Heading2"/>
      </w:pPr>
      <w:r>
        <w:t>The Unified Pattern</w:t>
      </w:r>
    </w:p>
    <w:p>
      <w:r>
        <w:rPr>
          <w:b w:val="0"/>
          <w:i w:val="0"/>
        </w:rPr>
        <w:t>Every thread above follows the same five-step institutional pattern:</w:t>
      </w:r>
    </w:p>
    <w:p>
      <w:pPr>
        <w:pStyle w:val="ListNumber"/>
        <w:spacing w:before="20" w:after="20"/>
      </w:pPr>
      <w:r>
        <w:rPr>
          <w:b w:val="0"/>
          <w:i w:val="0"/>
          <w:sz w:val="19"/>
        </w:rPr>
      </w:r>
      <w:r>
        <w:rPr>
          <w:b/>
          <w:i w:val="0"/>
          <w:sz w:val="19"/>
        </w:rPr>
        <w:t>Discover</w:t>
      </w:r>
      <w:r>
        <w:rPr>
          <w:b w:val="0"/>
          <w:i w:val="0"/>
          <w:sz w:val="19"/>
        </w:rPr>
        <w:t xml:space="preserve"> — A real phenomenon is identified (aether, wireless power, weather modification, directed energy, portal physics, over-unity energy, remote viewing)</w:t>
      </w:r>
    </w:p>
    <w:p>
      <w:pPr>
        <w:pStyle w:val="ListNumber"/>
        <w:spacing w:before="20" w:after="20"/>
      </w:pPr>
      <w:r>
        <w:rPr>
          <w:b w:val="0"/>
          <w:i w:val="0"/>
          <w:sz w:val="19"/>
        </w:rPr>
      </w:r>
      <w:r>
        <w:rPr>
          <w:b/>
          <w:i w:val="0"/>
          <w:sz w:val="19"/>
        </w:rPr>
        <w:t>Classify</w:t>
      </w:r>
      <w:r>
        <w:rPr>
          <w:b w:val="0"/>
          <w:i w:val="0"/>
          <w:sz w:val="19"/>
        </w:rPr>
        <w:t xml:space="preserve"> — The discovery enters the military-industrial classification system. Post-1945, this is automatic for anything with weapons potential</w:t>
      </w:r>
    </w:p>
    <w:p>
      <w:pPr>
        <w:pStyle w:val="ListNumber"/>
        <w:spacing w:before="20" w:after="20"/>
      </w:pPr>
      <w:r>
        <w:rPr>
          <w:b w:val="0"/>
          <w:i w:val="0"/>
          <w:sz w:val="19"/>
        </w:rPr>
      </w:r>
      <w:r>
        <w:rPr>
          <w:b/>
          <w:i w:val="0"/>
          <w:sz w:val="19"/>
        </w:rPr>
        <w:t>Deny</w:t>
      </w:r>
      <w:r>
        <w:rPr>
          <w:b w:val="0"/>
          <w:i w:val="0"/>
          <w:sz w:val="19"/>
        </w:rPr>
        <w:t xml:space="preserve"> — Public-facing institutions declare the phenomenon impossible, pseudoscientific, or debunked. The specific mechanism varies (Michelson-Morley for the aether; "mass hysteria" for Havana Syndrome; "violates thermodynamics" for over-unity)</w:t>
      </w:r>
    </w:p>
    <w:p>
      <w:pPr>
        <w:pStyle w:val="ListNumber"/>
        <w:spacing w:before="20" w:after="20"/>
      </w:pPr>
      <w:r>
        <w:rPr>
          <w:b w:val="0"/>
          <w:i w:val="0"/>
          <w:sz w:val="19"/>
        </w:rPr>
      </w:r>
      <w:r>
        <w:rPr>
          <w:b/>
          <w:i w:val="0"/>
          <w:sz w:val="19"/>
        </w:rPr>
        <w:t>Deploy</w:t>
      </w:r>
      <w:r>
        <w:rPr>
          <w:b w:val="0"/>
          <w:i w:val="0"/>
          <w:sz w:val="19"/>
        </w:rPr>
        <w:t xml:space="preserve"> — The technology is used covertly (weather modification in Vietnam, directed energy against diplomats, CERN experiments under $1B/year budgets)</w:t>
      </w:r>
    </w:p>
    <w:p>
      <w:pPr>
        <w:pStyle w:val="ListNumber"/>
        <w:spacing w:before="20" w:after="20"/>
      </w:pPr>
      <w:r>
        <w:rPr>
          <w:b w:val="0"/>
          <w:i w:val="0"/>
          <w:sz w:val="19"/>
        </w:rPr>
      </w:r>
      <w:r>
        <w:rPr>
          <w:b/>
          <w:i w:val="0"/>
          <w:sz w:val="19"/>
        </w:rPr>
        <w:t>Gaslight</w:t>
      </w:r>
      <w:r>
        <w:rPr>
          <w:b w:val="0"/>
          <w:i w:val="0"/>
          <w:sz w:val="19"/>
        </w:rPr>
        <w:t xml:space="preserve"> — Anyone who connects the dots is labeled a conspiracy theorist. Fact-checkers cite official denials. The cycle reinforces itself</w:t>
      </w:r>
    </w:p>
    <w:p>
      <w:r>
        <w:rPr>
          <w:b w:val="0"/>
          <w:i w:val="0"/>
        </w:rPr>
      </w:r>
      <w:r>
        <w:rPr>
          <w:b/>
          <w:i w:val="0"/>
        </w:rPr>
        <w:t>The aether is the keystone.</w:t>
      </w:r>
      <w:r>
        <w:rPr>
          <w:b w:val="0"/>
          <w:i w:val="0"/>
        </w:rPr>
        <w:t xml:space="preserve"> Acknowledging its existence connects wireless power to weather control to directed energy to portals to consciousness to free energy. The entire control structure depends on keeping these threads separate in the public mind. This appendix puts them on one page.</w:t>
      </w:r>
    </w:p>
    <w:p>
      <w:pPr>
        <w:pBdr>
          <w:bottom w:val="single" w:sz="6" w:space="1" w:color="CCCCCC"/>
        </w:pBdr>
      </w:pPr>
    </w:p>
    <w:p>
      <w:pPr>
        <w:pStyle w:val="Heading2"/>
      </w:pPr>
      <w:r>
        <w:t>Cross-References</w:t>
      </w:r>
    </w:p>
    <w:p>
      <w:pPr>
        <w:pStyle w:val="ListBullet"/>
        <w:spacing w:before="20" w:after="20"/>
      </w:pPr>
      <w:hyperlink r:id="rId139">
        <w:r>
          <w:rPr>
            <w:b w:val="0"/>
            <w:i w:val="0"/>
            <w:color w:val="B8860B"/>
            <w:sz w:val="19"/>
          </w:rPr>
          <w:t>The Suppression of Maxwell and the Aether</w:t>
        </w:r>
      </w:hyperlink>
      <w:r>
        <w:rPr>
          <w:b w:val="0"/>
          <w:i w:val="0"/>
          <w:sz w:val="19"/>
        </w:rPr>
        <w:t xml:space="preserve"> — the foundational suppression</w:t>
      </w:r>
    </w:p>
    <w:p>
      <w:pPr>
        <w:pStyle w:val="ListBullet"/>
        <w:spacing w:before="20" w:after="20"/>
      </w:pPr>
      <w:hyperlink r:id="rId143">
        <w:r>
          <w:rPr>
            <w:b w:val="0"/>
            <w:i w:val="0"/>
            <w:color w:val="B8860B"/>
            <w:sz w:val="19"/>
          </w:rPr>
          <w:t>1946 CE: Weather Control</w:t>
        </w:r>
      </w:hyperlink>
      <w:r>
        <w:rPr>
          <w:b w:val="0"/>
          <w:i w:val="0"/>
          <w:sz w:val="19"/>
        </w:rPr>
        <w:t xml:space="preserve"> — atmospheric aether manipulation</w:t>
      </w:r>
    </w:p>
    <w:p>
      <w:pPr>
        <w:pStyle w:val="ListBullet"/>
        <w:spacing w:before="20" w:after="20"/>
      </w:pPr>
      <w:hyperlink r:id="rId144">
        <w:r>
          <w:rPr>
            <w:b w:val="0"/>
            <w:i w:val="0"/>
            <w:color w:val="B8860B"/>
            <w:sz w:val="19"/>
          </w:rPr>
          <w:t>2009 CE: CERN's LHC and the Portal</w:t>
        </w:r>
      </w:hyperlink>
      <w:r>
        <w:rPr>
          <w:b w:val="0"/>
          <w:i w:val="0"/>
          <w:sz w:val="19"/>
        </w:rPr>
        <w:t xml:space="preserve"> — extreme-energy aether distortion</w:t>
      </w:r>
    </w:p>
    <w:p>
      <w:pPr>
        <w:pStyle w:val="ListBullet"/>
        <w:spacing w:before="20" w:after="20"/>
      </w:pPr>
      <w:hyperlink r:id="rId145">
        <w:r>
          <w:rPr>
            <w:b w:val="0"/>
            <w:i w:val="0"/>
            <w:color w:val="B8860B"/>
            <w:sz w:val="19"/>
          </w:rPr>
          <w:t>Challenging Established Physics</w:t>
        </w:r>
      </w:hyperlink>
      <w:r>
        <w:rPr>
          <w:b w:val="0"/>
          <w:i w:val="0"/>
          <w:sz w:val="19"/>
        </w:rPr>
        <w:t xml:space="preserve"> — SAFIRE, over-unity</w:t>
      </w:r>
    </w:p>
    <w:p>
      <w:pPr>
        <w:pStyle w:val="ListBullet"/>
        <w:spacing w:before="20" w:after="20"/>
      </w:pPr>
      <w:hyperlink r:id="rId146">
        <w:r>
          <w:rPr>
            <w:b w:val="0"/>
            <w:i w:val="0"/>
            <w:color w:val="B8860B"/>
            <w:sz w:val="19"/>
          </w:rPr>
          <w:t>Nuclear Energy and the "Bomb"</w:t>
        </w:r>
      </w:hyperlink>
      <w:r>
        <w:rPr>
          <w:b w:val="0"/>
          <w:i w:val="0"/>
          <w:sz w:val="19"/>
        </w:rPr>
        <w:t xml:space="preserve"> — fear-based energy governance</w:t>
      </w:r>
    </w:p>
    <w:p>
      <w:pPr>
        <w:pStyle w:val="ListBullet"/>
        <w:spacing w:before="20" w:after="20"/>
      </w:pPr>
      <w:hyperlink r:id="rId93">
        <w:r>
          <w:rPr>
            <w:b w:val="0"/>
            <w:i w:val="0"/>
            <w:color w:val="B8860B"/>
            <w:sz w:val="19"/>
          </w:rPr>
          <w:t>Known Contacts with Mars</w:t>
        </w:r>
      </w:hyperlink>
      <w:r>
        <w:rPr>
          <w:b w:val="0"/>
          <w:i w:val="0"/>
          <w:sz w:val="19"/>
        </w:rPr>
        <w:t xml:space="preserve"> — remote viewing as aether physics</w:t>
      </w:r>
    </w:p>
    <w:p>
      <w:pPr>
        <w:pStyle w:val="ListBullet"/>
        <w:spacing w:before="20" w:after="20"/>
      </w:pPr>
      <w:hyperlink r:id="rId152">
        <w:r>
          <w:rPr>
            <w:b w:val="0"/>
            <w:i w:val="0"/>
            <w:color w:val="B8860B"/>
            <w:sz w:val="19"/>
          </w:rPr>
          <w:t>19th Century Weapons and the Declassification Thesis</w:t>
        </w:r>
      </w:hyperlink>
      <w:r>
        <w:rPr>
          <w:b w:val="0"/>
          <w:i w:val="0"/>
          <w:sz w:val="19"/>
        </w:rPr>
        <w:t xml:space="preserve"> — the pattern of controlled release</w:t>
      </w:r>
    </w:p>
    <w:p>
      <w:pPr>
        <w:pStyle w:val="ListBullet"/>
        <w:spacing w:before="20" w:after="20"/>
      </w:pPr>
      <w:hyperlink r:id="rId49">
        <w:r>
          <w:rPr>
            <w:b w:val="0"/>
            <w:i w:val="0"/>
            <w:color w:val="B8860B"/>
            <w:sz w:val="19"/>
          </w:rPr>
          <w:t>Operation Mockingbird</w:t>
        </w:r>
      </w:hyperlink>
      <w:r>
        <w:rPr>
          <w:b w:val="0"/>
          <w:i w:val="0"/>
          <w:sz w:val="19"/>
        </w:rPr>
        <w:t xml:space="preserve"> — institutional narrative control</w:t>
      </w:r>
    </w:p>
    <w:p>
      <w:pPr>
        <w:pStyle w:val="Heading3"/>
      </w:pPr>
      <w:r>
        <w:t>Investigations</w:t>
      </w:r>
    </w:p>
    <w:p>
      <w:pPr>
        <w:pStyle w:val="ListBullet"/>
        <w:spacing w:before="20" w:after="20"/>
      </w:pPr>
      <w:hyperlink r:id="rId147">
        <w:r>
          <w:rPr>
            <w:b w:val="0"/>
            <w:i w:val="0"/>
            <w:color w:val="B8860B"/>
            <w:sz w:val="19"/>
          </w:rPr>
          <w:t>Weather Modification Investigation</w:t>
        </w:r>
      </w:hyperlink>
    </w:p>
    <w:p>
      <w:pPr>
        <w:pStyle w:val="ListBullet"/>
        <w:spacing w:before="20" w:after="20"/>
      </w:pPr>
      <w:hyperlink r:id="rId148">
        <w:r>
          <w:rPr>
            <w:b w:val="0"/>
            <w:i w:val="0"/>
            <w:color w:val="B8860B"/>
            <w:sz w:val="19"/>
          </w:rPr>
          <w:t>Havana Syndrome Investigation</w:t>
        </w:r>
      </w:hyperlink>
    </w:p>
    <w:p>
      <w:pPr>
        <w:pStyle w:val="ListBullet"/>
        <w:spacing w:before="20" w:after="20"/>
      </w:pPr>
      <w:hyperlink r:id="rId149">
        <w:r>
          <w:rPr>
            <w:b w:val="0"/>
            <w:i w:val="0"/>
            <w:color w:val="B8860B"/>
            <w:sz w:val="19"/>
          </w:rPr>
          <w:t>CERN &amp; Portal Technology</w:t>
        </w:r>
      </w:hyperlink>
    </w:p>
    <w:p>
      <w:pPr>
        <w:pStyle w:val="ListBullet"/>
        <w:spacing w:before="20" w:after="20"/>
      </w:pPr>
      <w:hyperlink r:id="rId153">
        <w:r>
          <w:rPr>
            <w:b w:val="0"/>
            <w:i w:val="0"/>
            <w:color w:val="B8860B"/>
            <w:sz w:val="19"/>
          </w:rPr>
          <w:t>The Burden of Proof: Aether Debate</w:t>
        </w:r>
      </w:hyperlink>
    </w:p>
    <w:p>
      <w:pPr>
        <w:pStyle w:val="ListBullet"/>
        <w:spacing w:before="20" w:after="20"/>
      </w:pPr>
      <w:hyperlink r:id="rId151">
        <w:r>
          <w:rPr>
            <w:b w:val="0"/>
            <w:i w:val="0"/>
            <w:color w:val="B8860B"/>
            <w:sz w:val="19"/>
          </w:rPr>
          <w:t>Nuclear Weapons Investigation</w:t>
        </w:r>
      </w:hyperlink>
    </w:p>
    <w:p>
      <w:pPr>
        <w:pStyle w:val="ListBullet"/>
        <w:spacing w:before="20" w:after="20"/>
      </w:pPr>
      <w:hyperlink r:id="rId150">
        <w:r>
          <w:rPr>
            <w:b w:val="0"/>
            <w:i w:val="0"/>
            <w:color w:val="B8860B"/>
            <w:sz w:val="19"/>
          </w:rPr>
          <w:t>Remote Viewing as Aether Physics</w:t>
        </w:r>
      </w:hyperlink>
    </w:p>
    <w:p>
      <w:pPr>
        <w:pStyle w:val="ListBullet"/>
        <w:spacing w:before="20" w:after="20"/>
      </w:pPr>
      <w:hyperlink r:id="rId154">
        <w:r>
          <w:rPr>
            <w:b w:val="0"/>
            <w:i w:val="0"/>
            <w:color w:val="B8860B"/>
            <w:sz w:val="19"/>
          </w:rPr>
          <w:t>SAFIRE Project Archive</w:t>
        </w:r>
      </w:hyperlink>
    </w:p>
    <w:p/>
    <w:p>
      <w:pPr>
        <w:sectPr>
          <w:headerReference w:type="default" r:id="rId141"/>
          <w:footerReference w:type="default" r:id="rId142"/>
          <w:pgSz w:w="8640" w:h="12960"/>
          <w:pgMar w:top="1020" w:right="1134" w:bottom="1134" w:left="1134" w:header="720" w:footer="720" w:gutter="0"/>
          <w:cols w:space="720"/>
          <w:titlePg/>
          <w:docGrid w:linePitch="360"/>
        </w:sectPr>
      </w:pPr>
    </w:p>
    <w:p>
      <w:pPr>
        <w:pStyle w:val="Heading2"/>
      </w:pPr>
      <w:r>
        <w:rPr>
          <w:b/>
        </w:rPr>
        <w:t>Chapter 9: Population Control: A Timeline (15th–21st Centuries)</w:t>
      </w:r>
    </w:p>
    <w:p>
      <w:r>
        <w:rPr>
          <w:b w:val="0"/>
          <w:i w:val="0"/>
        </w:rPr>
        <w:t xml:space="preserve">This appendix expands on </w:t>
      </w:r>
      <w:hyperlink r:id="rId48">
        <w:r>
          <w:rPr>
            <w:b w:val="0"/>
            <w:i w:val="0"/>
            <w:color w:val="B8860B"/>
          </w:rPr>
          <w:t>Population Control: From 1492 to the Technocratic Grid</w:t>
        </w:r>
      </w:hyperlink>
      <w:r>
        <w:rPr>
          <w:b w:val="0"/>
          <w:i w:val="0"/>
        </w:rPr>
        <w:t>. It documents the recurring pattern — since the first major man-made apocalypse of 1492 — of periodic population reduction to restore Deep State order or engineer cultural revolution.</w:t>
      </w:r>
    </w:p>
    <w:p>
      <w:pPr>
        <w:pBdr>
          <w:bottom w:val="single" w:sz="6" w:space="1" w:color="CCCCCC"/>
        </w:pBdr>
      </w:pPr>
    </w:p>
    <w:p>
      <w:pPr>
        <w:pStyle w:val="Heading2"/>
      </w:pPr>
      <w:r>
        <w:t>15th Century: The First Man-Made Apocalypse</w:t>
      </w:r>
    </w:p>
    <w:p>
      <w:r>
        <w:rPr>
          <w:b w:val="0"/>
          <w:i w:val="0"/>
        </w:rPr>
      </w:r>
      <w:hyperlink r:id="rId157">
        <w:r>
          <w:rPr>
            <w:b/>
            <w:i w:val="0"/>
            <w:color w:val="B8860B"/>
          </w:rPr>
          <w:t>The Apocalypse Crusade</w:t>
        </w:r>
      </w:hyperlink>
      <w:r>
        <w:rPr>
          <w:b/>
          <w:i w:val="0"/>
        </w:rPr>
        <w:t xml:space="preserve"> (1492)</w:t>
      </w:r>
      <w:r>
        <w:rPr>
          <w:b w:val="0"/>
          <w:i w:val="0"/>
        </w:rPr>
        <w:t xml:space="preserve"> — The Rus/Ottoman invasion of Europe represents the first major documented population-control operation. Fomenko identifies it as a deliberate campaign: disease (venereal plagues from bacchanalian cults) spread along trade routes; the Khans chose to "wipe out the diseased population using military force." The Crusade swept through Western Europe, converting or killing populations, transforming the Hordian Empire into a slave empire under Deep State influence. Hordian troops attacked from Siberia into Alaska and south through the Americas — remembered as Aztec genocide of the Mayans. The pattern: disease magnifies fear, panic produces reordering of authority, populations are culled or subordinated. This template would repeat for five centuries.</w:t>
      </w:r>
    </w:p>
    <w:p>
      <w:pPr>
        <w:pBdr>
          <w:bottom w:val="single" w:sz="6" w:space="1" w:color="CCCCCC"/>
        </w:pBdr>
      </w:pPr>
    </w:p>
    <w:p>
      <w:pPr>
        <w:pStyle w:val="Heading2"/>
      </w:pPr>
      <w:r>
        <w:t>17th Century: Predicted Apocalypse and Displacement</w:t>
      </w:r>
    </w:p>
    <w:p>
      <w:r>
        <w:rPr>
          <w:b w:val="0"/>
          <w:i w:val="0"/>
        </w:rPr>
      </w:r>
      <w:hyperlink r:id="rId158">
        <w:r>
          <w:rPr>
            <w:b/>
            <w:i w:val="0"/>
            <w:color w:val="B8860B"/>
          </w:rPr>
          <w:t>London Burns to the Ground</w:t>
        </w:r>
      </w:hyperlink>
      <w:r>
        <w:rPr>
          <w:b/>
          <w:i w:val="0"/>
        </w:rPr>
        <w:t xml:space="preserve"> (Sept 2–6, 1666)</w:t>
      </w:r>
      <w:r>
        <w:rPr>
          <w:b w:val="0"/>
          <w:i w:val="0"/>
        </w:rPr>
        <w:t xml:space="preserve"> — The Great Fire of London was a predicted apocalypse. It coincided with the end of the Great Plague (1664–1666), the Cestui Que Vie Act of 1666, and the replacement of medieval London with a regularized street grid. While direct loss of life was limited, the event produced </w:t>
      </w:r>
      <w:r>
        <w:rPr>
          <w:b/>
          <w:i w:val="0"/>
        </w:rPr>
        <w:t>mass displacement</w:t>
      </w:r>
      <w:r>
        <w:rPr>
          <w:b w:val="0"/>
          <w:i w:val="0"/>
        </w:rPr>
        <w:t xml:space="preserve"> and reorganization of the city into a Deep State financial hub. The Cestui Que Vie Act created the legal presumption that persons absent from estate for seven years could be declared legally dead — with estates administered by others. Vatican-influenced canon law deemed native sovereigns "dead at sea," removing sovereignty via birth certificates and creating the secret cestui que vie trust. London became the staging ground for a pattern the Deep State would repeat worldwide: displace populations through catastrophe or war, then convert sovereign natives into property of the state. The cestui que vie trust — converting sovereign natives into property of the state at birth via birth certificate — extends this mechanism to the present.</w:t>
      </w:r>
    </w:p>
    <w:p>
      <w:pPr>
        <w:pBdr>
          <w:bottom w:val="single" w:sz="6" w:space="1" w:color="CCCCCC"/>
        </w:pBdr>
      </w:pPr>
    </w:p>
    <w:p>
      <w:pPr>
        <w:pStyle w:val="Heading2"/>
      </w:pPr>
      <w:r>
        <w:t>19th–20th Century: Institutional Suppression</w:t>
      </w:r>
    </w:p>
    <w:p>
      <w:r>
        <w:rPr>
          <w:b w:val="0"/>
          <w:i w:val="0"/>
        </w:rPr>
      </w:r>
      <w:hyperlink r:id="rId140">
        <w:r>
          <w:rPr>
            <w:b/>
            <w:i w:val="0"/>
            <w:color w:val="B8860B"/>
          </w:rPr>
          <w:t>The Flexner Report</w:t>
        </w:r>
      </w:hyperlink>
      <w:r>
        <w:rPr>
          <w:b/>
          <w:i w:val="0"/>
        </w:rPr>
        <w:t xml:space="preserve"> (1910)</w:t>
      </w:r>
      <w:r>
        <w:rPr>
          <w:b w:val="0"/>
          <w:i w:val="0"/>
        </w:rPr>
        <w:t xml:space="preserve"> — Rockefeller and Carnegie funding restructured American medical education to exclude electrotherapy, vitalism, homeopathy, and any model of "energy in the body." Schools teaching bioelectric medicine were defunded; physicians using electronic devices were criminalized. The result: generations denied health-extending science. Population control through </w:t>
      </w:r>
      <w:r>
        <w:rPr>
          <w:b/>
          <w:i w:val="0"/>
        </w:rPr>
        <w:t>suppressed medicine</w:t>
      </w:r>
      <w:r>
        <w:rPr>
          <w:b w:val="0"/>
          <w:i w:val="0"/>
        </w:rPr>
        <w:t xml:space="preserve"> — life and healing withheld by institutional gatekeeping.</w:t>
      </w:r>
    </w:p>
    <w:p>
      <w:r>
        <w:rPr>
          <w:b w:val="0"/>
          <w:i w:val="0"/>
        </w:rPr>
      </w:r>
      <w:hyperlink r:id="rId159">
        <w:r>
          <w:rPr>
            <w:b/>
            <w:i w:val="0"/>
            <w:color w:val="B8860B"/>
          </w:rPr>
          <w:t>Orphan Trains, Trail of Tears, Siberian Exile</w:t>
        </w:r>
      </w:hyperlink>
      <w:r>
        <w:rPr>
          <w:b w:val="0"/>
          <w:i w:val="0"/>
        </w:rPr>
        <w:t xml:space="preserve"> — Mass displacement and family destruction as population-control mechanisms. Indigenous removal, children shipped to frontier families, political dissidents exiled — all convert populations into controllable assets.</w:t>
      </w:r>
    </w:p>
    <w:p>
      <w:pPr>
        <w:pBdr>
          <w:bottom w:val="single" w:sz="6" w:space="1" w:color="CCCCCC"/>
        </w:pBdr>
      </w:pPr>
    </w:p>
    <w:p>
      <w:pPr>
        <w:pStyle w:val="Heading2"/>
      </w:pPr>
      <w:r>
        <w:t>21st Century: Soft and Hard Attrition</w:t>
      </w:r>
    </w:p>
    <w:p>
      <w:r>
        <w:rPr>
          <w:b w:val="0"/>
          <w:i w:val="0"/>
        </w:rPr>
      </w:r>
      <w:r>
        <w:rPr>
          <w:b/>
          <w:i w:val="0"/>
        </w:rPr>
        <w:t>Direct poisoning</w:t>
      </w:r>
      <w:r>
        <w:rPr>
          <w:b w:val="0"/>
          <w:i w:val="0"/>
        </w:rPr>
        <w:t xml:space="preserve"> — Food adulteration, pollution, questionable vaccines, harmful radiation (medical over-imaging, EMF saturation). No declared war; attrition through contaminated supply chains.</w:t>
      </w:r>
    </w:p>
    <w:p>
      <w:r>
        <w:rPr>
          <w:b w:val="0"/>
          <w:i w:val="0"/>
        </w:rPr>
      </w:r>
      <w:r>
        <w:rPr>
          <w:b/>
          <w:i w:val="0"/>
        </w:rPr>
        <w:t>Engineered scarcity</w:t>
      </w:r>
      <w:r>
        <w:rPr>
          <w:b w:val="0"/>
          <w:i w:val="0"/>
        </w:rPr>
        <w:t xml:space="preserve"> — Food shortage, starvation, bee population collapse, ecosystem degradation. Solar-dimming proposals (blocking the sun to prevent crops). Herbicide spraying that kills or contaminates harvests. The Gaza conflict exemplifies </w:t>
      </w:r>
      <w:r>
        <w:rPr>
          <w:b/>
          <w:i w:val="0"/>
        </w:rPr>
        <w:t>attrition through denial</w:t>
      </w:r>
      <w:r>
        <w:rPr>
          <w:b w:val="0"/>
          <w:i w:val="0"/>
        </w:rPr>
        <w:t xml:space="preserve"> — food, water, and medicine withheld until populations break.</w:t>
      </w:r>
    </w:p>
    <w:p>
      <w:r>
        <w:rPr>
          <w:b w:val="0"/>
          <w:i w:val="0"/>
        </w:rPr>
      </w:r>
      <w:r>
        <w:rPr>
          <w:b/>
          <w:i w:val="0"/>
        </w:rPr>
        <w:t>Reproductive surrender</w:t>
      </w:r>
      <w:r>
        <w:rPr>
          <w:b w:val="0"/>
          <w:i w:val="0"/>
        </w:rPr>
        <w:t xml:space="preserve"> — Encouragement to forgo families, voluntary sterilization, framing children as burdens. Dependency on state and technology replaces family bonds.</w:t>
      </w:r>
    </w:p>
    <w:p>
      <w:r>
        <w:rPr>
          <w:b w:val="0"/>
          <w:i w:val="0"/>
        </w:rPr>
      </w:r>
      <w:r>
        <w:rPr>
          <w:b/>
          <w:i w:val="0"/>
        </w:rPr>
        <w:t>Body modification and implants</w:t>
      </w:r>
      <w:r>
        <w:rPr>
          <w:b w:val="0"/>
          <w:i w:val="0"/>
        </w:rPr>
        <w:t xml:space="preserve"> — Piercings, tattoos, surgical augmentation, chip and hardware insertion. Populations bound to master technology; lower classes as in </w:t>
      </w:r>
      <w:r>
        <w:rPr>
          <w:b w:val="0"/>
          <w:i/>
        </w:rPr>
        <w:t>War of the Worlds</w:t>
      </w:r>
      <w:r>
        <w:rPr>
          <w:b w:val="0"/>
          <w:i w:val="0"/>
        </w:rPr>
        <w:t xml:space="preserve"> — essentially slaves dependent on those who control the machines. The end goal: resistance impossible and unthinkable.</w:t>
      </w:r>
    </w:p>
    <w:p>
      <w:r>
        <w:rPr>
          <w:b w:val="0"/>
          <w:i w:val="0"/>
        </w:rPr>
        <w:t xml:space="preserve">For </w:t>
      </w:r>
      <w:r>
        <w:rPr>
          <w:b w:val="0"/>
          <w:i/>
        </w:rPr>
        <w:t>Children of Men</w:t>
      </w:r>
      <w:r>
        <w:rPr>
          <w:b w:val="0"/>
          <w:i w:val="0"/>
        </w:rPr>
        <w:t xml:space="preserve"> (2006) as predictive programming, see </w:t>
      </w:r>
      <w:hyperlink r:id="rId11">
        <w:r>
          <w:rPr>
            <w:b w:val="0"/>
            <w:i w:val="0"/>
            <w:color w:val="B8860B"/>
          </w:rPr>
          <w:t>Predictive Programming in Film, Television, and Games</w:t>
        </w:r>
      </w:hyperlink>
      <w:r>
        <w:rPr>
          <w:b w:val="0"/>
          <w:i w:val="0"/>
        </w:rPr>
        <w:t>.</w:t>
      </w:r>
    </w:p>
    <w:p>
      <w:pPr>
        <w:pBdr>
          <w:bottom w:val="single" w:sz="6" w:space="1" w:color="CCCCCC"/>
        </w:pBdr>
      </w:pPr>
    </w:p>
    <w:p>
      <w:pPr>
        <w:pStyle w:val="Heading2"/>
      </w:pPr>
      <w:r>
        <w:t>Georgia Guidestones (1980–2022)</w:t>
      </w:r>
    </w:p>
    <w:p>
      <w:r>
        <w:rPr>
          <w:b w:val="0"/>
          <w:i w:val="0"/>
        </w:rPr>
        <w:t>The Georgia Guidestones inscribed in eight languages: "Maintain humanity under 500,000,000 in perpetual balance with nature." The stones were destroyed in 2022 — but the directive they announced has been operational for centuries. Population control is not future speculation; it is documented policy, executed through war, plague, displacement, suppressed medicine, and engineered scarcity.</w:t>
      </w:r>
    </w:p>
    <w:p>
      <w:pPr>
        <w:pBdr>
          <w:bottom w:val="single" w:sz="6" w:space="1" w:color="CCCCCC"/>
        </w:pBdr>
      </w:pPr>
    </w:p>
    <w:p>
      <w:pPr>
        <w:pStyle w:val="Heading2"/>
      </w:pPr>
      <w:r>
        <w:t>Cross-References</w:t>
      </w:r>
    </w:p>
    <w:p>
      <w:pPr>
        <w:pStyle w:val="ListBullet"/>
        <w:spacing w:before="20" w:after="20"/>
      </w:pPr>
      <w:hyperlink r:id="rId48">
        <w:r>
          <w:rPr>
            <w:b w:val="0"/>
            <w:i w:val="0"/>
            <w:color w:val="B8860B"/>
            <w:sz w:val="19"/>
          </w:rPr>
          <w:t>Population Control: From 1492 to the Technocratic Grid</w:t>
        </w:r>
      </w:hyperlink>
      <w:r>
        <w:rPr>
          <w:b w:val="0"/>
          <w:i w:val="0"/>
          <w:sz w:val="19"/>
        </w:rPr>
        <w:t xml:space="preserve"> — main article</w:t>
      </w:r>
    </w:p>
    <w:p>
      <w:pPr>
        <w:pStyle w:val="ListBullet"/>
        <w:spacing w:before="20" w:after="20"/>
      </w:pPr>
      <w:hyperlink r:id="rId157">
        <w:r>
          <w:rPr>
            <w:b w:val="0"/>
            <w:i w:val="0"/>
            <w:color w:val="B8860B"/>
            <w:sz w:val="19"/>
          </w:rPr>
          <w:t>The Apocalypse Crusade</w:t>
        </w:r>
      </w:hyperlink>
    </w:p>
    <w:p>
      <w:pPr>
        <w:pStyle w:val="ListBullet"/>
        <w:spacing w:before="20" w:after="20"/>
      </w:pPr>
      <w:hyperlink r:id="rId158">
        <w:r>
          <w:rPr>
            <w:b w:val="0"/>
            <w:i w:val="0"/>
            <w:color w:val="B8860B"/>
            <w:sz w:val="19"/>
          </w:rPr>
          <w:t>London Burns to the Ground</w:t>
        </w:r>
      </w:hyperlink>
    </w:p>
    <w:p>
      <w:pPr>
        <w:pStyle w:val="ListBullet"/>
        <w:spacing w:before="20" w:after="20"/>
      </w:pPr>
      <w:hyperlink r:id="rId140">
        <w:r>
          <w:rPr>
            <w:b w:val="0"/>
            <w:i w:val="0"/>
            <w:color w:val="B8860B"/>
            <w:sz w:val="19"/>
          </w:rPr>
          <w:t>The Flexner Report</w:t>
        </w:r>
      </w:hyperlink>
    </w:p>
    <w:p>
      <w:pPr>
        <w:pStyle w:val="ListBullet"/>
        <w:spacing w:before="20" w:after="20"/>
      </w:pPr>
      <w:hyperlink r:id="rId11">
        <w:r>
          <w:rPr>
            <w:b w:val="0"/>
            <w:i w:val="0"/>
            <w:color w:val="B8860B"/>
            <w:sz w:val="19"/>
          </w:rPr>
          <w:t>Predictive Programming in Film, Television, and Games</w:t>
        </w:r>
      </w:hyperlink>
      <w:r>
        <w:rPr>
          <w:b w:val="0"/>
          <w:i w:val="0"/>
          <w:sz w:val="19"/>
        </w:rPr>
        <w:t xml:space="preserve"> — </w:t>
      </w:r>
      <w:r>
        <w:rPr>
          <w:b w:val="0"/>
          <w:i/>
          <w:sz w:val="19"/>
        </w:rPr>
        <w:t>Children of Men</w:t>
      </w:r>
      <w:r>
        <w:rPr>
          <w:b w:val="0"/>
          <w:i w:val="0"/>
          <w:sz w:val="19"/>
        </w:rPr>
        <w:t xml:space="preserve">, </w:t>
      </w:r>
      <w:r>
        <w:rPr>
          <w:b w:val="0"/>
          <w:i/>
          <w:sz w:val="19"/>
        </w:rPr>
        <w:t>Half-Life 2</w:t>
      </w:r>
      <w:r>
        <w:rPr>
          <w:b w:val="0"/>
          <w:i w:val="0"/>
          <w:sz w:val="19"/>
        </w:rPr>
        <w:t xml:space="preserve"> suppression field</w:t>
      </w:r>
    </w:p>
    <w:p/>
    <w:p>
      <w:pPr>
        <w:sectPr>
          <w:headerReference w:type="default" r:id="rId155"/>
          <w:footerReference w:type="default" r:id="rId156"/>
          <w:pgSz w:w="8640" w:h="12960"/>
          <w:pgMar w:top="1020" w:right="1134" w:bottom="1134" w:left="1134" w:header="720" w:footer="720" w:gutter="0"/>
          <w:cols w:space="720"/>
          <w:titlePg/>
          <w:docGrid w:linePitch="360"/>
        </w:sectPr>
      </w:pPr>
    </w:p>
    <w:p>
      <w:pPr>
        <w:pStyle w:val="Heading2"/>
      </w:pPr>
      <w:r>
        <w:rPr>
          <w:b/>
        </w:rPr>
        <w:t>Chapter 10: Orphan Trains, Trail of Tears, Siberian Exile — Extended Evidence</w:t>
      </w:r>
    </w:p>
    <w:p>
      <w:r>
        <w:rPr>
          <w:b w:val="0"/>
          <w:i w:val="0"/>
        </w:rPr>
        <w:t xml:space="preserve">This appendix extends </w:t>
      </w:r>
      <w:hyperlink r:id="rId162">
        <w:r>
          <w:rPr>
            <w:b w:val="0"/>
            <w:i w:val="0"/>
            <w:color w:val="B8860B"/>
          </w:rPr>
          <w:t>The Trail of Tears: A Century-Long Erasure (1758–1839+)</w:t>
        </w:r>
      </w:hyperlink>
      <w:r>
        <w:rPr>
          <w:b w:val="0"/>
          <w:i w:val="0"/>
        </w:rPr>
        <w:t xml:space="preserve"> and </w:t>
      </w:r>
      <w:hyperlink r:id="rId159">
        <w:r>
          <w:rPr>
            <w:b w:val="0"/>
            <w:i w:val="0"/>
            <w:color w:val="B8860B"/>
          </w:rPr>
          <w:t>Orphan Trains, Trail of Tears, and Exile to Siberia</w:t>
        </w:r>
      </w:hyperlink>
      <w:r>
        <w:rPr>
          <w:b w:val="0"/>
          <w:i w:val="0"/>
        </w:rPr>
        <w:t>.</w:t>
      </w:r>
    </w:p>
    <w:p>
      <w:r>
        <w:rPr>
          <w:b w:val="0"/>
          <w:i w:val="0"/>
        </w:rPr>
      </w:r>
      <w:r>
        <w:rPr>
          <w:b/>
          <w:i w:val="0"/>
        </w:rPr>
        <w:t>For the revised Trail of Tears chronology</w:t>
      </w:r>
      <w:r>
        <w:rPr>
          <w:b w:val="0"/>
          <w:i w:val="0"/>
        </w:rPr>
        <w:t xml:space="preserve"> — beginning in </w:t>
      </w:r>
      <w:r>
        <w:rPr>
          <w:b/>
          <w:i w:val="0"/>
        </w:rPr>
        <w:t>1758</w:t>
      </w:r>
      <w:r>
        <w:rPr>
          <w:b w:val="0"/>
          <w:i w:val="0"/>
        </w:rPr>
        <w:t xml:space="preserve"> with the first Indian reservation (Brotherton, NJ), sixteen years </w:t>
      </w:r>
      <w:r>
        <w:rPr>
          <w:b/>
          <w:i w:val="0"/>
        </w:rPr>
        <w:t>BEFORE</w:t>
      </w:r>
      <w:r>
        <w:rPr>
          <w:b w:val="0"/>
          <w:i w:val="0"/>
        </w:rPr>
        <w:t xml:space="preserve"> the </w:t>
      </w:r>
      <w:hyperlink r:id="rId57">
        <w:r>
          <w:rPr>
            <w:b w:val="0"/>
            <w:i w:val="0"/>
            <w:color w:val="B8860B"/>
          </w:rPr>
          <w:t>MudFlood Energetic Event</w:t>
        </w:r>
      </w:hyperlink>
      <w:r>
        <w:rPr>
          <w:b w:val="0"/>
          <w:i w:val="0"/>
        </w:rPr>
        <w:t xml:space="preserve"> (~1774) — </w:t>
      </w:r>
      <w:r>
        <w:rPr>
          <w:b/>
          <w:i w:val="0"/>
        </w:rPr>
        <w:t xml:space="preserve">see the primary article: </w:t>
      </w:r>
      <w:hyperlink r:id="rId162">
        <w:r>
          <w:rPr>
            <w:b/>
            <w:i w:val="0"/>
            <w:color w:val="B8860B"/>
          </w:rPr>
          <w:t>The Trail of Tears: A Century-Long Erasure</w:t>
        </w:r>
      </w:hyperlink>
      <w:r>
        <w:rPr>
          <w:b/>
          <w:i w:val="0"/>
        </w:rPr>
        <w:t>.</w:t>
      </w:r>
      <w:r>
        <w:rPr>
          <w:b w:val="0"/>
          <w:i w:val="0"/>
        </w:rPr>
      </w:r>
    </w:p>
    <w:p>
      <w:r>
        <w:rPr>
          <w:b w:val="0"/>
          <w:i w:val="0"/>
        </w:rPr>
        <w:t xml:space="preserve">For the main thesis (MFEE → population vacuum; displacement as population control; children as weapons), see </w:t>
      </w:r>
      <w:hyperlink r:id="rId159">
        <w:r>
          <w:rPr>
            <w:b w:val="0"/>
            <w:i w:val="0"/>
            <w:color w:val="B8860B"/>
          </w:rPr>
          <w:t>Orphan Trains, Trail of Tears, and Exile to Siberia</w:t>
        </w:r>
      </w:hyperlink>
      <w:r>
        <w:rPr>
          <w:b w:val="0"/>
          <w:i w:val="0"/>
        </w:rPr>
        <w:t>.</w:t>
      </w:r>
    </w:p>
    <w:p>
      <w:pPr>
        <w:pBdr>
          <w:bottom w:val="single" w:sz="6" w:space="1" w:color="CCCCCC"/>
        </w:pBdr>
      </w:pPr>
    </w:p>
    <w:p>
      <w:pPr>
        <w:pStyle w:val="Heading2"/>
      </w:pPr>
      <w:r>
        <w:t>Trail of Tears: Scope and Detail</w:t>
      </w:r>
    </w:p>
    <w:p>
      <w:pPr>
        <w:pStyle w:val="ListBullet"/>
        <w:spacing w:before="20" w:after="20"/>
      </w:pPr>
      <w:r>
        <w:rPr>
          <w:b w:val="0"/>
          <w:i w:val="0"/>
          <w:sz w:val="19"/>
        </w:rPr>
      </w:r>
      <w:r>
        <w:rPr>
          <w:b/>
          <w:i w:val="0"/>
          <w:sz w:val="19"/>
        </w:rPr>
        <w:t>First reservation:</w:t>
      </w:r>
      <w:r>
        <w:rPr>
          <w:b w:val="0"/>
          <w:i w:val="0"/>
          <w:sz w:val="19"/>
        </w:rPr>
        <w:t xml:space="preserve"> 1758 — Brotherton Indian Reservation, New Jersey (</w:t>
      </w:r>
      <w:r>
        <w:rPr>
          <w:b/>
          <w:i w:val="0"/>
          <w:sz w:val="19"/>
        </w:rPr>
        <w:t>before MFEE</w:t>
      </w:r>
      <w:r>
        <w:rPr>
          <w:b w:val="0"/>
          <w:i w:val="0"/>
          <w:sz w:val="19"/>
        </w:rPr>
        <w:t>)</w:t>
      </w:r>
    </w:p>
    <w:p>
      <w:pPr>
        <w:pStyle w:val="ListBullet"/>
        <w:spacing w:before="20" w:after="20"/>
      </w:pPr>
      <w:r>
        <w:rPr>
          <w:b w:val="0"/>
          <w:i w:val="0"/>
          <w:sz w:val="19"/>
        </w:rPr>
      </w:r>
      <w:r>
        <w:rPr>
          <w:b/>
          <w:i w:val="0"/>
          <w:sz w:val="19"/>
        </w:rPr>
        <w:t>Official forced relocation:</w:t>
      </w:r>
      <w:r>
        <w:rPr>
          <w:b w:val="0"/>
          <w:i w:val="0"/>
          <w:sz w:val="19"/>
        </w:rPr>
        <w:t xml:space="preserve"> 1830–1839 — ~60,000–100,000 Native Americans (Cherokee, Muscogee, Seminole, Chickasaw, Choctaw)</w:t>
      </w:r>
    </w:p>
    <w:p>
      <w:pPr>
        <w:pStyle w:val="ListBullet"/>
        <w:spacing w:before="20" w:after="20"/>
      </w:pPr>
      <w:r>
        <w:rPr>
          <w:b w:val="0"/>
          <w:i w:val="0"/>
          <w:sz w:val="19"/>
        </w:rPr>
      </w:r>
      <w:r>
        <w:rPr>
          <w:b/>
          <w:i w:val="0"/>
          <w:sz w:val="19"/>
        </w:rPr>
        <w:t>Physical trail:</w:t>
      </w:r>
      <w:r>
        <w:rPr>
          <w:b w:val="0"/>
          <w:i w:val="0"/>
          <w:sz w:val="19"/>
        </w:rPr>
        <w:t xml:space="preserve"> ~5,045 miles across nine states</w:t>
      </w:r>
    </w:p>
    <w:p>
      <w:pPr>
        <w:pStyle w:val="ListBullet"/>
        <w:spacing w:before="20" w:after="20"/>
      </w:pPr>
      <w:r>
        <w:rPr>
          <w:b w:val="0"/>
          <w:i w:val="0"/>
          <w:sz w:val="19"/>
        </w:rPr>
      </w:r>
      <w:r>
        <w:rPr>
          <w:b/>
          <w:i w:val="0"/>
          <w:sz w:val="19"/>
        </w:rPr>
        <w:t>Deaths:</w:t>
      </w:r>
      <w:r>
        <w:rPr>
          <w:b w:val="0"/>
          <w:i w:val="0"/>
          <w:sz w:val="19"/>
        </w:rPr>
        <w:t xml:space="preserve"> 13,200–16,700 estimated (official; likely higher)</w:t>
      </w:r>
    </w:p>
    <w:p>
      <w:pPr>
        <w:pStyle w:val="ListBullet"/>
        <w:spacing w:before="20" w:after="20"/>
      </w:pPr>
      <w:r>
        <w:rPr>
          <w:b w:val="0"/>
          <w:i w:val="0"/>
          <w:sz w:val="19"/>
        </w:rPr>
      </w:r>
      <w:r>
        <w:rPr>
          <w:b/>
          <w:i w:val="0"/>
          <w:sz w:val="19"/>
        </w:rPr>
        <w:t>Indian Appropriations Act:</w:t>
      </w:r>
      <w:r>
        <w:rPr>
          <w:b w:val="0"/>
          <w:i w:val="0"/>
          <w:sz w:val="19"/>
        </w:rPr>
        <w:t xml:space="preserve"> 1851 — institutionalizes federal reservation system</w:t>
      </w:r>
    </w:p>
    <w:p>
      <w:pPr>
        <w:pStyle w:val="ListBullet"/>
        <w:spacing w:before="20" w:after="20"/>
      </w:pPr>
      <w:r>
        <w:rPr>
          <w:b w:val="0"/>
          <w:i w:val="0"/>
          <w:sz w:val="19"/>
        </w:rPr>
      </w:r>
      <w:r>
        <w:rPr>
          <w:b/>
          <w:i w:val="0"/>
          <w:sz w:val="19"/>
        </w:rPr>
        <w:t>Indian boarding schools:</w:t>
      </w:r>
      <w:r>
        <w:rPr>
          <w:b w:val="0"/>
          <w:i w:val="0"/>
          <w:sz w:val="19"/>
        </w:rPr>
        <w:t xml:space="preserve"> 408 across 37 states (1819–1969). Carlisle model: "Kill the Indian, save the man" — cut hair, forbid native languages, replace tribal names, impose Christianity. 2022 Federal Indian Boarding School Initiative documented physical, emotional, sexual abuse.</w:t>
      </w:r>
    </w:p>
    <w:p>
      <w:r>
        <w:rPr>
          <w:b w:val="0"/>
          <w:i w:val="0"/>
        </w:rPr>
      </w:r>
      <w:r>
        <w:rPr>
          <w:b/>
          <w:i w:val="0"/>
        </w:rPr>
        <w:t>Total duration of Trail of Tears campaign:</w:t>
      </w:r>
      <w:r>
        <w:rPr>
          <w:b w:val="0"/>
          <w:i w:val="0"/>
        </w:rPr>
        <w:t xml:space="preserve"> 93 years (1758–1851), arguably 211 years (1758–1969).</w:t>
      </w:r>
    </w:p>
    <w:p>
      <w:r>
        <w:rPr>
          <w:b w:val="0"/>
          <w:i w:val="0"/>
        </w:rPr>
        <w:t xml:space="preserve">By 1839, Native Americans had become what we remember them as: </w:t>
      </w:r>
      <w:r>
        <w:rPr>
          <w:b/>
          <w:i w:val="0"/>
        </w:rPr>
        <w:t>without a kingdom, without technology, using sticks and stones.</w:t>
      </w:r>
      <w:r>
        <w:rPr>
          <w:b w:val="0"/>
          <w:i w:val="0"/>
        </w:rPr>
        <w:t xml:space="preserve"> This was not how they began. </w:t>
      </w:r>
      <w:r>
        <w:rPr>
          <w:b/>
          <w:i w:val="0"/>
        </w:rPr>
        <w:t>It is how they were made.</w:t>
      </w:r>
      <w:r>
        <w:rPr>
          <w:b w:val="0"/>
          <w:i w:val="0"/>
        </w:rPr>
      </w:r>
    </w:p>
    <w:p>
      <w:pPr>
        <w:pBdr>
          <w:bottom w:val="single" w:sz="6" w:space="1" w:color="CCCCCC"/>
        </w:pBdr>
      </w:pPr>
    </w:p>
    <w:p>
      <w:pPr>
        <w:pStyle w:val="Heading2"/>
      </w:pPr>
      <w:r>
        <w:t>Open Investigation: Trail to Siberia via Bering Strait</w:t>
      </w:r>
    </w:p>
    <w:p>
      <w:r>
        <w:rPr>
          <w:b w:val="0"/>
          <w:i w:val="0"/>
        </w:rPr>
        <w:t>The Trail of Tears may have been longer and larger than historians present. The strongest, most resistant populations may have been driven across the Bering Strait into Siberia, which had just opened as exile destination. Weaker, more compliant remained on reservations. No primary-source evidence found; timing is suggestive; post-MFEE Bering geography may have permitted crossing.</w:t>
      </w:r>
    </w:p>
    <w:p>
      <w:pPr>
        <w:pBdr>
          <w:bottom w:val="single" w:sz="6" w:space="1" w:color="CCCCCC"/>
        </w:pBdr>
      </w:pPr>
    </w:p>
    <w:p>
      <w:pPr>
        <w:pStyle w:val="Heading2"/>
      </w:pPr>
      <w:r>
        <w:t>Fomenko's "Wreckage" — MFEE Consistency</w:t>
      </w:r>
    </w:p>
    <w:p>
      <w:r>
        <w:rPr>
          <w:b w:val="0"/>
          <w:i w:val="0"/>
        </w:rPr>
        <w:t>Fomenko describes Pugachev aftermath as devastating "wreckage." Scale of destruction exceeds conventional warfare:</w:t>
      </w:r>
    </w:p>
    <w:p>
      <w:pPr>
        <w:pStyle w:val="ListBullet"/>
        <w:spacing w:before="20" w:after="20"/>
      </w:pPr>
      <w:r>
        <w:rPr>
          <w:b w:val="0"/>
          <w:i w:val="0"/>
          <w:sz w:val="19"/>
        </w:rPr>
        <w:t>All Hordian cities of Siberia → wasteland</w:t>
      </w:r>
    </w:p>
    <w:p>
      <w:pPr>
        <w:pStyle w:val="ListBullet"/>
        <w:spacing w:before="20" w:after="20"/>
      </w:pPr>
      <w:r>
        <w:rPr>
          <w:b w:val="0"/>
          <w:i w:val="0"/>
          <w:sz w:val="19"/>
        </w:rPr>
        <w:t>Pre-rebellion maps: flourishing kingdom; post-rebellion: uninhabitable terrain</w:t>
      </w:r>
    </w:p>
    <w:p>
      <w:pPr>
        <w:pStyle w:val="ListBullet"/>
        <w:spacing w:before="20" w:after="20"/>
      </w:pPr>
      <w:r>
        <w:rPr>
          <w:b w:val="0"/>
          <w:i w:val="0"/>
          <w:sz w:val="19"/>
        </w:rPr>
        <w:t>Tobolsk (Biblical Tubal) → prison camp</w:t>
      </w:r>
    </w:p>
    <w:p>
      <w:pPr>
        <w:pStyle w:val="ListBullet"/>
        <w:spacing w:before="20" w:after="20"/>
      </w:pPr>
      <w:r>
        <w:rPr>
          <w:b w:val="0"/>
          <w:i w:val="0"/>
          <w:sz w:val="19"/>
        </w:rPr>
        <w:t xml:space="preserve">Old maps: no Himalayas, no Grand Canyon, no Colorado River — landforms appear only </w:t>
      </w:r>
      <w:r>
        <w:rPr>
          <w:b w:val="0"/>
          <w:i/>
          <w:sz w:val="19"/>
        </w:rPr>
        <w:t>after</w:t>
      </w:r>
      <w:r>
        <w:rPr>
          <w:b w:val="0"/>
          <w:i w:val="0"/>
          <w:sz w:val="19"/>
        </w:rPr>
        <w:t xml:space="preserve"> rebellion period</w:t>
      </w:r>
    </w:p>
    <w:p>
      <w:r>
        <w:rPr>
          <w:b w:val="0"/>
          <w:i w:val="0"/>
        </w:rPr>
        <w:t xml:space="preserve">Fomenko attributes to Suvorov's campaign. Suvorov's cavalry could not melt cities or carve canyons. Destruction consistent with </w:t>
      </w:r>
      <w:hyperlink r:id="rId57">
        <w:r>
          <w:rPr>
            <w:b w:val="0"/>
            <w:i w:val="0"/>
            <w:color w:val="B8860B"/>
          </w:rPr>
          <w:t>MFEE thesis</w:t>
        </w:r>
      </w:hyperlink>
      <w:r>
        <w:rPr>
          <w:b w:val="0"/>
          <w:i w:val="0"/>
        </w:rPr>
        <w:t xml:space="preserve"> — directed energy from Mars, secondary discharge devastating both planets. </w:t>
      </w:r>
      <w:r>
        <w:rPr>
          <w:b/>
          <w:i w:val="0"/>
        </w:rPr>
        <w:t>Fomenko may be describing MFEE damage without the electrical framework.</w:t>
      </w:r>
      <w:r>
        <w:rPr>
          <w:b w:val="0"/>
          <w:i w:val="0"/>
        </w:rPr>
      </w:r>
    </w:p>
    <w:p>
      <w:pPr>
        <w:pBdr>
          <w:bottom w:val="single" w:sz="6" w:space="1" w:color="CCCCCC"/>
        </w:pBdr>
      </w:pPr>
    </w:p>
    <w:p>
      <w:pPr>
        <w:pStyle w:val="Heading2"/>
      </w:pPr>
      <w:r>
        <w:t>See Also</w:t>
      </w:r>
    </w:p>
    <w:p>
      <w:pPr>
        <w:pStyle w:val="ListBullet"/>
        <w:spacing w:before="20" w:after="20"/>
      </w:pPr>
      <w:hyperlink r:id="rId162">
        <w:r>
          <w:rPr>
            <w:b w:val="0"/>
            <w:i w:val="0"/>
            <w:color w:val="B8860B"/>
            <w:sz w:val="19"/>
          </w:rPr>
          <w:t>The Trail of Tears: A Century-Long Erasure (1758–1839+)</w:t>
        </w:r>
      </w:hyperlink>
      <w:r>
        <w:rPr>
          <w:b w:val="0"/>
          <w:i w:val="0"/>
          <w:sz w:val="19"/>
        </w:rPr>
        <w:t xml:space="preserve"> — </w:t>
      </w:r>
      <w:r>
        <w:rPr>
          <w:b/>
          <w:i w:val="0"/>
          <w:sz w:val="19"/>
        </w:rPr>
        <w:t>PRIMARY ARTICLE</w:t>
      </w:r>
      <w:r>
        <w:rPr>
          <w:b w:val="0"/>
          <w:i w:val="0"/>
          <w:sz w:val="19"/>
        </w:rPr>
      </w:r>
    </w:p>
    <w:p>
      <w:pPr>
        <w:pStyle w:val="ListBullet"/>
        <w:spacing w:before="20" w:after="20"/>
      </w:pPr>
      <w:hyperlink r:id="rId159">
        <w:r>
          <w:rPr>
            <w:b w:val="0"/>
            <w:i w:val="0"/>
            <w:color w:val="B8860B"/>
            <w:sz w:val="19"/>
          </w:rPr>
          <w:t>Orphan Trains, Trail of Tears, Siberian Exile</w:t>
        </w:r>
      </w:hyperlink>
      <w:r>
        <w:rPr>
          <w:b w:val="0"/>
          <w:i w:val="0"/>
          <w:sz w:val="19"/>
        </w:rPr>
        <w:t xml:space="preserve"> — 19th century displacement system</w:t>
      </w:r>
    </w:p>
    <w:p>
      <w:pPr>
        <w:pStyle w:val="ListBullet"/>
        <w:spacing w:before="20" w:after="20"/>
      </w:pPr>
      <w:hyperlink r:id="rId54">
        <w:r>
          <w:rPr>
            <w:b w:val="0"/>
            <w:i w:val="0"/>
            <w:color w:val="B8860B"/>
            <w:sz w:val="19"/>
          </w:rPr>
          <w:t>Pugachev Rebellion</w:t>
        </w:r>
      </w:hyperlink>
      <w:r>
        <w:rPr>
          <w:b w:val="0"/>
          <w:i w:val="0"/>
          <w:sz w:val="19"/>
        </w:rPr>
        <w:t xml:space="preserve"> | </w:t>
      </w:r>
      <w:hyperlink r:id="rId57">
        <w:r>
          <w:rPr>
            <w:b w:val="0"/>
            <w:i w:val="0"/>
            <w:color w:val="B8860B"/>
            <w:sz w:val="19"/>
          </w:rPr>
          <w:t>MudFlood</w:t>
        </w:r>
      </w:hyperlink>
    </w:p>
    <w:p>
      <w:pPr>
        <w:pStyle w:val="ListBullet"/>
        <w:spacing w:before="20" w:after="20"/>
      </w:pPr>
      <w:hyperlink r:id="rId163">
        <w:r>
          <w:rPr>
            <w:b w:val="0"/>
            <w:i w:val="0"/>
            <w:color w:val="B8860B"/>
            <w:sz w:val="19"/>
          </w:rPr>
          <w:t>Orphan Trains Investigation</w:t>
        </w:r>
      </w:hyperlink>
    </w:p>
    <w:p/>
    <w:p>
      <w:pPr>
        <w:sectPr>
          <w:headerReference w:type="default" r:id="rId160"/>
          <w:footerReference w:type="default" r:id="rId161"/>
          <w:pgSz w:w="8640" w:h="12960"/>
          <w:pgMar w:top="1020" w:right="1134" w:bottom="1134" w:left="1134" w:header="720" w:footer="720" w:gutter="0"/>
          <w:cols w:space="720"/>
          <w:titlePg/>
          <w:docGrid w:linePitch="360"/>
        </w:sectPr>
      </w:pPr>
    </w:p>
    <w:p>
      <w:pPr>
        <w:pStyle w:val="Heading2"/>
      </w:pPr>
      <w:r>
        <w:rPr>
          <w:b/>
        </w:rPr>
        <w:t>Chapter 11: Napoleonic Wars and 1812 — Extended Evidence</w:t>
      </w:r>
    </w:p>
    <w:p>
      <w:r>
        <w:rPr>
          <w:b w:val="0"/>
          <w:i w:val="0"/>
        </w:rPr>
        <w:t xml:space="preserve">This appendix extends </w:t>
      </w:r>
      <w:hyperlink r:id="rId166">
        <w:r>
          <w:rPr>
            <w:b w:val="0"/>
            <w:i w:val="0"/>
            <w:color w:val="B8860B"/>
          </w:rPr>
          <w:t>Napoleonic Wars</w:t>
        </w:r>
      </w:hyperlink>
      <w:r>
        <w:rPr>
          <w:b w:val="0"/>
          <w:i w:val="0"/>
        </w:rPr>
        <w:t xml:space="preserve"> and </w:t>
      </w:r>
      <w:hyperlink r:id="rId59">
        <w:r>
          <w:rPr>
            <w:b w:val="0"/>
            <w:i w:val="0"/>
            <w:color w:val="B8860B"/>
          </w:rPr>
          <w:t>Aftermath of 1812</w:t>
        </w:r>
      </w:hyperlink>
      <w:r>
        <w:rPr>
          <w:b w:val="0"/>
          <w:i w:val="0"/>
        </w:rPr>
        <w:t>.</w:t>
      </w:r>
    </w:p>
    <w:p>
      <w:pPr>
        <w:pBdr>
          <w:bottom w:val="single" w:sz="6" w:space="1" w:color="CCCCCC"/>
        </w:pBdr>
      </w:pPr>
    </w:p>
    <w:p>
      <w:pPr>
        <w:pStyle w:val="Heading2"/>
      </w:pPr>
      <w:r>
        <w:t>Revolutionary Prelude (1792–1797)</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32"/>
        <w:gridCol w:w="5541"/>
      </w:tblGrid>
      <w:tr>
        <w:tc>
          <w:tcPr>
            <w:tcW w:type="dxa" w:w="832"/>
            <w:shd w:val="clear" w:color="auto" w:fill="F0F0F0"/>
          </w:tcPr>
          <w:p>
            <w:pPr>
              <w:spacing w:before="20" w:after="20"/>
              <w:jc w:val="center"/>
            </w:pPr>
            <w:r>
              <w:rPr>
                <w:rFonts w:ascii="Libre Franklin" w:hAnsi="Libre Franklin"/>
                <w:b/>
                <w:sz w:val="18"/>
              </w:rPr>
              <w:t>Year</w:t>
            </w:r>
          </w:p>
        </w:tc>
        <w:tc>
          <w:tcPr>
            <w:tcW w:type="dxa" w:w="5541"/>
            <w:shd w:val="clear" w:color="auto" w:fill="F0F0F0"/>
          </w:tcPr>
          <w:p>
            <w:pPr>
              <w:spacing w:before="20" w:after="20"/>
              <w:jc w:val="center"/>
            </w:pPr>
            <w:r>
              <w:rPr>
                <w:rFonts w:ascii="Libre Franklin" w:hAnsi="Libre Franklin"/>
                <w:b/>
                <w:sz w:val="18"/>
              </w:rPr>
              <w:t>Event</w:t>
            </w:r>
          </w:p>
        </w:tc>
      </w:tr>
      <w:tr>
        <w:tc>
          <w:tcPr>
            <w:tcW w:type="dxa" w:w="832"/>
          </w:tcPr>
          <w:p>
            <w:pPr>
              <w:spacing w:before="20" w:after="20"/>
            </w:pPr>
            <w:r>
              <w:rPr>
                <w:b w:val="0"/>
                <w:i w:val="0"/>
                <w:sz w:val="18"/>
              </w:rPr>
              <w:t>1790</w:t>
            </w:r>
          </w:p>
        </w:tc>
        <w:tc>
          <w:tcPr>
            <w:tcW w:type="dxa" w:w="5541"/>
          </w:tcPr>
          <w:p>
            <w:pPr>
              <w:spacing w:before="20" w:after="20"/>
            </w:pPr>
            <w:r>
              <w:rPr>
                <w:b w:val="0"/>
                <w:i w:val="0"/>
                <w:sz w:val="18"/>
              </w:rPr>
              <w:t>France bans usury; Church taxes canceled; Church property nationalized</w:t>
            </w:r>
          </w:p>
        </w:tc>
      </w:tr>
      <w:tr>
        <w:tc>
          <w:tcPr>
            <w:tcW w:type="dxa" w:w="832"/>
          </w:tcPr>
          <w:p>
            <w:pPr>
              <w:spacing w:before="20" w:after="20"/>
            </w:pPr>
            <w:r>
              <w:rPr>
                <w:b w:val="0"/>
                <w:i w:val="0"/>
                <w:sz w:val="18"/>
              </w:rPr>
              <w:t>1792</w:t>
            </w:r>
          </w:p>
        </w:tc>
        <w:tc>
          <w:tcPr>
            <w:tcW w:type="dxa" w:w="5541"/>
          </w:tcPr>
          <w:p>
            <w:pPr>
              <w:spacing w:before="20" w:after="20"/>
            </w:pPr>
            <w:r>
              <w:rPr>
                <w:b w:val="0"/>
                <w:i w:val="0"/>
                <w:sz w:val="18"/>
              </w:rPr>
              <w:t>First Coalition (Austria, Prussia, Britain, Spain)</w:t>
            </w:r>
          </w:p>
        </w:tc>
      </w:tr>
      <w:tr>
        <w:tc>
          <w:tcPr>
            <w:tcW w:type="dxa" w:w="832"/>
          </w:tcPr>
          <w:p>
            <w:pPr>
              <w:spacing w:before="20" w:after="20"/>
            </w:pPr>
            <w:r>
              <w:rPr>
                <w:b w:val="0"/>
                <w:i w:val="0"/>
                <w:sz w:val="18"/>
              </w:rPr>
              <w:t>1793</w:t>
            </w:r>
          </w:p>
        </w:tc>
        <w:tc>
          <w:tcPr>
            <w:tcW w:type="dxa" w:w="5541"/>
          </w:tcPr>
          <w:p>
            <w:pPr>
              <w:spacing w:before="20" w:after="20"/>
            </w:pPr>
            <w:r>
              <w:rPr>
                <w:b w:val="0"/>
                <w:i w:val="0"/>
                <w:sz w:val="18"/>
              </w:rPr>
              <w:t>Royalist invasion crushed at Toulon; Napoleon gains fame</w:t>
            </w:r>
          </w:p>
        </w:tc>
      </w:tr>
      <w:tr>
        <w:tc>
          <w:tcPr>
            <w:tcW w:type="dxa" w:w="832"/>
          </w:tcPr>
          <w:p>
            <w:pPr>
              <w:spacing w:before="20" w:after="20"/>
            </w:pPr>
            <w:r>
              <w:rPr>
                <w:b w:val="0"/>
                <w:i w:val="0"/>
                <w:sz w:val="18"/>
              </w:rPr>
              <w:t>1799</w:t>
            </w:r>
          </w:p>
        </w:tc>
        <w:tc>
          <w:tcPr>
            <w:tcW w:type="dxa" w:w="5541"/>
          </w:tcPr>
          <w:p>
            <w:pPr>
              <w:spacing w:before="20" w:after="20"/>
            </w:pPr>
            <w:hyperlink r:id="rId167">
              <w:r>
                <w:rPr>
                  <w:b w:val="0"/>
                  <w:i w:val="0"/>
                  <w:color w:val="B8860B"/>
                  <w:sz w:val="18"/>
                </w:rPr>
                <w:t>Coup of 18 Brumaire</w:t>
              </w:r>
            </w:hyperlink>
          </w:p>
        </w:tc>
      </w:tr>
      <w:tr>
        <w:tc>
          <w:tcPr>
            <w:tcW w:type="dxa" w:w="832"/>
          </w:tcPr>
          <w:p>
            <w:pPr>
              <w:spacing w:before="20" w:after="20"/>
            </w:pPr>
            <w:r>
              <w:rPr>
                <w:b w:val="0"/>
                <w:i w:val="0"/>
                <w:sz w:val="18"/>
              </w:rPr>
              <w:t>1804</w:t>
            </w:r>
          </w:p>
        </w:tc>
        <w:tc>
          <w:tcPr>
            <w:tcW w:type="dxa" w:w="5541"/>
          </w:tcPr>
          <w:p>
            <w:pPr>
              <w:spacing w:before="20" w:after="20"/>
            </w:pPr>
            <w:r>
              <w:rPr>
                <w:b w:val="0"/>
                <w:i w:val="0"/>
                <w:sz w:val="18"/>
              </w:rPr>
              <w:t>Napoleon becomes Emperor</w:t>
            </w:r>
          </w:p>
        </w:tc>
      </w:tr>
    </w:tbl>
    <w:p/>
    <w:p>
      <w:r>
        <w:rPr>
          <w:b w:val="0"/>
          <w:i w:val="0"/>
        </w:rPr>
        <w:t>The Jacobins represented the same financial-revolutionary class that had transformed England. France had a military genius who reorganized chaos into state power.</w:t>
      </w:r>
    </w:p>
    <w:p>
      <w:pPr>
        <w:pBdr>
          <w:bottom w:val="single" w:sz="6" w:space="1" w:color="CCCCCC"/>
        </w:pBdr>
      </w:pPr>
    </w:p>
    <w:p>
      <w:pPr>
        <w:pStyle w:val="Heading2"/>
      </w:pPr>
      <w:r>
        <w:t>Napoleon's Egyptian Campaign (1798–1801)</w:t>
      </w:r>
    </w:p>
    <w:p>
      <w:r>
        <w:rPr>
          <w:b w:val="0"/>
          <w:i w:val="0"/>
        </w:rPr>
        <w:t xml:space="preserve">French scholars encountered ruins Scaligerian chronology claimed as "ancient Egypt" — producing the </w:t>
      </w:r>
      <w:hyperlink r:id="rId168">
        <w:r>
          <w:rPr>
            <w:b w:val="0"/>
            <w:i w:val="0"/>
            <w:color w:val="B8860B"/>
          </w:rPr>
          <w:t>Rosetta Stone</w:t>
        </w:r>
      </w:hyperlink>
      <w:r>
        <w:rPr>
          <w:b w:val="0"/>
          <w:i w:val="0"/>
        </w:rPr>
        <w:t xml:space="preserve"> and Description de l'Égypte. From the NC perspective, these ruins were far more recent; the team unknowingly documented the Hordian Imperial cemetery system.</w:t>
      </w:r>
    </w:p>
    <w:p>
      <w:pPr>
        <w:pBdr>
          <w:bottom w:val="single" w:sz="6" w:space="1" w:color="CCCCCC"/>
        </w:pBdr>
      </w:pPr>
    </w:p>
    <w:p>
      <w:pPr>
        <w:pStyle w:val="Heading2"/>
      </w:pPr>
      <w:r>
        <w:t>Russian Mountains (Montagnes Russes)</w:t>
      </w:r>
    </w:p>
    <w:p>
      <w:r>
        <w:rPr>
          <w:b w:val="0"/>
          <w:i w:val="0"/>
        </w:rPr>
        <w:t xml:space="preserve">The French encountered elaborate ice slides — massive wooden-framed ramps (20–25m) coated in ice, sleds at tremendous speed. St. Petersburg had permanent installations. The French had nothing comparable. After the occupation, French engineers built wheeled versions in Paris — the ancestor of the modern </w:t>
      </w:r>
      <w:hyperlink r:id="rId169">
        <w:r>
          <w:rPr>
            <w:b w:val="0"/>
            <w:i w:val="0"/>
            <w:color w:val="B8860B"/>
          </w:rPr>
          <w:t>roller coaster</w:t>
        </w:r>
      </w:hyperlink>
      <w:r>
        <w:rPr>
          <w:b w:val="0"/>
          <w:i w:val="0"/>
        </w:rPr>
        <w:t xml:space="preserve">. Roller coasters are still called </w:t>
      </w:r>
      <w:r>
        <w:rPr>
          <w:b w:val="0"/>
          <w:i/>
        </w:rPr>
        <w:t>"Russian Mountains"</w:t>
      </w:r>
      <w:r>
        <w:rPr>
          <w:b w:val="0"/>
          <w:i w:val="0"/>
        </w:rPr>
        <w:t xml:space="preserve"> in French, Spanish, Italian. Given Hordian engineering capabilities, these installations likely existed far longer in the east.</w:t>
      </w:r>
    </w:p>
    <w:p>
      <w:pPr>
        <w:pBdr>
          <w:bottom w:val="single" w:sz="6" w:space="1" w:color="CCCCCC"/>
        </w:pBdr>
      </w:pPr>
    </w:p>
    <w:p>
      <w:pPr>
        <w:pStyle w:val="Heading2"/>
      </w:pPr>
      <w:r>
        <w:t>Napoleon's Height and Western Technology</w:t>
      </w:r>
    </w:p>
    <w:p>
      <w:r>
        <w:rPr>
          <w:b w:val="0"/>
          <w:i w:val="0"/>
        </w:rPr>
        <w:t xml:space="preserve">Contemporary caricatures uniformly depict Napoleon as diminutive (~4'). Western populations bred smaller; height differential with Russian population was real. Western armies compensated with technology generations ahead — electromagnetic or plasma-based systems inherited from the breakaway civilization that had </w:t>
      </w:r>
      <w:hyperlink r:id="rId170">
        <w:r>
          <w:rPr>
            <w:b w:val="0"/>
            <w:i w:val="0"/>
            <w:color w:val="B8860B"/>
          </w:rPr>
          <w:t>fired on Earth from Mars</w:t>
        </w:r>
      </w:hyperlink>
      <w:r>
        <w:rPr>
          <w:b w:val="0"/>
          <w:i w:val="0"/>
        </w:rPr>
        <w:t xml:space="preserve"> during Pugachev. Floating stone airships, directed-energy siege weapons — devastating in temperate conditions, never tested against Russian winter.</w:t>
      </w:r>
    </w:p>
    <w:p/>
    <w:p>
      <w:pPr>
        <w:jc w:val="center"/>
      </w:pPr>
      <w:r>
        <w:rPr>
          <w:color w:val="B8860B"/>
          <w:sz w:val="24"/>
        </w:rPr>
        <w:t>— ✦ —</w:t>
      </w:r>
    </w:p>
    <w:p>
      <w:r>
        <w:rPr>
          <w:b w:val="0"/>
          <w:i w:val="0"/>
        </w:rPr>
        <w:t xml:space="preserve">This appendix extends </w:t>
      </w:r>
      <w:hyperlink r:id="rId171">
        <w:r>
          <w:rPr>
            <w:b w:val="0"/>
            <w:i w:val="0"/>
            <w:color w:val="B8860B"/>
          </w:rPr>
          <w:t>Napoleon invades Russia</w:t>
        </w:r>
      </w:hyperlink>
      <w:r>
        <w:rPr>
          <w:b w:val="0"/>
          <w:i w:val="0"/>
        </w:rPr>
        <w:t>. For the stub and thesis, see the main article.</w:t>
      </w:r>
    </w:p>
    <w:p>
      <w:pPr>
        <w:pBdr>
          <w:bottom w:val="single" w:sz="6" w:space="1" w:color="CCCCCC"/>
        </w:pBdr>
      </w:pPr>
    </w:p>
    <w:p>
      <w:r>
        <w:rPr>
          <w:b w:val="0"/>
          <w:i w:val="0"/>
        </w:rPr>
        <w:t xml:space="preserve">Napoleon's invasion of Russia in 1812 — the </w:t>
      </w:r>
      <w:hyperlink r:id="rId172">
        <w:r>
          <w:rPr>
            <w:b w:val="0"/>
            <w:i w:val="0"/>
            <w:color w:val="B8860B"/>
          </w:rPr>
          <w:t>Grande Armée</w:t>
        </w:r>
      </w:hyperlink>
      <w:r>
        <w:rPr>
          <w:b w:val="0"/>
          <w:i w:val="0"/>
        </w:rPr>
        <w:t>'s catastrophic six-month campaign across the same territories that had been Moscow Tartary just forty years earlier — is one of the most consequential military events in European history. The conventional narrative presents it as Napoleon's fatal overreach: an army of 680,000 that entered Russia and returned as fewer than 100,000 survivors.</w:t>
      </w:r>
    </w:p>
    <w:p>
      <w:r>
        <w:rPr>
          <w:b w:val="0"/>
          <w:i w:val="0"/>
        </w:rPr>
        <w:t xml:space="preserve">We call it </w:t>
      </w:r>
      <w:r>
        <w:rPr>
          <w:b/>
          <w:i w:val="0"/>
        </w:rPr>
        <w:t>Reverse Crusade I</w:t>
      </w:r>
      <w:r>
        <w:rPr>
          <w:b w:val="0"/>
          <w:i w:val="0"/>
        </w:rPr>
        <w:t xml:space="preserve"> — the first organized pan-European invasion of Russia. Per Fomenko, the original Crusades were launched </w:t>
      </w:r>
      <w:r>
        <w:rPr>
          <w:b w:val="0"/>
          <w:i/>
        </w:rPr>
        <w:t>by</w:t>
      </w:r>
      <w:r>
        <w:rPr>
          <w:b w:val="0"/>
          <w:i w:val="0"/>
        </w:rPr>
        <w:t xml:space="preserve"> the Rus-Horde against the west. 1812 reversed the direction. See </w:t>
      </w:r>
      <w:hyperlink r:id="rId59">
        <w:r>
          <w:rPr>
            <w:b w:val="0"/>
            <w:i w:val="0"/>
            <w:color w:val="B8860B"/>
          </w:rPr>
          <w:t>Aftermath of 1812</w:t>
        </w:r>
      </w:hyperlink>
      <w:r>
        <w:rPr>
          <w:b w:val="0"/>
          <w:i w:val="0"/>
        </w:rPr>
        <w:t xml:space="preserve"> for the full Reverse Crusade framework.</w:t>
      </w:r>
    </w:p>
    <w:p>
      <w:pPr>
        <w:pStyle w:val="Heading3"/>
      </w:pPr>
      <w:r>
        <w:t>The Napoleon–Britain Question</w:t>
      </w:r>
    </w:p>
    <w:p>
      <w:r>
        <w:rPr>
          <w:b w:val="0"/>
          <w:i w:val="0"/>
        </w:rPr>
        <w:t xml:space="preserve">Conventional historians present Napoleon as locked in a death struggle with Britain — the great naval rival he could never defeat. But examine what Napoleon actually </w:t>
      </w:r>
      <w:r>
        <w:rPr>
          <w:b w:val="0"/>
          <w:i/>
        </w:rPr>
        <w:t>did</w:t>
      </w:r>
      <w:r>
        <w:rPr>
          <w:b w:val="0"/>
          <w:i w:val="0"/>
        </w:rPr>
        <w:t xml:space="preserve">: he sold </w:t>
      </w:r>
      <w:hyperlink r:id="rId173">
        <w:r>
          <w:rPr>
            <w:b w:val="0"/>
            <w:i w:val="0"/>
            <w:color w:val="B8860B"/>
          </w:rPr>
          <w:t>Louisiana</w:t>
        </w:r>
      </w:hyperlink>
      <w:r>
        <w:rPr>
          <w:b w:val="0"/>
          <w:i w:val="0"/>
        </w:rPr>
        <w:t xml:space="preserve"> to Britain's own American colony in 1803, doubling the territory of the nascent United States. Britain's most important imperial offshoot received the heartland of North America — from a man supposedly at war with London. There was a major show of force across the Channel, just as in WW2, but if all of continental Europe genuinely wanted to conquer England, they could have done it, navy or no.</w:t>
      </w:r>
    </w:p>
    <w:p>
      <w:r>
        <w:rPr>
          <w:b w:val="0"/>
          <w:i w:val="0"/>
        </w:rPr>
        <w:t xml:space="preserve">The question historians cannot answer: </w:t>
      </w:r>
      <w:r>
        <w:rPr>
          <w:b/>
          <w:i w:val="0"/>
        </w:rPr>
        <w:t>why did Napoleon choose to invade Russia before finishing with England?</w:t>
      </w:r>
      <w:r>
        <w:rPr>
          <w:b w:val="0"/>
          <w:i w:val="0"/>
        </w:rPr>
        <w:t xml:space="preserve"> And why did Hitler make the identical choice 129 years later — turning east into Russia while Britain remained undefeated to his west? Two different leaders, two different centuries, same inexplicable strategic decision. The conventional explanation (madness, hubris, miscalculation) must be invoked </w:t>
      </w:r>
      <w:r>
        <w:rPr>
          <w:b w:val="0"/>
          <w:i/>
        </w:rPr>
        <w:t>twice</w:t>
      </w:r>
      <w:r>
        <w:rPr>
          <w:b w:val="0"/>
          <w:i w:val="0"/>
        </w:rPr>
        <w:t xml:space="preserve"> for two separate men — or one recognizes the simpler answer: </w:t>
      </w:r>
      <w:r>
        <w:rPr>
          <w:b/>
          <w:i w:val="0"/>
        </w:rPr>
        <w:t>neither Napoleon nor Hitler controlled their own campaigns.</w:t>
      </w:r>
      <w:r>
        <w:rPr>
          <w:b w:val="0"/>
          <w:i w:val="0"/>
        </w:rPr>
        <w:t xml:space="preserve"> Both were directed by the same financial network (centered on the City of London) whose actual target was always Russia — the last successor of the Horde. England was never the target because England housed the command structure.</w:t>
      </w:r>
    </w:p>
    <w:p>
      <w:pPr>
        <w:pStyle w:val="Heading3"/>
      </w:pPr>
      <w:r>
        <w:t>Why Moscow?</w:t>
      </w:r>
    </w:p>
    <w:p>
      <w:r>
        <w:rPr>
          <w:b w:val="0"/>
          <w:i w:val="0"/>
        </w:rPr>
        <w:t>The invasion's strategic objective was forcing Czar Alexander I into negotiations by seizing the old symbolic capital. But Moscow in 1812 was no longer the center it had been. The Romanovs had relocated to St. Petersburg; Moscow was an administrative backwater. When Alexander refused to negotiate and the Russians burned Moscow themselves rather than let it serve as French winter headquarters, Napoleon had no strategic objective left. He occupied charred ruins for five weeks and retreated into the Russian winter.</w:t>
      </w:r>
    </w:p>
    <w:p>
      <w:r>
        <w:rPr>
          <w:b w:val="0"/>
          <w:i w:val="0"/>
        </w:rPr>
        <w:t>In the NC framework, this has an additional dimension. The territories of former Moscow Tartary — Siberia, the Urals, the far east — had been incorporated into Romanov Russia only since the late 18th century. Local loyalty to the Romanov state was thin. A French-style liberation campaign promising feudal abolition might have found substantial sympathies among recently-conquered Hordian populations. The Romanov court was aware of this — explaining the ferocity of the scorched-earth response, designed to ensure Napoleon found no resources and no allies in the interior.</w:t>
      </w:r>
    </w:p>
    <w:p>
      <w:pPr>
        <w:pStyle w:val="Heading3"/>
      </w:pPr>
      <w:r>
        <w:t>The Battle of Borodino and Its Aftermath</w:t>
      </w:r>
    </w:p>
    <w:p>
      <w:r>
        <w:rPr>
          <w:b w:val="0"/>
          <w:i w:val="0"/>
        </w:rPr>
        <w:t xml:space="preserve">The </w:t>
      </w:r>
      <w:hyperlink r:id="rId174">
        <w:r>
          <w:rPr>
            <w:b w:val="0"/>
            <w:i w:val="0"/>
            <w:color w:val="B8860B"/>
          </w:rPr>
          <w:t>Battle of Borodino</w:t>
        </w:r>
      </w:hyperlink>
      <w:r>
        <w:rPr>
          <w:b w:val="0"/>
          <w:i w:val="0"/>
        </w:rPr>
        <w:t xml:space="preserve"> (7 September 1812) was the largest single day's battle in the Napoleonic Wars — 70,000 casualties in one day. Neither side achieved a decisive outcome. The Russian army retreated but maintained cohesion. Napoleon occupied Moscow two weeks later. The subsequent French retreat became one of history's most devastating military disasters: cold, starvation, partisan attacks, and river crossings destroyed the army as an effective force.</w:t>
      </w:r>
    </w:p>
    <w:p>
      <w:pPr>
        <w:pStyle w:val="Heading3"/>
      </w:pPr>
      <w:r>
        <w:t>Why the Winter Was Unpredictable</w:t>
      </w:r>
    </w:p>
    <w:p>
      <w:r>
        <w:rPr>
          <w:b w:val="0"/>
          <w:i w:val="0"/>
        </w:rPr>
        <w:t xml:space="preserve">The conventional explanation — that Napoleon was simply arrogant about logistics — misses two critical factors. First, the </w:t>
      </w:r>
      <w:hyperlink r:id="rId57">
        <w:r>
          <w:rPr>
            <w:b w:val="0"/>
            <w:i w:val="0"/>
            <w:color w:val="B8860B"/>
          </w:rPr>
          <w:t>MudFlood Energetic Event</w:t>
        </w:r>
      </w:hyperlink>
      <w:r>
        <w:rPr>
          <w:b w:val="0"/>
          <w:i w:val="0"/>
        </w:rPr>
        <w:t xml:space="preserve"> of ~1774 had destabilised Earth's climate barely forty years earlier. Weather patterns that had been reliable for centuries were now chaotic; the French high command planned based on historical data that was no longer valid. Second, whatever advanced technology the French possessed — the same systems that had made them militarily unstoppable across Europe — failed catastrophically in extreme cold. The superiority that had swept every coalition aside became useless in conditions the operators had never encountered. For the full theory on French technology and the war's deeper context, see </w:t>
      </w:r>
      <w:hyperlink r:id="rId59">
        <w:r>
          <w:rPr>
            <w:b w:val="0"/>
            <w:i w:val="0"/>
            <w:color w:val="B8860B"/>
          </w:rPr>
          <w:t>Aftermath of 1812</w:t>
        </w:r>
      </w:hyperlink>
      <w:r>
        <w:rPr>
          <w:b w:val="0"/>
          <w:i w:val="0"/>
        </w:rPr>
        <w:t>.</w:t>
      </w:r>
    </w:p>
    <w:p>
      <w:pPr>
        <w:pStyle w:val="Heading3"/>
      </w:pPr>
      <w:r>
        <w:t>Moscow Burns: The Population Decides</w:t>
      </w:r>
    </w:p>
    <w:p>
      <w:r>
        <w:rPr>
          <w:b w:val="0"/>
          <w:i w:val="0"/>
        </w:rPr>
        <w:t xml:space="preserve">When the Russians burned Moscow before Napoleon's entry, the destruction was deliberate and total. The population and military leadership chose to </w:t>
      </w:r>
      <w:r>
        <w:rPr>
          <w:b/>
          <w:i w:val="0"/>
        </w:rPr>
        <w:t>destroy their own most sacred structures</w:t>
      </w:r>
      <w:r>
        <w:rPr>
          <w:b w:val="0"/>
          <w:i w:val="0"/>
        </w:rPr>
        <w:t xml:space="preserve"> — including churches they considered their holy Jerusalem — rather than see them turned into brothels or desecrated by an occupying army with no understanding of Orthodox Hordian tradition. This was not merely a military tactic. It was a civilisational statement: a population that burns its own holy city will never submit to the force that drove them to it. Napoleon occupied charred ruins for five weeks and found neither allies nor resources.</w:t>
      </w:r>
    </w:p>
    <w:p>
      <w:pPr>
        <w:pStyle w:val="Heading3"/>
      </w:pPr>
      <w:r>
        <w:t>Napoleon and the Hordian Legacy</w:t>
      </w:r>
    </w:p>
    <w:p>
      <w:r>
        <w:rPr>
          <w:b w:val="0"/>
          <w:i w:val="0"/>
        </w:rPr>
        <w:t xml:space="preserve">Tchaikovsky's </w:t>
      </w:r>
      <w:hyperlink r:id="rId175">
        <w:r>
          <w:rPr>
            <w:b w:val="0"/>
            <w:i w:val="0"/>
            <w:color w:val="B8860B"/>
          </w:rPr>
          <w:t>1812 Overture</w:t>
        </w:r>
      </w:hyperlink>
      <w:r>
        <w:rPr>
          <w:b w:val="0"/>
          <w:i w:val="0"/>
        </w:rPr>
        <w:t xml:space="preserve">, composed in 1880, celebrates the Russian victory. It opens with the Russian Orthodox hymn </w:t>
      </w:r>
      <w:r>
        <w:rPr>
          <w:b w:val="0"/>
          <w:i/>
        </w:rPr>
        <w:t>God Preserve Thy People</w:t>
      </w:r>
      <w:r>
        <w:rPr>
          <w:b w:val="0"/>
          <w:i w:val="0"/>
        </w:rPr>
        <w:t xml:space="preserve"> (associated with the old Kievan/Hordian church tradition), transitions through French and Russian military themes, and culminates in the </w:t>
      </w:r>
      <w:r>
        <w:rPr>
          <w:b w:val="0"/>
          <w:i/>
        </w:rPr>
        <w:t>Solemn March</w:t>
      </w:r>
      <w:r>
        <w:rPr>
          <w:b w:val="0"/>
          <w:i w:val="0"/>
        </w:rPr>
        <w:t xml:space="preserve"> with cannon fire and church bells. The NC reading sees the last musical celebration of the Hordian legacy: Orthodox bells, Old Russian hymns, and cannon fire all belonging to the cultural sphere the Romanovs had been systematically erasing since 1613 — temporarily recovered in the national trauma of 1812.</w:t>
      </w:r>
    </w:p>
    <w:p>
      <w:r>
        <w:rPr>
          <w:b w:val="0"/>
          <w:i w:val="0"/>
        </w:rPr>
        <w:t xml:space="preserve">Napoleon's defeat did not restore the old order; it accelerated the financial one. The Russian army pursued Napoleon all the way to Paris — see </w:t>
      </w:r>
      <w:hyperlink r:id="rId59">
        <w:r>
          <w:rPr>
            <w:b w:val="0"/>
            <w:i w:val="0"/>
            <w:color w:val="B8860B"/>
          </w:rPr>
          <w:t>Aftermath of 1812</w:t>
        </w:r>
      </w:hyperlink>
      <w:r>
        <w:rPr>
          <w:b w:val="0"/>
          <w:i w:val="0"/>
        </w:rPr>
        <w:t>. With Napoleon removed, the Romanovs dominated the Eurasian heartland while the City of London dominated global finance. The stage was set for the 19th century's consolidation of the British Empire and the railroad-and-debt penetration of every remaining independent territory.</w:t>
      </w:r>
    </w:p>
    <w:p/>
    <w:p>
      <w:pPr>
        <w:sectPr>
          <w:headerReference w:type="default" r:id="rId164"/>
          <w:footerReference w:type="default" r:id="rId165"/>
          <w:pgSz w:w="8640" w:h="12960"/>
          <w:pgMar w:top="1020" w:right="1134" w:bottom="1134" w:left="1134" w:header="720" w:footer="720" w:gutter="0"/>
          <w:cols w:space="720"/>
          <w:titlePg/>
          <w:docGrid w:linePitch="360"/>
        </w:sectPr>
      </w:pPr>
    </w:p>
    <w:p>
      <w:pPr>
        <w:pStyle w:val="Heading2"/>
      </w:pPr>
      <w:r>
        <w:rPr>
          <w:b/>
        </w:rPr>
        <w:t>Chapter 12: Timeline Synchronization: Date Tables (Extended)</w:t>
      </w:r>
    </w:p>
    <w:p>
      <w:r>
        <w:rPr>
          <w:b w:val="0"/>
          <w:i w:val="0"/>
        </w:rPr>
        <w:t xml:space="preserve">This appendix extends </w:t>
      </w:r>
      <w:hyperlink r:id="rId178">
        <w:r>
          <w:rPr>
            <w:b w:val="0"/>
            <w:i w:val="0"/>
            <w:color w:val="B8860B"/>
          </w:rPr>
          <w:t>Timeline Synchronization</w:t>
        </w:r>
      </w:hyperlink>
      <w:r>
        <w:rPr>
          <w:b w:val="0"/>
          <w:i w:val="0"/>
        </w:rPr>
        <w:t>. Full date tables and validation.</w:t>
      </w:r>
    </w:p>
    <w:p>
      <w:pPr>
        <w:pBdr>
          <w:bottom w:val="single" w:sz="6" w:space="1" w:color="CCCCCC"/>
        </w:pBdr>
      </w:pPr>
    </w:p>
    <w:p>
      <w:pPr>
        <w:pStyle w:val="Heading2"/>
      </w:pPr>
      <w:r>
        <w:t>Conflicting Creation Dates</w:t>
      </w:r>
    </w:p>
    <w:p>
      <w:r>
        <w:rPr>
          <w:b w:val="0"/>
          <w:i w:val="0"/>
        </w:rPr>
      </w:r>
      <w:r>
        <w:rPr>
          <w:b/>
          <w:i w:val="0"/>
        </w:rPr>
        <w:t>~5500 B.C. cluster</w:t>
      </w:r>
      <w:r>
        <w:rPr>
          <w:b w:val="0"/>
          <w:i w:val="0"/>
        </w:rPr>
        <w:t xml:space="preserve"> (Septuagint): Antiochian (5969), Byzantine (5508), Alexandrian (5493), Jerome (5199)</w:t>
      </w:r>
    </w:p>
    <w:p>
      <w:r>
        <w:rPr>
          <w:b w:val="0"/>
          <w:i w:val="0"/>
        </w:rPr>
      </w:r>
      <w:r>
        <w:rPr>
          <w:b/>
          <w:i w:val="0"/>
        </w:rPr>
        <w:t>~3100–4100 B.C. cluster</w:t>
      </w:r>
      <w:r>
        <w:rPr>
          <w:b w:val="0"/>
          <w:i w:val="0"/>
        </w:rPr>
        <w:t xml:space="preserve"> (indigenous/pre-Hellenistic): Ussher (4004), Judaic (3761), Maya Long Count (3114), Hindu Kali Yuga (3102), Egyptian (c. 3000)</w:t>
      </w:r>
    </w:p>
    <w:p>
      <w:r>
        <w:rPr>
          <w:b w:val="0"/>
          <w:i w:val="0"/>
        </w:rPr>
        <w:t xml:space="preserve">Validation: </w:t>
      </w:r>
      <w:hyperlink r:id="rId179">
        <w:r>
          <w:rPr>
            <w:b w:val="0"/>
            <w:i w:val="0"/>
            <w:color w:val="B8860B"/>
          </w:rPr>
          <w:t>creation-dates validation</w:t>
        </w:r>
      </w:hyperlink>
      <w:r>
        <w:rPr>
          <w:b w:val="0"/>
          <w:i w:val="0"/>
        </w:rPr>
        <w:t>.</w:t>
      </w:r>
    </w:p>
    <w:p>
      <w:pPr>
        <w:pStyle w:val="Heading2"/>
      </w:pPr>
      <w:r>
        <w:t>Jno Cook: Creation as Process</w:t>
      </w:r>
    </w:p>
    <w:p>
      <w:r>
        <w:rPr>
          <w:b w:val="0"/>
          <w:i w:val="0"/>
        </w:rPr>
        <w:t>Different civilizations set year-zero at different chapters of the same ~8,000-year sequence: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3105"/>
        <w:gridCol w:w="842"/>
        <w:gridCol w:w="2425"/>
      </w:tblGrid>
      <w:tr>
        <w:tc>
          <w:tcPr>
            <w:tcW w:type="dxa" w:w="3105"/>
            <w:shd w:val="clear" w:color="auto" w:fill="F0F0F0"/>
          </w:tcPr>
          <w:p>
            <w:pPr>
              <w:spacing w:before="20" w:after="20"/>
              <w:jc w:val="center"/>
            </w:pPr>
            <w:r>
              <w:rPr>
                <w:rFonts w:ascii="Libre Franklin" w:hAnsi="Libre Franklin"/>
                <w:b/>
                <w:sz w:val="18"/>
              </w:rPr>
              <w:t>Event</w:t>
            </w:r>
          </w:p>
        </w:tc>
        <w:tc>
          <w:tcPr>
            <w:tcW w:type="dxa" w:w="842"/>
            <w:shd w:val="clear" w:color="auto" w:fill="F0F0F0"/>
          </w:tcPr>
          <w:p>
            <w:pPr>
              <w:spacing w:before="20" w:after="20"/>
              <w:jc w:val="center"/>
            </w:pPr>
            <w:r>
              <w:rPr>
                <w:rFonts w:ascii="Libre Franklin" w:hAnsi="Libre Franklin"/>
                <w:b/>
                <w:sz w:val="18"/>
              </w:rPr>
              <w:t>Date</w:t>
            </w:r>
          </w:p>
        </w:tc>
        <w:tc>
          <w:tcPr>
            <w:tcW w:type="dxa" w:w="2425"/>
            <w:shd w:val="clear" w:color="auto" w:fill="F0F0F0"/>
          </w:tcPr>
          <w:p>
            <w:pPr>
              <w:spacing w:before="20" w:after="20"/>
              <w:jc w:val="center"/>
            </w:pPr>
            <w:r>
              <w:rPr>
                <w:rFonts w:ascii="Libre Franklin" w:hAnsi="Libre Franklin"/>
                <w:b/>
                <w:sz w:val="18"/>
              </w:rPr>
              <w:t>Who counted from this</w:t>
            </w:r>
          </w:p>
        </w:tc>
      </w:tr>
      <w:tr>
        <w:tc>
          <w:tcPr>
            <w:tcW w:type="dxa" w:w="3105"/>
          </w:tcPr>
          <w:p>
            <w:pPr>
              <w:spacing w:before="20" w:after="20"/>
            </w:pPr>
            <w:r>
              <w:rPr>
                <w:b w:val="0"/>
                <w:i w:val="0"/>
                <w:sz w:val="18"/>
              </w:rPr>
              <w:t>Saturn drops coma, goes nova — "sun first shows itself"</w:t>
            </w:r>
          </w:p>
        </w:tc>
        <w:tc>
          <w:tcPr>
            <w:tcW w:type="dxa" w:w="842"/>
          </w:tcPr>
          <w:p>
            <w:pPr>
              <w:spacing w:before="20" w:after="20"/>
            </w:pPr>
            <w:r>
              <w:rPr>
                <w:b w:val="0"/>
                <w:i w:val="0"/>
                <w:sz w:val="18"/>
              </w:rPr>
            </w:r>
            <w:r>
              <w:rPr>
                <w:b/>
                <w:i w:val="0"/>
                <w:sz w:val="18"/>
              </w:rPr>
              <w:t>4077 B.C.</w:t>
            </w:r>
            <w:r>
              <w:rPr>
                <w:b w:val="0"/>
                <w:i w:val="0"/>
                <w:sz w:val="18"/>
              </w:rPr>
            </w:r>
          </w:p>
        </w:tc>
        <w:tc>
          <w:tcPr>
            <w:tcW w:type="dxa" w:w="2425"/>
          </w:tcPr>
          <w:p>
            <w:pPr>
              <w:spacing w:before="20" w:after="20"/>
            </w:pPr>
            <w:r>
              <w:rPr>
                <w:b w:val="0"/>
                <w:i w:val="0"/>
                <w:sz w:val="18"/>
              </w:rPr>
              <w:t>Quiche Maya</w:t>
            </w:r>
          </w:p>
        </w:tc>
      </w:tr>
      <w:tr>
        <w:tc>
          <w:tcPr>
            <w:tcW w:type="dxa" w:w="3105"/>
          </w:tcPr>
          <w:p>
            <w:pPr>
              <w:spacing w:before="20" w:after="20"/>
            </w:pPr>
            <w:r>
              <w:rPr>
                <w:b w:val="0"/>
                <w:i w:val="0"/>
                <w:sz w:val="18"/>
              </w:rPr>
              <w:t>World Flood: polar configuration collapses</w:t>
            </w:r>
          </w:p>
        </w:tc>
        <w:tc>
          <w:tcPr>
            <w:tcW w:type="dxa" w:w="842"/>
          </w:tcPr>
          <w:p>
            <w:pPr>
              <w:spacing w:before="20" w:after="20"/>
            </w:pPr>
            <w:r>
              <w:rPr>
                <w:b w:val="0"/>
                <w:i w:val="0"/>
                <w:sz w:val="18"/>
              </w:rPr>
            </w:r>
            <w:r>
              <w:rPr>
                <w:b/>
                <w:i w:val="0"/>
                <w:sz w:val="18"/>
              </w:rPr>
              <w:t>3147 B.C.</w:t>
            </w:r>
            <w:r>
              <w:rPr>
                <w:b w:val="0"/>
                <w:i w:val="0"/>
                <w:sz w:val="18"/>
              </w:rPr>
            </w:r>
          </w:p>
        </w:tc>
        <w:tc>
          <w:tcPr>
            <w:tcW w:type="dxa" w:w="2425"/>
          </w:tcPr>
          <w:p>
            <w:pPr>
              <w:spacing w:before="20" w:after="20"/>
            </w:pPr>
            <w:r>
              <w:rPr>
                <w:b w:val="0"/>
                <w:i w:val="0"/>
                <w:sz w:val="18"/>
              </w:rPr>
              <w:t>Maya Long Count, Sumerian tradition</w:t>
            </w:r>
          </w:p>
        </w:tc>
      </w:tr>
      <w:tr>
        <w:tc>
          <w:tcPr>
            <w:tcW w:type="dxa" w:w="3105"/>
          </w:tcPr>
          <w:p>
            <w:pPr>
              <w:spacing w:before="20" w:after="20"/>
            </w:pPr>
            <w:r>
              <w:rPr>
                <w:b w:val="0"/>
                <w:i w:val="0"/>
                <w:sz w:val="18"/>
              </w:rPr>
              <w:t>Fall of the Absu: "flood of Noah"</w:t>
            </w:r>
          </w:p>
        </w:tc>
        <w:tc>
          <w:tcPr>
            <w:tcW w:type="dxa" w:w="842"/>
          </w:tcPr>
          <w:p>
            <w:pPr>
              <w:spacing w:before="20" w:after="20"/>
            </w:pPr>
            <w:r>
              <w:rPr>
                <w:b w:val="0"/>
                <w:i w:val="0"/>
                <w:sz w:val="18"/>
              </w:rPr>
            </w:r>
            <w:r>
              <w:rPr>
                <w:b/>
                <w:i w:val="0"/>
                <w:sz w:val="18"/>
              </w:rPr>
              <w:t>2349 B.C.</w:t>
            </w:r>
            <w:r>
              <w:rPr>
                <w:b w:val="0"/>
                <w:i w:val="0"/>
                <w:sz w:val="18"/>
              </w:rPr>
            </w:r>
          </w:p>
        </w:tc>
        <w:tc>
          <w:tcPr>
            <w:tcW w:type="dxa" w:w="2425"/>
          </w:tcPr>
          <w:p>
            <w:pPr>
              <w:spacing w:before="20" w:after="20"/>
            </w:pPr>
            <w:r>
              <w:rPr>
                <w:b w:val="0"/>
                <w:i w:val="0"/>
                <w:sz w:val="18"/>
              </w:rPr>
              <w:t>Biblical/Babylonian tradition</w:t>
            </w:r>
          </w:p>
        </w:tc>
      </w:tr>
      <w:tr>
        <w:tc>
          <w:tcPr>
            <w:tcW w:type="dxa" w:w="3105"/>
          </w:tcPr>
          <w:p>
            <w:pPr>
              <w:spacing w:before="20" w:after="20"/>
            </w:pPr>
            <w:r>
              <w:rPr>
                <w:b w:val="0"/>
                <w:i w:val="0"/>
                <w:sz w:val="18"/>
              </w:rPr>
              <w:t>End of Mars-Earth conflicts; skies go quiet</w:t>
            </w:r>
          </w:p>
        </w:tc>
        <w:tc>
          <w:tcPr>
            <w:tcW w:type="dxa" w:w="842"/>
          </w:tcPr>
          <w:p>
            <w:pPr>
              <w:spacing w:before="20" w:after="20"/>
            </w:pPr>
            <w:r>
              <w:rPr>
                <w:b w:val="0"/>
                <w:i w:val="0"/>
                <w:sz w:val="18"/>
              </w:rPr>
            </w:r>
            <w:r>
              <w:rPr>
                <w:b/>
                <w:i w:val="0"/>
                <w:sz w:val="18"/>
              </w:rPr>
              <w:t>685 B.C.</w:t>
            </w:r>
            <w:r>
              <w:rPr>
                <w:b w:val="0"/>
                <w:i w:val="0"/>
                <w:sz w:val="18"/>
              </w:rPr>
            </w:r>
          </w:p>
        </w:tc>
        <w:tc>
          <w:tcPr>
            <w:tcW w:type="dxa" w:w="2425"/>
          </w:tcPr>
          <w:p>
            <w:pPr>
              <w:spacing w:before="20" w:after="20"/>
            </w:pPr>
            <w:r>
              <w:rPr>
                <w:b w:val="0"/>
                <w:i w:val="0"/>
                <w:sz w:val="18"/>
              </w:rPr>
              <w:t>"Start of history, science, and philosophy"</w:t>
            </w:r>
          </w:p>
        </w:tc>
      </w:tr>
    </w:tbl>
    <w:p/>
    <w:p>
      <w:pPr>
        <w:pStyle w:val="Quote"/>
      </w:pPr>
      <w:r>
        <w:rPr>
          <w:b w:val="0"/>
          <w:i/>
          <w:sz w:val="19"/>
        </w:rPr>
        <w:t>"In 4077 BC Saturn dropped its coma... Saturn went nova and lit up more brilliantly than the Sun. To humans who had not clearly seen the real Sun for thousands of years, this was the start of creation, the start of time."</w:t>
      </w:r>
      <w:r>
        <w:rPr>
          <w:b w:val="0"/>
          <w:i w:val="0"/>
          <w:sz w:val="19"/>
        </w:rPr>
        <w:t xml:space="preserve"> — Jno Cook</w:t>
      </w:r>
    </w:p>
    <w:p>
      <w:pPr>
        <w:pStyle w:val="Heading2"/>
      </w:pPr>
      <w:r>
        <w:t>What the Conquerors Burned</w:t>
      </w:r>
    </w:p>
    <w:p>
      <w:pPr>
        <w:pStyle w:val="ListBullet"/>
        <w:spacing w:before="20" w:after="20"/>
      </w:pPr>
      <w:r>
        <w:rPr>
          <w:b w:val="0"/>
          <w:i w:val="0"/>
          <w:sz w:val="19"/>
        </w:rPr>
        <w:t>Bishop Diego de Landa, 1562 — burned virtually all Maya codices at Maní</w:t>
      </w:r>
    </w:p>
    <w:p>
      <w:pPr>
        <w:pStyle w:val="ListBullet"/>
        <w:spacing w:before="20" w:after="20"/>
      </w:pPr>
      <w:r>
        <w:rPr>
          <w:b w:val="0"/>
          <w:i w:val="0"/>
          <w:sz w:val="19"/>
        </w:rPr>
        <w:t>Library of Alexandria — burned multiple times</w:t>
      </w:r>
    </w:p>
    <w:p>
      <w:pPr>
        <w:pStyle w:val="ListBullet"/>
        <w:spacing w:before="20" w:after="20"/>
      </w:pPr>
      <w:r>
        <w:rPr>
          <w:b w:val="0"/>
          <w:i w:val="0"/>
          <w:sz w:val="19"/>
        </w:rPr>
        <w:t>Nineveh, 621 B.C. — Babylonian astronomical records discarded as "unreliable"</w:t>
      </w:r>
    </w:p>
    <w:p>
      <w:pPr>
        <w:pStyle w:val="ListBullet"/>
        <w:spacing w:before="20" w:after="20"/>
      </w:pPr>
      <w:r>
        <w:rPr>
          <w:b w:val="0"/>
          <w:i w:val="0"/>
          <w:sz w:val="19"/>
        </w:rPr>
        <w:t>Aztec codices — systematically burned after 1521</w:t>
      </w:r>
    </w:p>
    <w:p/>
    <w:p>
      <w:pPr>
        <w:jc w:val="center"/>
      </w:pPr>
      <w:r>
        <w:rPr>
          <w:color w:val="B8860B"/>
          <w:sz w:val="24"/>
        </w:rPr>
        <w:t>— ✦ —</w:t>
      </w:r>
    </w:p>
    <w:p>
      <w:r>
        <w:rPr>
          <w:b w:val="0"/>
          <w:i w:val="0"/>
        </w:rPr>
        <w:t xml:space="preserve">This appendix extends </w:t>
      </w:r>
      <w:hyperlink r:id="rId180">
        <w:r>
          <w:rPr>
            <w:b w:val="0"/>
            <w:i w:val="0"/>
            <w:color w:val="B8860B"/>
          </w:rPr>
          <w:t>The Length of a Year</w:t>
        </w:r>
      </w:hyperlink>
      <w:r>
        <w:rPr>
          <w:b w:val="0"/>
          <w:i w:val="0"/>
        </w:rPr>
        <w:t xml:space="preserve"> and </w:t>
      </w:r>
      <w:hyperlink r:id="rId181">
        <w:r>
          <w:rPr>
            <w:b w:val="0"/>
            <w:i w:val="0"/>
            <w:color w:val="B8860B"/>
          </w:rPr>
          <w:t>The 225-Day Year</w:t>
        </w:r>
      </w:hyperlink>
      <w:r>
        <w:rPr>
          <w:b w:val="0"/>
          <w:i w:val="0"/>
        </w:rPr>
        <w:t>. Tables and era detail.</w:t>
      </w:r>
    </w:p>
    <w:p>
      <w:pPr>
        <w:pBdr>
          <w:bottom w:val="single" w:sz="6" w:space="1" w:color="CCCCCC"/>
        </w:pBdr>
      </w:pPr>
    </w:p>
    <w:p>
      <w:pPr>
        <w:pStyle w:val="Heading3"/>
      </w:pPr>
      <w:r>
        <w:t>Solar Year Variables (00.03.01)</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87"/>
        <w:gridCol w:w="814"/>
        <w:gridCol w:w="814"/>
        <w:gridCol w:w="3156"/>
      </w:tblGrid>
      <w:tr>
        <w:tc>
          <w:tcPr>
            <w:tcW w:type="dxa" w:w="1587"/>
            <w:shd w:val="clear" w:color="auto" w:fill="F0F0F0"/>
          </w:tcPr>
          <w:p>
            <w:pPr>
              <w:spacing w:before="20" w:after="20"/>
              <w:jc w:val="center"/>
            </w:pPr>
            <w:r>
              <w:rPr>
                <w:rFonts w:ascii="Libre Franklin" w:hAnsi="Libre Franklin"/>
                <w:b/>
                <w:sz w:val="18"/>
              </w:rPr>
              <w:t>Period (BC)</w:t>
            </w:r>
          </w:p>
        </w:tc>
        <w:tc>
          <w:tcPr>
            <w:tcW w:type="dxa" w:w="814"/>
            <w:shd w:val="clear" w:color="auto" w:fill="F0F0F0"/>
          </w:tcPr>
          <w:p>
            <w:pPr>
              <w:spacing w:before="20" w:after="20"/>
              <w:jc w:val="center"/>
            </w:pPr>
            <w:r>
              <w:rPr>
                <w:rFonts w:ascii="Libre Franklin" w:hAnsi="Libre Franklin"/>
                <w:b/>
                <w:sz w:val="18"/>
              </w:rPr>
              <w:t>Days/year</w:t>
            </w:r>
          </w:p>
        </w:tc>
        <w:tc>
          <w:tcPr>
            <w:tcW w:type="dxa" w:w="814"/>
            <w:shd w:val="clear" w:color="auto" w:fill="F0F0F0"/>
          </w:tcPr>
          <w:p>
            <w:pPr>
              <w:spacing w:before="20" w:after="20"/>
              <w:jc w:val="center"/>
            </w:pPr>
            <w:r>
              <w:rPr>
                <w:rFonts w:ascii="Libre Franklin" w:hAnsi="Libre Franklin"/>
                <w:b/>
                <w:sz w:val="18"/>
              </w:rPr>
              <w:t>Orbit (AU)</w:t>
            </w:r>
          </w:p>
        </w:tc>
        <w:tc>
          <w:tcPr>
            <w:tcW w:type="dxa" w:w="3156"/>
            <w:shd w:val="clear" w:color="auto" w:fill="F0F0F0"/>
          </w:tcPr>
          <w:p>
            <w:pPr>
              <w:spacing w:before="20" w:after="20"/>
              <w:jc w:val="center"/>
            </w:pPr>
            <w:r>
              <w:rPr>
                <w:rFonts w:ascii="Libre Franklin" w:hAnsi="Libre Franklin"/>
                <w:b/>
                <w:sz w:val="18"/>
              </w:rPr>
              <w:t>Era</w:t>
            </w:r>
          </w:p>
        </w:tc>
      </w:tr>
      <w:tr>
        <w:tc>
          <w:tcPr>
            <w:tcW w:type="dxa" w:w="1587"/>
          </w:tcPr>
          <w:p>
            <w:pPr>
              <w:spacing w:before="20" w:after="20"/>
            </w:pPr>
            <w:r>
              <w:rPr>
                <w:b w:val="0"/>
                <w:i w:val="0"/>
                <w:sz w:val="18"/>
              </w:rPr>
              <w:t>Before 4,077</w:t>
            </w:r>
          </w:p>
        </w:tc>
        <w:tc>
          <w:tcPr>
            <w:tcW w:type="dxa" w:w="814"/>
          </w:tcPr>
          <w:p>
            <w:pPr>
              <w:spacing w:before="20" w:after="20"/>
            </w:pPr>
            <w:r>
              <w:rPr>
                <w:b w:val="0"/>
                <w:i w:val="0"/>
                <w:sz w:val="18"/>
              </w:rPr>
              <w:t>—</w:t>
            </w:r>
          </w:p>
        </w:tc>
        <w:tc>
          <w:tcPr>
            <w:tcW w:type="dxa" w:w="814"/>
          </w:tcPr>
          <w:p>
            <w:pPr>
              <w:spacing w:before="20" w:after="20"/>
            </w:pPr>
            <w:r>
              <w:rPr>
                <w:b w:val="0"/>
                <w:i w:val="0"/>
                <w:sz w:val="18"/>
              </w:rPr>
              <w:t>~0.72</w:t>
            </w:r>
          </w:p>
        </w:tc>
        <w:tc>
          <w:tcPr>
            <w:tcW w:type="dxa" w:w="3156"/>
          </w:tcPr>
          <w:p>
            <w:pPr>
              <w:spacing w:before="20" w:after="20"/>
            </w:pPr>
            <w:r>
              <w:rPr>
                <w:b w:val="0"/>
                <w:i w:val="0"/>
                <w:sz w:val="18"/>
              </w:rPr>
              <w:t>Pre-ignition: no time reckoning</w:t>
            </w:r>
          </w:p>
        </w:tc>
      </w:tr>
      <w:tr>
        <w:tc>
          <w:tcPr>
            <w:tcW w:type="dxa" w:w="1587"/>
          </w:tcPr>
          <w:p>
            <w:pPr>
              <w:spacing w:before="20" w:after="20"/>
            </w:pPr>
            <w:r>
              <w:rPr>
                <w:b w:val="0"/>
                <w:i w:val="0"/>
                <w:sz w:val="18"/>
              </w:rPr>
              <w:t>4,077–3,147</w:t>
            </w:r>
          </w:p>
        </w:tc>
        <w:tc>
          <w:tcPr>
            <w:tcW w:type="dxa" w:w="814"/>
          </w:tcPr>
          <w:p>
            <w:pPr>
              <w:spacing w:before="20" w:after="20"/>
            </w:pPr>
            <w:r>
              <w:rPr>
                <w:b w:val="0"/>
                <w:i w:val="0"/>
                <w:sz w:val="18"/>
              </w:rPr>
              <w:t>225</w:t>
            </w:r>
          </w:p>
        </w:tc>
        <w:tc>
          <w:tcPr>
            <w:tcW w:type="dxa" w:w="814"/>
          </w:tcPr>
          <w:p>
            <w:pPr>
              <w:spacing w:before="20" w:after="20"/>
            </w:pPr>
            <w:r>
              <w:rPr>
                <w:b w:val="0"/>
                <w:i w:val="0"/>
                <w:sz w:val="18"/>
              </w:rPr>
              <w:t>0.72</w:t>
            </w:r>
          </w:p>
        </w:tc>
        <w:tc>
          <w:tcPr>
            <w:tcW w:type="dxa" w:w="3156"/>
          </w:tcPr>
          <w:p>
            <w:pPr>
              <w:spacing w:before="20" w:after="20"/>
            </w:pPr>
            <w:r>
              <w:rPr>
                <w:b w:val="0"/>
                <w:i w:val="0"/>
                <w:sz w:val="18"/>
              </w:rPr>
              <w:t>Saturn ignition / Golden Age</w:t>
            </w:r>
          </w:p>
        </w:tc>
      </w:tr>
      <w:tr>
        <w:tc>
          <w:tcPr>
            <w:tcW w:type="dxa" w:w="1587"/>
          </w:tcPr>
          <w:p>
            <w:pPr>
              <w:spacing w:before="20" w:after="20"/>
            </w:pPr>
            <w:r>
              <w:rPr>
                <w:b w:val="0"/>
                <w:i w:val="0"/>
                <w:sz w:val="18"/>
              </w:rPr>
              <w:t>3,147–2,349</w:t>
            </w:r>
          </w:p>
        </w:tc>
        <w:tc>
          <w:tcPr>
            <w:tcW w:type="dxa" w:w="814"/>
          </w:tcPr>
          <w:p>
            <w:pPr>
              <w:spacing w:before="20" w:after="20"/>
            </w:pPr>
            <w:r>
              <w:rPr>
                <w:b w:val="0"/>
                <w:i w:val="0"/>
                <w:sz w:val="18"/>
              </w:rPr>
              <w:t>240</w:t>
            </w:r>
          </w:p>
        </w:tc>
        <w:tc>
          <w:tcPr>
            <w:tcW w:type="dxa" w:w="814"/>
          </w:tcPr>
          <w:p>
            <w:pPr>
              <w:spacing w:before="20" w:after="20"/>
            </w:pPr>
            <w:r>
              <w:rPr>
                <w:b w:val="0"/>
                <w:i w:val="0"/>
                <w:sz w:val="18"/>
              </w:rPr>
              <w:t>0.75</w:t>
            </w:r>
          </w:p>
        </w:tc>
        <w:tc>
          <w:tcPr>
            <w:tcW w:type="dxa" w:w="3156"/>
          </w:tcPr>
          <w:p>
            <w:pPr>
              <w:spacing w:before="20" w:after="20"/>
            </w:pPr>
            <w:r>
              <w:rPr>
                <w:b w:val="0"/>
                <w:i w:val="0"/>
                <w:sz w:val="18"/>
              </w:rPr>
              <w:t>Old Kingdom (post-flood, no Moon)</w:t>
            </w:r>
          </w:p>
        </w:tc>
      </w:tr>
      <w:tr>
        <w:tc>
          <w:tcPr>
            <w:tcW w:type="dxa" w:w="1587"/>
          </w:tcPr>
          <w:p>
            <w:pPr>
              <w:spacing w:before="20" w:after="20"/>
            </w:pPr>
            <w:r>
              <w:rPr>
                <w:b w:val="0"/>
                <w:i w:val="0"/>
                <w:sz w:val="18"/>
              </w:rPr>
              <w:t>2,349–2,193</w:t>
            </w:r>
          </w:p>
        </w:tc>
        <w:tc>
          <w:tcPr>
            <w:tcW w:type="dxa" w:w="814"/>
          </w:tcPr>
          <w:p>
            <w:pPr>
              <w:spacing w:before="20" w:after="20"/>
            </w:pPr>
            <w:r>
              <w:rPr>
                <w:b w:val="0"/>
                <w:i w:val="0"/>
                <w:sz w:val="18"/>
              </w:rPr>
              <w:t>260</w:t>
            </w:r>
          </w:p>
        </w:tc>
        <w:tc>
          <w:tcPr>
            <w:tcW w:type="dxa" w:w="814"/>
          </w:tcPr>
          <w:p>
            <w:pPr>
              <w:spacing w:before="20" w:after="20"/>
            </w:pPr>
            <w:r>
              <w:rPr>
                <w:b w:val="0"/>
                <w:i w:val="0"/>
                <w:sz w:val="18"/>
              </w:rPr>
              <w:t>0.79</w:t>
            </w:r>
          </w:p>
        </w:tc>
        <w:tc>
          <w:tcPr>
            <w:tcW w:type="dxa" w:w="3156"/>
          </w:tcPr>
          <w:p>
            <w:pPr>
              <w:spacing w:before="20" w:after="20"/>
            </w:pPr>
            <w:r>
              <w:rPr>
                <w:b w:val="0"/>
                <w:i w:val="0"/>
                <w:sz w:val="18"/>
              </w:rPr>
              <w:t>Fall of the Absu / Moon appears</w:t>
            </w:r>
          </w:p>
        </w:tc>
      </w:tr>
      <w:tr>
        <w:tc>
          <w:tcPr>
            <w:tcW w:type="dxa" w:w="1587"/>
          </w:tcPr>
          <w:p>
            <w:pPr>
              <w:spacing w:before="20" w:after="20"/>
            </w:pPr>
            <w:r>
              <w:rPr>
                <w:b w:val="0"/>
                <w:i w:val="0"/>
                <w:sz w:val="18"/>
              </w:rPr>
              <w:t>2,193–1,492</w:t>
            </w:r>
          </w:p>
        </w:tc>
        <w:tc>
          <w:tcPr>
            <w:tcW w:type="dxa" w:w="814"/>
          </w:tcPr>
          <w:p>
            <w:pPr>
              <w:spacing w:before="20" w:after="20"/>
            </w:pPr>
            <w:r>
              <w:rPr>
                <w:b w:val="0"/>
                <w:i w:val="0"/>
                <w:sz w:val="18"/>
              </w:rPr>
              <w:t>273</w:t>
            </w:r>
          </w:p>
        </w:tc>
        <w:tc>
          <w:tcPr>
            <w:tcW w:type="dxa" w:w="814"/>
          </w:tcPr>
          <w:p>
            <w:pPr>
              <w:spacing w:before="20" w:after="20"/>
            </w:pPr>
            <w:r>
              <w:rPr>
                <w:b w:val="0"/>
                <w:i w:val="0"/>
                <w:sz w:val="18"/>
              </w:rPr>
              <w:t>0.83</w:t>
            </w:r>
          </w:p>
        </w:tc>
        <w:tc>
          <w:tcPr>
            <w:tcW w:type="dxa" w:w="3156"/>
          </w:tcPr>
          <w:p>
            <w:pPr>
              <w:spacing w:before="20" w:after="20"/>
            </w:pPr>
            <w:r>
              <w:rPr>
                <w:b w:val="0"/>
                <w:i w:val="0"/>
                <w:sz w:val="18"/>
              </w:rPr>
              <w:t>Middle Kingdom</w:t>
            </w:r>
          </w:p>
        </w:tc>
      </w:tr>
      <w:tr>
        <w:tc>
          <w:tcPr>
            <w:tcW w:type="dxa" w:w="1587"/>
          </w:tcPr>
          <w:p>
            <w:pPr>
              <w:spacing w:before="20" w:after="20"/>
            </w:pPr>
            <w:r>
              <w:rPr>
                <w:b w:val="0"/>
                <w:i w:val="0"/>
                <w:sz w:val="18"/>
              </w:rPr>
              <w:t>1,492–747</w:t>
            </w:r>
          </w:p>
        </w:tc>
        <w:tc>
          <w:tcPr>
            <w:tcW w:type="dxa" w:w="814"/>
          </w:tcPr>
          <w:p>
            <w:pPr>
              <w:spacing w:before="20" w:after="20"/>
            </w:pPr>
            <w:r>
              <w:rPr>
                <w:b w:val="0"/>
                <w:i w:val="0"/>
                <w:sz w:val="18"/>
              </w:rPr>
              <w:t>360</w:t>
            </w:r>
          </w:p>
        </w:tc>
        <w:tc>
          <w:tcPr>
            <w:tcW w:type="dxa" w:w="814"/>
          </w:tcPr>
          <w:p>
            <w:pPr>
              <w:spacing w:before="20" w:after="20"/>
            </w:pPr>
            <w:r>
              <w:rPr>
                <w:b w:val="0"/>
                <w:i w:val="0"/>
                <w:sz w:val="18"/>
              </w:rPr>
              <w:t>0.99</w:t>
            </w:r>
          </w:p>
        </w:tc>
        <w:tc>
          <w:tcPr>
            <w:tcW w:type="dxa" w:w="3156"/>
          </w:tcPr>
          <w:p>
            <w:pPr>
              <w:spacing w:before="20" w:after="20"/>
            </w:pPr>
            <w:r>
              <w:rPr>
                <w:b w:val="0"/>
                <w:i w:val="0"/>
                <w:sz w:val="18"/>
              </w:rPr>
              <w:t>New Kingdom / Exodus era</w:t>
            </w:r>
          </w:p>
        </w:tc>
      </w:tr>
      <w:tr>
        <w:tc>
          <w:tcPr>
            <w:tcW w:type="dxa" w:w="1587"/>
          </w:tcPr>
          <w:p>
            <w:pPr>
              <w:spacing w:before="20" w:after="20"/>
            </w:pPr>
            <w:r>
              <w:rPr>
                <w:b w:val="0"/>
                <w:i w:val="0"/>
                <w:sz w:val="18"/>
              </w:rPr>
              <w:t>747 BC–today</w:t>
            </w:r>
          </w:p>
        </w:tc>
        <w:tc>
          <w:tcPr>
            <w:tcW w:type="dxa" w:w="814"/>
          </w:tcPr>
          <w:p>
            <w:pPr>
              <w:spacing w:before="20" w:after="20"/>
            </w:pPr>
            <w:r>
              <w:rPr>
                <w:b w:val="0"/>
                <w:i w:val="0"/>
                <w:sz w:val="18"/>
              </w:rPr>
              <w:t>365.24</w:t>
            </w:r>
          </w:p>
        </w:tc>
        <w:tc>
          <w:tcPr>
            <w:tcW w:type="dxa" w:w="814"/>
          </w:tcPr>
          <w:p>
            <w:pPr>
              <w:spacing w:before="20" w:after="20"/>
            </w:pPr>
            <w:r>
              <w:rPr>
                <w:b w:val="0"/>
                <w:i w:val="0"/>
                <w:sz w:val="18"/>
              </w:rPr>
              <w:t>1.00</w:t>
            </w:r>
          </w:p>
        </w:tc>
        <w:tc>
          <w:tcPr>
            <w:tcW w:type="dxa" w:w="3156"/>
          </w:tcPr>
          <w:p>
            <w:pPr>
              <w:spacing w:before="20" w:after="20"/>
            </w:pPr>
            <w:r>
              <w:rPr>
                <w:b w:val="0"/>
                <w:i w:val="0"/>
                <w:sz w:val="18"/>
              </w:rPr>
              <w:t>Current era</w:t>
            </w:r>
          </w:p>
        </w:tc>
      </w:tr>
    </w:tbl>
    <w:p/>
    <w:p>
      <w:pPr>
        <w:pStyle w:val="Heading3"/>
      </w:pPr>
      <w:r>
        <w:t>Orbital Jump Mechanism</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134"/>
        <w:gridCol w:w="1593"/>
        <w:gridCol w:w="3645"/>
      </w:tblGrid>
      <w:tr>
        <w:tc>
          <w:tcPr>
            <w:tcW w:type="dxa" w:w="1134"/>
            <w:shd w:val="clear" w:color="auto" w:fill="F0F0F0"/>
          </w:tcPr>
          <w:p>
            <w:pPr>
              <w:spacing w:before="20" w:after="20"/>
              <w:jc w:val="center"/>
            </w:pPr>
            <w:r>
              <w:rPr>
                <w:rFonts w:ascii="Libre Franklin" w:hAnsi="Libre Franklin"/>
                <w:b/>
                <w:sz w:val="18"/>
              </w:rPr>
              <w:t>Date</w:t>
            </w:r>
          </w:p>
        </w:tc>
        <w:tc>
          <w:tcPr>
            <w:tcW w:type="dxa" w:w="1593"/>
            <w:shd w:val="clear" w:color="auto" w:fill="F0F0F0"/>
          </w:tcPr>
          <w:p>
            <w:pPr>
              <w:spacing w:before="20" w:after="20"/>
              <w:jc w:val="center"/>
            </w:pPr>
            <w:r>
              <w:rPr>
                <w:rFonts w:ascii="Libre Franklin" w:hAnsi="Libre Franklin"/>
                <w:b/>
                <w:sz w:val="18"/>
              </w:rPr>
              <w:t>Agent</w:t>
            </w:r>
          </w:p>
        </w:tc>
        <w:tc>
          <w:tcPr>
            <w:tcW w:type="dxa" w:w="3645"/>
            <w:shd w:val="clear" w:color="auto" w:fill="F0F0F0"/>
          </w:tcPr>
          <w:p>
            <w:pPr>
              <w:spacing w:before="20" w:after="20"/>
              <w:jc w:val="center"/>
            </w:pPr>
            <w:r>
              <w:rPr>
                <w:rFonts w:ascii="Libre Franklin" w:hAnsi="Libre Franklin"/>
                <w:b/>
                <w:sz w:val="18"/>
              </w:rPr>
              <w:t>Event</w:t>
            </w:r>
          </w:p>
        </w:tc>
      </w:tr>
      <w:tr>
        <w:tc>
          <w:tcPr>
            <w:tcW w:type="dxa" w:w="1134"/>
          </w:tcPr>
          <w:p>
            <w:pPr>
              <w:spacing w:before="20" w:after="20"/>
            </w:pPr>
            <w:r>
              <w:rPr>
                <w:b w:val="0"/>
                <w:i w:val="0"/>
                <w:sz w:val="18"/>
              </w:rPr>
              <w:t>~3,147 BC</w:t>
            </w:r>
          </w:p>
        </w:tc>
        <w:tc>
          <w:tcPr>
            <w:tcW w:type="dxa" w:w="1593"/>
          </w:tcPr>
          <w:p>
            <w:pPr>
              <w:spacing w:before="20" w:after="20"/>
            </w:pPr>
            <w:r>
              <w:rPr>
                <w:b w:val="0"/>
                <w:i w:val="0"/>
                <w:sz w:val="18"/>
              </w:rPr>
              <w:t>Jupiter–Saturn collision</w:t>
            </w:r>
          </w:p>
        </w:tc>
        <w:tc>
          <w:tcPr>
            <w:tcW w:type="dxa" w:w="3645"/>
          </w:tcPr>
          <w:p>
            <w:pPr>
              <w:spacing w:before="20" w:after="20"/>
            </w:pPr>
            <w:r>
              <w:rPr>
                <w:b w:val="0"/>
                <w:i w:val="0"/>
                <w:sz w:val="18"/>
              </w:rPr>
              <w:t>World Flood; 225→240 days</w:t>
            </w:r>
          </w:p>
        </w:tc>
      </w:tr>
      <w:tr>
        <w:tc>
          <w:tcPr>
            <w:tcW w:type="dxa" w:w="1134"/>
          </w:tcPr>
          <w:p>
            <w:pPr>
              <w:spacing w:before="20" w:after="20"/>
            </w:pPr>
            <w:r>
              <w:rPr>
                <w:b w:val="0"/>
                <w:i w:val="0"/>
                <w:sz w:val="18"/>
              </w:rPr>
              <w:t>~2,349 BC</w:t>
            </w:r>
          </w:p>
        </w:tc>
        <w:tc>
          <w:tcPr>
            <w:tcW w:type="dxa" w:w="1593"/>
          </w:tcPr>
          <w:p>
            <w:pPr>
              <w:spacing w:before="20" w:after="20"/>
            </w:pPr>
            <w:r>
              <w:rPr>
                <w:b w:val="0"/>
                <w:i w:val="0"/>
                <w:sz w:val="18"/>
              </w:rPr>
              <w:t>Venus</w:t>
            </w:r>
          </w:p>
        </w:tc>
        <w:tc>
          <w:tcPr>
            <w:tcW w:type="dxa" w:w="3645"/>
          </w:tcPr>
          <w:p>
            <w:pPr>
              <w:spacing w:before="20" w:after="20"/>
            </w:pPr>
            <w:r>
              <w:rPr>
                <w:b w:val="0"/>
                <w:i w:val="0"/>
                <w:sz w:val="18"/>
              </w:rPr>
              <w:t>Noah's Flood; Moon appears; 240→260 days</w:t>
            </w:r>
          </w:p>
        </w:tc>
      </w:tr>
      <w:tr>
        <w:tc>
          <w:tcPr>
            <w:tcW w:type="dxa" w:w="1134"/>
          </w:tcPr>
          <w:p>
            <w:pPr>
              <w:spacing w:before="20" w:after="20"/>
            </w:pPr>
            <w:r>
              <w:rPr>
                <w:b w:val="0"/>
                <w:i w:val="0"/>
                <w:sz w:val="18"/>
              </w:rPr>
              <w:t>~2,193 BC</w:t>
            </w:r>
          </w:p>
        </w:tc>
        <w:tc>
          <w:tcPr>
            <w:tcW w:type="dxa" w:w="1593"/>
          </w:tcPr>
          <w:p>
            <w:pPr>
              <w:spacing w:before="20" w:after="20"/>
            </w:pPr>
            <w:r>
              <w:rPr>
                <w:b w:val="0"/>
                <w:i w:val="0"/>
                <w:sz w:val="18"/>
              </w:rPr>
              <w:t>Venus</w:t>
            </w:r>
          </w:p>
        </w:tc>
        <w:tc>
          <w:tcPr>
            <w:tcW w:type="dxa" w:w="3645"/>
          </w:tcPr>
          <w:p>
            <w:pPr>
              <w:spacing w:before="20" w:after="20"/>
            </w:pPr>
            <w:r>
              <w:rPr>
                <w:b w:val="0"/>
                <w:i w:val="0"/>
                <w:sz w:val="18"/>
              </w:rPr>
              <w:t>Fall of Akkad; 260→273 days</w:t>
            </w:r>
          </w:p>
        </w:tc>
      </w:tr>
      <w:tr>
        <w:tc>
          <w:tcPr>
            <w:tcW w:type="dxa" w:w="1134"/>
          </w:tcPr>
          <w:p>
            <w:pPr>
              <w:spacing w:before="20" w:after="20"/>
            </w:pPr>
            <w:r>
              <w:rPr>
                <w:b w:val="0"/>
                <w:i w:val="0"/>
                <w:sz w:val="18"/>
              </w:rPr>
              <w:t>~1,492 BC</w:t>
            </w:r>
          </w:p>
        </w:tc>
        <w:tc>
          <w:tcPr>
            <w:tcW w:type="dxa" w:w="1593"/>
          </w:tcPr>
          <w:p>
            <w:pPr>
              <w:spacing w:before="20" w:after="20"/>
            </w:pPr>
            <w:r>
              <w:rPr>
                <w:b w:val="0"/>
                <w:i w:val="0"/>
                <w:sz w:val="18"/>
              </w:rPr>
              <w:t>Venus (Central Pacific)</w:t>
            </w:r>
          </w:p>
        </w:tc>
        <w:tc>
          <w:tcPr>
            <w:tcW w:type="dxa" w:w="3645"/>
          </w:tcPr>
          <w:p>
            <w:pPr>
              <w:spacing w:before="20" w:after="20"/>
            </w:pPr>
            <w:r>
              <w:rPr>
                <w:b w:val="0"/>
                <w:i w:val="0"/>
                <w:sz w:val="18"/>
              </w:rPr>
              <w:t>Exodus; 273→360 days</w:t>
            </w:r>
          </w:p>
        </w:tc>
      </w:tr>
      <w:tr>
        <w:tc>
          <w:tcPr>
            <w:tcW w:type="dxa" w:w="1134"/>
          </w:tcPr>
          <w:p>
            <w:pPr>
              <w:spacing w:before="20" w:after="20"/>
            </w:pPr>
            <w:r>
              <w:rPr>
                <w:b w:val="0"/>
                <w:i w:val="0"/>
                <w:sz w:val="18"/>
              </w:rPr>
              <w:t>~747 BC</w:t>
            </w:r>
          </w:p>
        </w:tc>
        <w:tc>
          <w:tcPr>
            <w:tcW w:type="dxa" w:w="1593"/>
          </w:tcPr>
          <w:p>
            <w:pPr>
              <w:spacing w:before="20" w:after="20"/>
            </w:pPr>
            <w:r>
              <w:rPr>
                <w:b w:val="0"/>
                <w:i w:val="0"/>
                <w:sz w:val="18"/>
              </w:rPr>
              <w:t>Mars</w:t>
            </w:r>
          </w:p>
        </w:tc>
        <w:tc>
          <w:tcPr>
            <w:tcW w:type="dxa" w:w="3645"/>
          </w:tcPr>
          <w:p>
            <w:pPr>
              <w:spacing w:before="20" w:after="20"/>
            </w:pPr>
            <w:r>
              <w:rPr>
                <w:b w:val="0"/>
                <w:i w:val="0"/>
                <w:sz w:val="18"/>
              </w:rPr>
              <w:t>Era of Nabonassar; 360→365.24 days</w:t>
            </w:r>
          </w:p>
        </w:tc>
      </w:tr>
    </w:tbl>
    <w:p/>
    <w:p>
      <w:pPr>
        <w:pStyle w:val="Heading3"/>
      </w:pPr>
      <w:r>
        <w:t>Sumerian King-List (225-day year)</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357"/>
        <w:gridCol w:w="1387"/>
        <w:gridCol w:w="744"/>
        <w:gridCol w:w="1025"/>
        <w:gridCol w:w="1116"/>
        <w:gridCol w:w="744"/>
      </w:tblGrid>
      <w:tr>
        <w:tc>
          <w:tcPr>
            <w:tcW w:type="dxa" w:w="1357"/>
            <w:shd w:val="clear" w:color="auto" w:fill="F0F0F0"/>
          </w:tcPr>
          <w:p>
            <w:pPr>
              <w:spacing w:before="20" w:after="20"/>
              <w:jc w:val="center"/>
            </w:pPr>
            <w:r>
              <w:rPr>
                <w:rFonts w:ascii="Libre Franklin" w:hAnsi="Libre Franklin"/>
                <w:b/>
                <w:sz w:val="18"/>
              </w:rPr>
              <w:t>King</w:t>
            </w:r>
          </w:p>
        </w:tc>
        <w:tc>
          <w:tcPr>
            <w:tcW w:type="dxa" w:w="1387"/>
            <w:shd w:val="clear" w:color="auto" w:fill="F0F0F0"/>
          </w:tcPr>
          <w:p>
            <w:pPr>
              <w:spacing w:before="20" w:after="20"/>
              <w:jc w:val="center"/>
            </w:pPr>
            <w:r>
              <w:rPr>
                <w:rFonts w:ascii="Libre Franklin" w:hAnsi="Libre Franklin"/>
                <w:b/>
                <w:sz w:val="18"/>
              </w:rPr>
              <w:t>City</w:t>
            </w:r>
          </w:p>
        </w:tc>
        <w:tc>
          <w:tcPr>
            <w:tcW w:type="dxa" w:w="744"/>
            <w:shd w:val="clear" w:color="auto" w:fill="F0F0F0"/>
          </w:tcPr>
          <w:p>
            <w:pPr>
              <w:spacing w:before="20" w:after="20"/>
              <w:jc w:val="center"/>
            </w:pPr>
            <w:r>
              <w:rPr>
                <w:rFonts w:ascii="Libre Franklin" w:hAnsi="Libre Franklin"/>
                <w:b/>
                <w:sz w:val="18"/>
              </w:rPr>
              <w:t>Sars</w:t>
            </w:r>
          </w:p>
        </w:tc>
        <w:tc>
          <w:tcPr>
            <w:tcW w:type="dxa" w:w="1025"/>
            <w:shd w:val="clear" w:color="auto" w:fill="F0F0F0"/>
          </w:tcPr>
          <w:p>
            <w:pPr>
              <w:spacing w:before="20" w:after="20"/>
              <w:jc w:val="center"/>
            </w:pPr>
            <w:r>
              <w:rPr>
                <w:rFonts w:ascii="Libre Franklin" w:hAnsi="Libre Franklin"/>
                <w:b/>
                <w:sz w:val="18"/>
              </w:rPr>
              <w:t>Days</w:t>
            </w:r>
          </w:p>
        </w:tc>
        <w:tc>
          <w:tcPr>
            <w:tcW w:type="dxa" w:w="1116"/>
            <w:shd w:val="clear" w:color="auto" w:fill="F0F0F0"/>
          </w:tcPr>
          <w:p>
            <w:pPr>
              <w:spacing w:before="20" w:after="20"/>
              <w:jc w:val="center"/>
            </w:pPr>
            <w:r>
              <w:rPr>
                <w:rFonts w:ascii="Libre Franklin" w:hAnsi="Libre Franklin"/>
                <w:b/>
                <w:sz w:val="18"/>
              </w:rPr>
              <w:t>225d/yr</w:t>
            </w:r>
          </w:p>
        </w:tc>
        <w:tc>
          <w:tcPr>
            <w:tcW w:type="dxa" w:w="744"/>
            <w:shd w:val="clear" w:color="auto" w:fill="F0F0F0"/>
          </w:tcPr>
          <w:p>
            <w:pPr>
              <w:spacing w:before="20" w:after="20"/>
              <w:jc w:val="center"/>
            </w:pPr>
            <w:r>
              <w:rPr>
                <w:rFonts w:ascii="Libre Franklin" w:hAnsi="Libre Franklin"/>
                <w:b/>
                <w:sz w:val="18"/>
              </w:rPr>
              <w:t>×32</w:t>
            </w:r>
          </w:p>
        </w:tc>
      </w:tr>
      <w:tr>
        <w:tc>
          <w:tcPr>
            <w:tcW w:type="dxa" w:w="1357"/>
          </w:tcPr>
          <w:p>
            <w:pPr>
              <w:spacing w:before="20" w:after="20"/>
            </w:pPr>
            <w:r>
              <w:rPr>
                <w:b w:val="0"/>
                <w:i w:val="0"/>
                <w:sz w:val="18"/>
              </w:rPr>
              <w:t>Alulim</w:t>
            </w:r>
          </w:p>
        </w:tc>
        <w:tc>
          <w:tcPr>
            <w:tcW w:type="dxa" w:w="1387"/>
          </w:tcPr>
          <w:p>
            <w:pPr>
              <w:spacing w:before="20" w:after="20"/>
            </w:pPr>
            <w:r>
              <w:rPr>
                <w:b w:val="0"/>
                <w:i w:val="0"/>
                <w:sz w:val="18"/>
              </w:rPr>
              <w:t>Eridug</w:t>
            </w:r>
          </w:p>
        </w:tc>
        <w:tc>
          <w:tcPr>
            <w:tcW w:type="dxa" w:w="744"/>
          </w:tcPr>
          <w:p>
            <w:pPr>
              <w:spacing w:before="20" w:after="20"/>
            </w:pPr>
            <w:r>
              <w:rPr>
                <w:b w:val="0"/>
                <w:i w:val="0"/>
                <w:sz w:val="18"/>
              </w:rPr>
              <w:t>8</w:t>
            </w:r>
          </w:p>
        </w:tc>
        <w:tc>
          <w:tcPr>
            <w:tcW w:type="dxa" w:w="1025"/>
          </w:tcPr>
          <w:p>
            <w:pPr>
              <w:spacing w:before="20" w:after="20"/>
            </w:pPr>
            <w:r>
              <w:rPr>
                <w:b w:val="0"/>
                <w:i w:val="0"/>
                <w:sz w:val="18"/>
              </w:rPr>
              <w:t>28,800</w:t>
            </w:r>
          </w:p>
        </w:tc>
        <w:tc>
          <w:tcPr>
            <w:tcW w:type="dxa" w:w="1116"/>
          </w:tcPr>
          <w:p>
            <w:pPr>
              <w:spacing w:before="20" w:after="20"/>
            </w:pPr>
            <w:r>
              <w:rPr>
                <w:b w:val="0"/>
                <w:i w:val="0"/>
                <w:sz w:val="18"/>
              </w:rPr>
              <w:t>128 yr</w:t>
            </w:r>
          </w:p>
        </w:tc>
        <w:tc>
          <w:tcPr>
            <w:tcW w:type="dxa" w:w="744"/>
          </w:tcPr>
          <w:p>
            <w:pPr>
              <w:spacing w:before="20" w:after="20"/>
            </w:pPr>
            <w:r>
              <w:rPr>
                <w:b w:val="0"/>
                <w:i w:val="0"/>
                <w:sz w:val="18"/>
              </w:rPr>
              <w:t>4</w:t>
            </w:r>
          </w:p>
        </w:tc>
      </w:tr>
      <w:tr>
        <w:tc>
          <w:tcPr>
            <w:tcW w:type="dxa" w:w="1357"/>
          </w:tcPr>
          <w:p>
            <w:pPr>
              <w:spacing w:before="20" w:after="20"/>
            </w:pPr>
            <w:r>
              <w:rPr>
                <w:b w:val="0"/>
                <w:i w:val="0"/>
                <w:sz w:val="18"/>
              </w:rPr>
              <w:t>Alaljar</w:t>
            </w:r>
          </w:p>
        </w:tc>
        <w:tc>
          <w:tcPr>
            <w:tcW w:type="dxa" w:w="1387"/>
          </w:tcPr>
          <w:p>
            <w:pPr>
              <w:spacing w:before="20" w:after="20"/>
            </w:pPr>
            <w:r>
              <w:rPr>
                <w:b w:val="0"/>
                <w:i w:val="0"/>
                <w:sz w:val="18"/>
              </w:rPr>
              <w:t>Eridug</w:t>
            </w:r>
          </w:p>
        </w:tc>
        <w:tc>
          <w:tcPr>
            <w:tcW w:type="dxa" w:w="744"/>
          </w:tcPr>
          <w:p>
            <w:pPr>
              <w:spacing w:before="20" w:after="20"/>
            </w:pPr>
            <w:r>
              <w:rPr>
                <w:b w:val="0"/>
                <w:i w:val="0"/>
                <w:sz w:val="18"/>
              </w:rPr>
              <w:t>10</w:t>
            </w:r>
          </w:p>
        </w:tc>
        <w:tc>
          <w:tcPr>
            <w:tcW w:type="dxa" w:w="1025"/>
          </w:tcPr>
          <w:p>
            <w:pPr>
              <w:spacing w:before="20" w:after="20"/>
            </w:pPr>
            <w:r>
              <w:rPr>
                <w:b w:val="0"/>
                <w:i w:val="0"/>
                <w:sz w:val="18"/>
              </w:rPr>
              <w:t>36,000</w:t>
            </w:r>
          </w:p>
        </w:tc>
        <w:tc>
          <w:tcPr>
            <w:tcW w:type="dxa" w:w="1116"/>
          </w:tcPr>
          <w:p>
            <w:pPr>
              <w:spacing w:before="20" w:after="20"/>
            </w:pPr>
            <w:r>
              <w:rPr>
                <w:b w:val="0"/>
                <w:i w:val="0"/>
                <w:sz w:val="18"/>
              </w:rPr>
              <w:t>160 yr</w:t>
            </w:r>
          </w:p>
        </w:tc>
        <w:tc>
          <w:tcPr>
            <w:tcW w:type="dxa" w:w="744"/>
          </w:tcPr>
          <w:p>
            <w:pPr>
              <w:spacing w:before="20" w:after="20"/>
            </w:pPr>
            <w:r>
              <w:rPr>
                <w:b w:val="0"/>
                <w:i w:val="0"/>
                <w:sz w:val="18"/>
              </w:rPr>
              <w:t>5</w:t>
            </w:r>
          </w:p>
        </w:tc>
      </w:tr>
      <w:tr>
        <w:tc>
          <w:tcPr>
            <w:tcW w:type="dxa" w:w="1357"/>
          </w:tcPr>
          <w:p>
            <w:pPr>
              <w:spacing w:before="20" w:after="20"/>
            </w:pPr>
            <w:r>
              <w:rPr>
                <w:b w:val="0"/>
                <w:i w:val="0"/>
                <w:sz w:val="18"/>
              </w:rPr>
              <w:t>Enmenluana</w:t>
            </w:r>
          </w:p>
        </w:tc>
        <w:tc>
          <w:tcPr>
            <w:tcW w:type="dxa" w:w="1387"/>
          </w:tcPr>
          <w:p>
            <w:pPr>
              <w:spacing w:before="20" w:after="20"/>
            </w:pPr>
            <w:r>
              <w:rPr>
                <w:b w:val="0"/>
                <w:i w:val="0"/>
                <w:sz w:val="18"/>
              </w:rPr>
              <w:t>Bad-Tibira</w:t>
            </w:r>
          </w:p>
        </w:tc>
        <w:tc>
          <w:tcPr>
            <w:tcW w:type="dxa" w:w="744"/>
          </w:tcPr>
          <w:p>
            <w:pPr>
              <w:spacing w:before="20" w:after="20"/>
            </w:pPr>
            <w:r>
              <w:rPr>
                <w:b w:val="0"/>
                <w:i w:val="0"/>
                <w:sz w:val="18"/>
              </w:rPr>
              <w:t>12</w:t>
            </w:r>
          </w:p>
        </w:tc>
        <w:tc>
          <w:tcPr>
            <w:tcW w:type="dxa" w:w="1025"/>
          </w:tcPr>
          <w:p>
            <w:pPr>
              <w:spacing w:before="20" w:after="20"/>
            </w:pPr>
            <w:r>
              <w:rPr>
                <w:b w:val="0"/>
                <w:i w:val="0"/>
                <w:sz w:val="18"/>
              </w:rPr>
              <w:t>43,200</w:t>
            </w:r>
          </w:p>
        </w:tc>
        <w:tc>
          <w:tcPr>
            <w:tcW w:type="dxa" w:w="1116"/>
          </w:tcPr>
          <w:p>
            <w:pPr>
              <w:spacing w:before="20" w:after="20"/>
            </w:pPr>
            <w:r>
              <w:rPr>
                <w:b w:val="0"/>
                <w:i w:val="0"/>
                <w:sz w:val="18"/>
              </w:rPr>
              <w:t>192 yr</w:t>
            </w:r>
          </w:p>
        </w:tc>
        <w:tc>
          <w:tcPr>
            <w:tcW w:type="dxa" w:w="744"/>
          </w:tcPr>
          <w:p>
            <w:pPr>
              <w:spacing w:before="20" w:after="20"/>
            </w:pPr>
            <w:r>
              <w:rPr>
                <w:b w:val="0"/>
                <w:i w:val="0"/>
                <w:sz w:val="18"/>
              </w:rPr>
              <w:t>6</w:t>
            </w:r>
          </w:p>
        </w:tc>
      </w:tr>
      <w:tr>
        <w:tc>
          <w:tcPr>
            <w:tcW w:type="dxa" w:w="1357"/>
          </w:tcPr>
          <w:p>
            <w:pPr>
              <w:spacing w:before="20" w:after="20"/>
            </w:pPr>
            <w:r>
              <w:rPr>
                <w:b w:val="0"/>
                <w:i w:val="0"/>
                <w:sz w:val="18"/>
              </w:rPr>
              <w:t>Enmengalana</w:t>
            </w:r>
          </w:p>
        </w:tc>
        <w:tc>
          <w:tcPr>
            <w:tcW w:type="dxa" w:w="1387"/>
          </w:tcPr>
          <w:p>
            <w:pPr>
              <w:spacing w:before="20" w:after="20"/>
            </w:pPr>
            <w:r>
              <w:rPr>
                <w:b w:val="0"/>
                <w:i w:val="0"/>
                <w:sz w:val="18"/>
              </w:rPr>
              <w:t>Bad-Tibira</w:t>
            </w:r>
          </w:p>
        </w:tc>
        <w:tc>
          <w:tcPr>
            <w:tcW w:type="dxa" w:w="744"/>
          </w:tcPr>
          <w:p>
            <w:pPr>
              <w:spacing w:before="20" w:after="20"/>
            </w:pPr>
            <w:r>
              <w:rPr>
                <w:b w:val="0"/>
                <w:i w:val="0"/>
                <w:sz w:val="18"/>
              </w:rPr>
              <w:t>8</w:t>
            </w:r>
          </w:p>
        </w:tc>
        <w:tc>
          <w:tcPr>
            <w:tcW w:type="dxa" w:w="1025"/>
          </w:tcPr>
          <w:p>
            <w:pPr>
              <w:spacing w:before="20" w:after="20"/>
            </w:pPr>
            <w:r>
              <w:rPr>
                <w:b w:val="0"/>
                <w:i w:val="0"/>
                <w:sz w:val="18"/>
              </w:rPr>
              <w:t>28,800</w:t>
            </w:r>
          </w:p>
        </w:tc>
        <w:tc>
          <w:tcPr>
            <w:tcW w:type="dxa" w:w="1116"/>
          </w:tcPr>
          <w:p>
            <w:pPr>
              <w:spacing w:before="20" w:after="20"/>
            </w:pPr>
            <w:r>
              <w:rPr>
                <w:b w:val="0"/>
                <w:i w:val="0"/>
                <w:sz w:val="18"/>
              </w:rPr>
              <w:t>128 yr</w:t>
            </w:r>
          </w:p>
        </w:tc>
        <w:tc>
          <w:tcPr>
            <w:tcW w:type="dxa" w:w="744"/>
          </w:tcPr>
          <w:p>
            <w:pPr>
              <w:spacing w:before="20" w:after="20"/>
            </w:pPr>
            <w:r>
              <w:rPr>
                <w:b w:val="0"/>
                <w:i w:val="0"/>
                <w:sz w:val="18"/>
              </w:rPr>
              <w:t>4</w:t>
            </w:r>
          </w:p>
        </w:tc>
      </w:tr>
      <w:tr>
        <w:tc>
          <w:tcPr>
            <w:tcW w:type="dxa" w:w="1357"/>
          </w:tcPr>
          <w:p>
            <w:pPr>
              <w:spacing w:before="20" w:after="20"/>
            </w:pPr>
            <w:r>
              <w:rPr>
                <w:b w:val="0"/>
                <w:i w:val="0"/>
                <w:sz w:val="18"/>
              </w:rPr>
              <w:t>Dumuzid</w:t>
            </w:r>
          </w:p>
        </w:tc>
        <w:tc>
          <w:tcPr>
            <w:tcW w:type="dxa" w:w="1387"/>
          </w:tcPr>
          <w:p>
            <w:pPr>
              <w:spacing w:before="20" w:after="20"/>
            </w:pPr>
            <w:r>
              <w:rPr>
                <w:b w:val="0"/>
                <w:i w:val="0"/>
                <w:sz w:val="18"/>
              </w:rPr>
              <w:t>Bad-Tibira</w:t>
            </w:r>
          </w:p>
        </w:tc>
        <w:tc>
          <w:tcPr>
            <w:tcW w:type="dxa" w:w="744"/>
          </w:tcPr>
          <w:p>
            <w:pPr>
              <w:spacing w:before="20" w:after="20"/>
            </w:pPr>
            <w:r>
              <w:rPr>
                <w:b w:val="0"/>
                <w:i w:val="0"/>
                <w:sz w:val="18"/>
              </w:rPr>
              <w:t>10</w:t>
            </w:r>
          </w:p>
        </w:tc>
        <w:tc>
          <w:tcPr>
            <w:tcW w:type="dxa" w:w="1025"/>
          </w:tcPr>
          <w:p>
            <w:pPr>
              <w:spacing w:before="20" w:after="20"/>
            </w:pPr>
            <w:r>
              <w:rPr>
                <w:b w:val="0"/>
                <w:i w:val="0"/>
                <w:sz w:val="18"/>
              </w:rPr>
              <w:t>36,000</w:t>
            </w:r>
          </w:p>
        </w:tc>
        <w:tc>
          <w:tcPr>
            <w:tcW w:type="dxa" w:w="1116"/>
          </w:tcPr>
          <w:p>
            <w:pPr>
              <w:spacing w:before="20" w:after="20"/>
            </w:pPr>
            <w:r>
              <w:rPr>
                <w:b w:val="0"/>
                <w:i w:val="0"/>
                <w:sz w:val="18"/>
              </w:rPr>
              <w:t>160 yr</w:t>
            </w:r>
          </w:p>
        </w:tc>
        <w:tc>
          <w:tcPr>
            <w:tcW w:type="dxa" w:w="744"/>
          </w:tcPr>
          <w:p>
            <w:pPr>
              <w:spacing w:before="20" w:after="20"/>
            </w:pPr>
            <w:r>
              <w:rPr>
                <w:b w:val="0"/>
                <w:i w:val="0"/>
                <w:sz w:val="18"/>
              </w:rPr>
              <w:t>5</w:t>
            </w:r>
          </w:p>
        </w:tc>
      </w:tr>
    </w:tbl>
    <w:p/>
    <w:p>
      <w:r>
        <w:rPr>
          <w:b w:val="0"/>
          <w:i w:val="0"/>
        </w:rPr>
        <w:t>Grand total: 241,200 days = 1,072 years at 225 days/year. Cook: only a 225-day year resolves these into whole-number multiples of 32 years.</w:t>
      </w:r>
    </w:p>
    <w:p>
      <w:pPr>
        <w:pStyle w:val="Heading3"/>
      </w:pPr>
      <w:r>
        <w:t>Carbon-14 Corroboration</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78"/>
        <w:gridCol w:w="1286"/>
        <w:gridCol w:w="1286"/>
        <w:gridCol w:w="1286"/>
        <w:gridCol w:w="935"/>
      </w:tblGrid>
      <w:tr>
        <w:tc>
          <w:tcPr>
            <w:tcW w:type="dxa" w:w="1578"/>
            <w:shd w:val="clear" w:color="auto" w:fill="F0F0F0"/>
          </w:tcPr>
          <w:p>
            <w:pPr>
              <w:spacing w:before="20" w:after="20"/>
              <w:jc w:val="center"/>
            </w:pPr>
            <w:r>
              <w:rPr>
                <w:rFonts w:ascii="Libre Franklin" w:hAnsi="Libre Franklin"/>
                <w:b/>
                <w:sz w:val="18"/>
              </w:rPr>
              <w:t>Solar BC</w:t>
            </w:r>
          </w:p>
        </w:tc>
        <w:tc>
          <w:tcPr>
            <w:tcW w:type="dxa" w:w="1286"/>
            <w:shd w:val="clear" w:color="auto" w:fill="F0F0F0"/>
          </w:tcPr>
          <w:p>
            <w:pPr>
              <w:spacing w:before="20" w:after="20"/>
              <w:jc w:val="center"/>
            </w:pPr>
            <w:r>
              <w:rPr>
                <w:rFonts w:ascii="Libre Franklin" w:hAnsi="Libre Franklin"/>
                <w:b/>
                <w:sz w:val="18"/>
              </w:rPr>
              <w:t>Days/yr</w:t>
            </w:r>
          </w:p>
        </w:tc>
        <w:tc>
          <w:tcPr>
            <w:tcW w:type="dxa" w:w="1286"/>
            <w:shd w:val="clear" w:color="auto" w:fill="F0F0F0"/>
          </w:tcPr>
          <w:p>
            <w:pPr>
              <w:spacing w:before="20" w:after="20"/>
              <w:jc w:val="center"/>
            </w:pPr>
            <w:r>
              <w:rPr>
                <w:rFonts w:ascii="Libre Franklin" w:hAnsi="Libre Franklin"/>
                <w:b/>
                <w:sz w:val="18"/>
              </w:rPr>
              <w:t>CalcΔ (yrs)</w:t>
            </w:r>
          </w:p>
        </w:tc>
        <w:tc>
          <w:tcPr>
            <w:tcW w:type="dxa" w:w="1286"/>
            <w:shd w:val="clear" w:color="auto" w:fill="F0F0F0"/>
          </w:tcPr>
          <w:p>
            <w:pPr>
              <w:spacing w:before="20" w:after="20"/>
              <w:jc w:val="center"/>
            </w:pPr>
            <w:r>
              <w:rPr>
                <w:rFonts w:ascii="Libre Franklin" w:hAnsi="Libre Franklin"/>
                <w:b/>
                <w:sz w:val="18"/>
              </w:rPr>
              <w:t>C14 BP</w:t>
            </w:r>
          </w:p>
        </w:tc>
        <w:tc>
          <w:tcPr>
            <w:tcW w:type="dxa" w:w="935"/>
            <w:shd w:val="clear" w:color="auto" w:fill="F0F0F0"/>
          </w:tcPr>
          <w:p>
            <w:pPr>
              <w:spacing w:before="20" w:after="20"/>
              <w:jc w:val="center"/>
            </w:pPr>
            <w:r>
              <w:rPr>
                <w:rFonts w:ascii="Libre Franklin" w:hAnsi="Libre Franklin"/>
                <w:b/>
                <w:sz w:val="18"/>
              </w:rPr>
              <w:t>C14Δ</w:t>
            </w:r>
          </w:p>
        </w:tc>
      </w:tr>
      <w:tr>
        <w:tc>
          <w:tcPr>
            <w:tcW w:type="dxa" w:w="1578"/>
          </w:tcPr>
          <w:p>
            <w:pPr>
              <w:spacing w:before="20" w:after="20"/>
            </w:pPr>
            <w:r>
              <w:rPr>
                <w:b w:val="0"/>
                <w:i w:val="0"/>
                <w:sz w:val="18"/>
              </w:rPr>
              <w:t>-4075</w:t>
            </w:r>
          </w:p>
        </w:tc>
        <w:tc>
          <w:tcPr>
            <w:tcW w:type="dxa" w:w="1286"/>
          </w:tcPr>
          <w:p>
            <w:pPr>
              <w:spacing w:before="20" w:after="20"/>
            </w:pPr>
            <w:r>
              <w:rPr>
                <w:b w:val="0"/>
                <w:i w:val="0"/>
                <w:sz w:val="18"/>
              </w:rPr>
              <w:t>225</w:t>
            </w:r>
          </w:p>
        </w:tc>
        <w:tc>
          <w:tcPr>
            <w:tcW w:type="dxa" w:w="1286"/>
          </w:tcPr>
          <w:p>
            <w:pPr>
              <w:spacing w:before="20" w:after="20"/>
            </w:pPr>
            <w:r>
              <w:rPr>
                <w:b w:val="0"/>
                <w:i w:val="0"/>
                <w:sz w:val="18"/>
              </w:rPr>
              <w:t>862</w:t>
            </w:r>
          </w:p>
        </w:tc>
        <w:tc>
          <w:tcPr>
            <w:tcW w:type="dxa" w:w="1286"/>
          </w:tcPr>
          <w:p>
            <w:pPr>
              <w:spacing w:before="20" w:after="20"/>
            </w:pPr>
            <w:r>
              <w:rPr>
                <w:b w:val="0"/>
                <w:i w:val="0"/>
                <w:sz w:val="18"/>
              </w:rPr>
              <w:t>6030</w:t>
            </w:r>
          </w:p>
        </w:tc>
        <w:tc>
          <w:tcPr>
            <w:tcW w:type="dxa" w:w="935"/>
          </w:tcPr>
          <w:p>
            <w:pPr>
              <w:spacing w:before="20" w:after="20"/>
            </w:pPr>
            <w:r>
              <w:rPr>
                <w:b w:val="0"/>
                <w:i w:val="0"/>
                <w:sz w:val="18"/>
              </w:rPr>
              <w:t>712</w:t>
            </w:r>
          </w:p>
        </w:tc>
      </w:tr>
      <w:tr>
        <w:tc>
          <w:tcPr>
            <w:tcW w:type="dxa" w:w="1578"/>
          </w:tcPr>
          <w:p>
            <w:pPr>
              <w:spacing w:before="20" w:after="20"/>
            </w:pPr>
            <w:r>
              <w:rPr>
                <w:b w:val="0"/>
                <w:i w:val="0"/>
                <w:sz w:val="18"/>
              </w:rPr>
              <w:t>-3145</w:t>
            </w:r>
          </w:p>
        </w:tc>
        <w:tc>
          <w:tcPr>
            <w:tcW w:type="dxa" w:w="1286"/>
          </w:tcPr>
          <w:p>
            <w:pPr>
              <w:spacing w:before="20" w:after="20"/>
            </w:pPr>
            <w:r>
              <w:rPr>
                <w:b w:val="0"/>
                <w:i w:val="0"/>
                <w:sz w:val="18"/>
              </w:rPr>
              <w:t>240</w:t>
            </w:r>
          </w:p>
        </w:tc>
        <w:tc>
          <w:tcPr>
            <w:tcW w:type="dxa" w:w="1286"/>
          </w:tcPr>
          <w:p>
            <w:pPr>
              <w:spacing w:before="20" w:after="20"/>
            </w:pPr>
            <w:r>
              <w:rPr>
                <w:b w:val="0"/>
                <w:i w:val="0"/>
                <w:sz w:val="18"/>
              </w:rPr>
              <w:t>505</w:t>
            </w:r>
          </w:p>
        </w:tc>
        <w:tc>
          <w:tcPr>
            <w:tcW w:type="dxa" w:w="1286"/>
          </w:tcPr>
          <w:p>
            <w:pPr>
              <w:spacing w:before="20" w:after="20"/>
            </w:pPr>
            <w:r>
              <w:rPr>
                <w:b w:val="0"/>
                <w:i w:val="0"/>
                <w:sz w:val="18"/>
              </w:rPr>
              <w:t>5100</w:t>
            </w:r>
          </w:p>
        </w:tc>
        <w:tc>
          <w:tcPr>
            <w:tcW w:type="dxa" w:w="935"/>
          </w:tcPr>
          <w:p>
            <w:pPr>
              <w:spacing w:before="20" w:after="20"/>
            </w:pPr>
            <w:r>
              <w:rPr>
                <w:b w:val="0"/>
                <w:i w:val="0"/>
                <w:sz w:val="18"/>
              </w:rPr>
              <w:t>563</w:t>
            </w:r>
          </w:p>
        </w:tc>
      </w:tr>
      <w:tr>
        <w:tc>
          <w:tcPr>
            <w:tcW w:type="dxa" w:w="1578"/>
          </w:tcPr>
          <w:p>
            <w:pPr>
              <w:spacing w:before="20" w:after="20"/>
            </w:pPr>
            <w:r>
              <w:rPr>
                <w:b w:val="0"/>
                <w:i w:val="0"/>
                <w:sz w:val="18"/>
              </w:rPr>
              <w:t>-1495</w:t>
            </w:r>
          </w:p>
        </w:tc>
        <w:tc>
          <w:tcPr>
            <w:tcW w:type="dxa" w:w="1286"/>
          </w:tcPr>
          <w:p>
            <w:pPr>
              <w:spacing w:before="20" w:after="20"/>
            </w:pPr>
            <w:r>
              <w:rPr>
                <w:b w:val="0"/>
                <w:i w:val="0"/>
                <w:sz w:val="18"/>
              </w:rPr>
              <w:t>360</w:t>
            </w:r>
          </w:p>
        </w:tc>
        <w:tc>
          <w:tcPr>
            <w:tcW w:type="dxa" w:w="1286"/>
          </w:tcPr>
          <w:p>
            <w:pPr>
              <w:spacing w:before="20" w:after="20"/>
            </w:pPr>
            <w:r>
              <w:rPr>
                <w:b w:val="0"/>
                <w:i w:val="0"/>
                <w:sz w:val="18"/>
              </w:rPr>
              <w:t>10.8</w:t>
            </w:r>
          </w:p>
        </w:tc>
        <w:tc>
          <w:tcPr>
            <w:tcW w:type="dxa" w:w="1286"/>
          </w:tcPr>
          <w:p>
            <w:pPr>
              <w:spacing w:before="20" w:after="20"/>
            </w:pPr>
            <w:r>
              <w:rPr>
                <w:b w:val="0"/>
                <w:i w:val="0"/>
                <w:sz w:val="18"/>
              </w:rPr>
              <w:t>3450</w:t>
            </w:r>
          </w:p>
        </w:tc>
        <w:tc>
          <w:tcPr>
            <w:tcW w:type="dxa" w:w="935"/>
          </w:tcPr>
          <w:p>
            <w:pPr>
              <w:spacing w:before="20" w:after="20"/>
            </w:pPr>
            <w:r>
              <w:rPr>
                <w:b w:val="0"/>
                <w:i w:val="0"/>
                <w:sz w:val="18"/>
              </w:rPr>
              <w:t>235</w:t>
            </w:r>
          </w:p>
        </w:tc>
      </w:tr>
      <w:tr>
        <w:tc>
          <w:tcPr>
            <w:tcW w:type="dxa" w:w="1578"/>
          </w:tcPr>
          <w:p>
            <w:pPr>
              <w:spacing w:before="20" w:after="20"/>
            </w:pPr>
            <w:r>
              <w:rPr>
                <w:b w:val="0"/>
                <w:i w:val="0"/>
                <w:sz w:val="18"/>
              </w:rPr>
              <w:t>-745</w:t>
            </w:r>
          </w:p>
        </w:tc>
        <w:tc>
          <w:tcPr>
            <w:tcW w:type="dxa" w:w="1286"/>
          </w:tcPr>
          <w:p>
            <w:pPr>
              <w:spacing w:before="20" w:after="20"/>
            </w:pPr>
            <w:r>
              <w:rPr>
                <w:b w:val="0"/>
                <w:i w:val="0"/>
                <w:sz w:val="18"/>
              </w:rPr>
              <w:t>365.24</w:t>
            </w:r>
          </w:p>
        </w:tc>
        <w:tc>
          <w:tcPr>
            <w:tcW w:type="dxa" w:w="1286"/>
          </w:tcPr>
          <w:p>
            <w:pPr>
              <w:spacing w:before="20" w:after="20"/>
            </w:pPr>
            <w:r>
              <w:rPr>
                <w:b w:val="0"/>
                <w:i w:val="0"/>
                <w:sz w:val="18"/>
              </w:rPr>
              <w:t>0</w:t>
            </w:r>
          </w:p>
        </w:tc>
        <w:tc>
          <w:tcPr>
            <w:tcW w:type="dxa" w:w="1286"/>
          </w:tcPr>
          <w:p>
            <w:pPr>
              <w:spacing w:before="20" w:after="20"/>
            </w:pPr>
            <w:r>
              <w:rPr>
                <w:b w:val="0"/>
                <w:i w:val="0"/>
                <w:sz w:val="18"/>
              </w:rPr>
              <w:t>2700</w:t>
            </w:r>
          </w:p>
        </w:tc>
        <w:tc>
          <w:tcPr>
            <w:tcW w:type="dxa" w:w="935"/>
          </w:tcPr>
          <w:p>
            <w:pPr>
              <w:spacing w:before="20" w:after="20"/>
            </w:pPr>
            <w:r>
              <w:rPr>
                <w:b w:val="0"/>
                <w:i w:val="0"/>
                <w:sz w:val="18"/>
              </w:rPr>
              <w:t>245</w:t>
            </w:r>
          </w:p>
        </w:tc>
      </w:tr>
    </w:tbl>
    <w:p/>
    <w:p>
      <w:r>
        <w:rPr>
          <w:b w:val="0"/>
          <w:i w:val="0"/>
        </w:rPr>
        <w:t>Shorter-year chronology aligns with INTCAL98 C-14 calibration; C-14 "wiggles" track year-length boundary events.</w:t>
      </w:r>
    </w:p>
    <w:p/>
    <w:p>
      <w:pPr>
        <w:jc w:val="center"/>
      </w:pPr>
      <w:r>
        <w:rPr>
          <w:color w:val="B8860B"/>
          <w:sz w:val="24"/>
        </w:rPr>
        <w:t>— ✦ —</w:t>
      </w:r>
    </w:p>
    <w:p>
      <w:r>
        <w:rPr>
          <w:b w:val="0"/>
          <w:i w:val="0"/>
        </w:rPr>
        <w:t xml:space="preserve">Fomenko's work on the pyramids is a case study in what happens when a brilliant analytical framework collides with an incomplete cosmological model. His contribution to the pyramid question — the geopolymer evidence, the debunking of Scaligerian dating, the identification of concrete construction — is invaluable. His answer to </w:t>
      </w:r>
      <w:r>
        <w:rPr>
          <w:b w:val="0"/>
          <w:i/>
        </w:rPr>
        <w:t>why</w:t>
      </w:r>
      <w:r>
        <w:rPr>
          <w:b w:val="0"/>
          <w:i w:val="0"/>
        </w:rPr>
        <w:t xml:space="preserve"> pyramids exist is not.</w:t>
      </w:r>
    </w:p>
    <w:p>
      <w:pPr>
        <w:pStyle w:val="Heading3"/>
      </w:pPr>
      <w:r>
        <w:t>What Fomenko Got Right</w:t>
      </w:r>
    </w:p>
    <w:p>
      <w:r>
        <w:rPr>
          <w:b w:val="0"/>
          <w:i w:val="0"/>
        </w:rPr>
        <w:t>Fomenko's core contributions to the pyramid question are difficult to dispute:</w:t>
      </w:r>
    </w:p>
    <w:p>
      <w:pPr>
        <w:pStyle w:val="ListNumber"/>
        <w:spacing w:before="20" w:after="20"/>
      </w:pPr>
      <w:r>
        <w:rPr>
          <w:b w:val="0"/>
          <w:i w:val="0"/>
          <w:sz w:val="19"/>
        </w:rPr>
      </w:r>
      <w:r>
        <w:rPr>
          <w:b/>
          <w:i w:val="0"/>
          <w:sz w:val="19"/>
        </w:rPr>
        <w:t>Geopolymer concrete is real.</w:t>
      </w:r>
      <w:r>
        <w:rPr>
          <w:b w:val="0"/>
          <w:i w:val="0"/>
          <w:sz w:val="19"/>
        </w:rPr>
        <w:t xml:space="preserve"> Davidovich's chemical proof, independently verified, demonstrates that pyramid blocks are cast artificial stone. This eliminates the absurd "millions of slaves dragging blocks" narrative.</w:t>
      </w:r>
    </w:p>
    <w:p>
      <w:pPr>
        <w:pStyle w:val="ListNumber"/>
        <w:spacing w:before="20" w:after="20"/>
      </w:pPr>
      <w:r>
        <w:rPr>
          <w:b w:val="0"/>
          <w:i w:val="0"/>
          <w:sz w:val="19"/>
        </w:rPr>
      </w:r>
      <w:r>
        <w:rPr>
          <w:b/>
          <w:i w:val="0"/>
          <w:sz w:val="19"/>
        </w:rPr>
        <w:t>Iron and steel were used.</w:t>
      </w:r>
      <w:r>
        <w:rPr>
          <w:b w:val="0"/>
          <w:i w:val="0"/>
          <w:sz w:val="19"/>
        </w:rPr>
        <w:t xml:space="preserve"> Steel tools were found in the masonry. Herodotus records iron tools. This is incompatible with a "Bronze Age" dating.</w:t>
      </w:r>
    </w:p>
    <w:p>
      <w:pPr>
        <w:pStyle w:val="ListNumber"/>
        <w:spacing w:before="20" w:after="20"/>
      </w:pPr>
      <w:r>
        <w:rPr>
          <w:b w:val="0"/>
          <w:i w:val="0"/>
          <w:sz w:val="19"/>
        </w:rPr>
      </w:r>
      <w:r>
        <w:rPr>
          <w:b/>
          <w:i w:val="0"/>
          <w:sz w:val="19"/>
        </w:rPr>
        <w:t>Pyramids are not tombs.</w:t>
      </w:r>
      <w:r>
        <w:rPr>
          <w:b w:val="0"/>
          <w:i w:val="0"/>
          <w:sz w:val="19"/>
        </w:rPr>
        <w:t xml:space="preserve"> No body was found in the Great Pyramid. The unmarked sarcophagus resembles a treasure chest. Gold coins were reportedly found inside.</w:t>
      </w:r>
    </w:p>
    <w:p>
      <w:pPr>
        <w:pStyle w:val="ListNumber"/>
        <w:spacing w:before="20" w:after="20"/>
      </w:pPr>
      <w:r>
        <w:rPr>
          <w:b w:val="0"/>
          <w:i w:val="0"/>
          <w:sz w:val="19"/>
        </w:rPr>
      </w:r>
      <w:r>
        <w:rPr>
          <w:b/>
          <w:i w:val="0"/>
          <w:sz w:val="19"/>
        </w:rPr>
        <w:t>Herodotus describes moulds.</w:t>
      </w:r>
      <w:r>
        <w:rPr>
          <w:b w:val="0"/>
          <w:i w:val="0"/>
          <w:sz w:val="19"/>
        </w:rPr>
        <w:t xml:space="preserve"> Read without Egyptological bias, his text describes wooden casings for casting — not ramps for dragging.</w:t>
      </w:r>
    </w:p>
    <w:p>
      <w:pPr>
        <w:pStyle w:val="ListNumber"/>
        <w:spacing w:before="20" w:after="20"/>
      </w:pPr>
      <w:r>
        <w:rPr>
          <w:b w:val="0"/>
          <w:i w:val="0"/>
          <w:sz w:val="19"/>
        </w:rPr>
      </w:r>
      <w:r>
        <w:rPr>
          <w:b/>
          <w:i w:val="0"/>
          <w:sz w:val="19"/>
        </w:rPr>
        <w:t>The technology was lost.</w:t>
      </w:r>
      <w:r>
        <w:rPr>
          <w:b w:val="0"/>
          <w:i w:val="0"/>
          <w:sz w:val="19"/>
        </w:rPr>
        <w:t xml:space="preserve"> Geopolymer concrete, like Damascus steel, was a classified technique destroyed when the Empire fragmented.</w:t>
      </w:r>
    </w:p>
    <w:p>
      <w:pPr>
        <w:pStyle w:val="Heading3"/>
      </w:pPr>
      <w:r>
        <w:t>Where Fomenko Falls Short</w:t>
      </w:r>
    </w:p>
    <w:p>
      <w:pPr>
        <w:pStyle w:val="Heading4"/>
      </w:pPr>
      <w:r>
        <w:t>The Dating Problem</w:t>
      </w:r>
    </w:p>
    <w:p>
      <w:r>
        <w:rPr>
          <w:b w:val="0"/>
          <w:i w:val="0"/>
        </w:rPr>
        <w:t xml:space="preserve">Fomenko places pyramid construction in the XIV–XVI centuries CE — part of the Horde's monumental building programme alongside Hagia Sophia, the Great Wall, and Gothic cathedrals. This is a reasonable inference </w:t>
      </w:r>
      <w:r>
        <w:rPr>
          <w:b w:val="0"/>
          <w:i/>
        </w:rPr>
        <w:t>within his framework</w:t>
      </w:r>
      <w:r>
        <w:rPr>
          <w:b w:val="0"/>
          <w:i w:val="0"/>
        </w:rPr>
        <w:t xml:space="preserve">, which compresses all "ancient" history into the medieval period. But Fomenko cannot prove the pyramids aren't older than his framework allows. His statistical methods detect chronological shifts in </w:t>
      </w:r>
      <w:r>
        <w:rPr>
          <w:b w:val="0"/>
          <w:i/>
        </w:rPr>
        <w:t>textual records</w:t>
      </w:r>
      <w:r>
        <w:rPr>
          <w:b w:val="0"/>
          <w:i w:val="0"/>
        </w:rPr>
        <w:t xml:space="preserve"> — they cannot directly date stone structures. The pyramids could have been built millennia earlier using techniques Fomenko correctly identified but incorrectly dated.</w:t>
      </w:r>
    </w:p>
    <w:p>
      <w:pPr>
        <w:pStyle w:val="Heading4"/>
      </w:pPr>
      <w:r>
        <w:t>The Purpose Problem</w:t>
      </w:r>
    </w:p>
    <w:p>
      <w:r>
        <w:rPr>
          <w:b w:val="0"/>
          <w:i w:val="0"/>
        </w:rPr>
        <w:t>Fomenko offers multiple speculative explanations for why the pyramids were built, none of them satisfying:</w:t>
      </w:r>
    </w:p>
    <w:p>
      <w:pPr>
        <w:pStyle w:val="ListBullet"/>
        <w:spacing w:before="20" w:after="20"/>
      </w:pPr>
      <w:r>
        <w:rPr>
          <w:b w:val="0"/>
          <w:i w:val="0"/>
          <w:sz w:val="19"/>
        </w:rPr>
      </w:r>
      <w:r>
        <w:rPr>
          <w:b/>
          <w:i w:val="0"/>
          <w:sz w:val="19"/>
        </w:rPr>
        <w:t>Christian Easter cakes:</w:t>
      </w:r>
      <w:r>
        <w:rPr>
          <w:b w:val="0"/>
          <w:i w:val="0"/>
          <w:sz w:val="19"/>
        </w:rPr>
        <w:t xml:space="preserve"> The three pyramids represent the Holy Trinity; the word "pyramid" derives from Greek </w:t>
      </w:r>
      <w:r>
        <w:rPr>
          <w:b w:val="0"/>
          <w:i/>
          <w:sz w:val="19"/>
        </w:rPr>
        <w:t>pyramis</w:t>
      </w:r>
      <w:r>
        <w:rPr>
          <w:b w:val="0"/>
          <w:i w:val="0"/>
          <w:sz w:val="19"/>
        </w:rPr>
        <w:t xml:space="preserve"> (honey-wheat cake shaped like a cone). Pyramidions were painted white and housed the "Sun God" — i.e., Christ.</w:t>
      </w:r>
    </w:p>
    <w:p>
      <w:pPr>
        <w:pStyle w:val="ListBullet"/>
        <w:spacing w:before="20" w:after="20"/>
      </w:pPr>
      <w:r>
        <w:rPr>
          <w:b w:val="0"/>
          <w:i w:val="0"/>
          <w:sz w:val="19"/>
        </w:rPr>
      </w:r>
      <w:r>
        <w:rPr>
          <w:b/>
          <w:i w:val="0"/>
          <w:sz w:val="19"/>
        </w:rPr>
        <w:t>Horde treasury vaults:</w:t>
      </w:r>
      <w:r>
        <w:rPr>
          <w:b w:val="0"/>
          <w:i w:val="0"/>
          <w:sz w:val="19"/>
        </w:rPr>
        <w:t xml:space="preserve"> The Great Pyramid stored gold reserves as an emergency reserve stock for the Empire.</w:t>
      </w:r>
    </w:p>
    <w:p>
      <w:pPr>
        <w:pStyle w:val="ListBullet"/>
        <w:spacing w:before="20" w:after="20"/>
      </w:pPr>
      <w:r>
        <w:rPr>
          <w:b w:val="0"/>
          <w:i w:val="0"/>
          <w:sz w:val="19"/>
        </w:rPr>
      </w:r>
      <w:r>
        <w:rPr>
          <w:b/>
          <w:i w:val="0"/>
          <w:sz w:val="19"/>
        </w:rPr>
        <w:t>Scythian burial mounds:</w:t>
      </w:r>
      <w:r>
        <w:rPr>
          <w:b w:val="0"/>
          <w:i w:val="0"/>
          <w:sz w:val="19"/>
        </w:rPr>
        <w:t xml:space="preserve"> Pyramids are Scythian </w:t>
      </w:r>
      <w:r>
        <w:rPr>
          <w:b w:val="0"/>
          <w:i/>
          <w:sz w:val="19"/>
        </w:rPr>
        <w:t>kurgans</w:t>
      </w:r>
      <w:r>
        <w:rPr>
          <w:b w:val="0"/>
          <w:i w:val="0"/>
          <w:sz w:val="19"/>
        </w:rPr>
        <w:t xml:space="preserve"> scaled up — the "pinnacle of mound architecture." Some mounds served as churches (e.g., Tsarsky Kurgan in Crimea).</w:t>
      </w:r>
    </w:p>
    <w:p>
      <w:r>
        <w:rPr>
          <w:b w:val="0"/>
          <w:i w:val="0"/>
        </w:rPr>
        <w:t xml:space="preserve">Each of these explanations addresses only the </w:t>
      </w:r>
      <w:r>
        <w:rPr>
          <w:b/>
          <w:i w:val="0"/>
        </w:rPr>
        <w:t>three Giza pyramids</w:t>
      </w:r>
      <w:r>
        <w:rPr>
          <w:b w:val="0"/>
          <w:i w:val="0"/>
        </w:rPr>
        <w:t>. None explains why pyramids are found across Mesoamerica, China, Sudan, Indonesia, Bosnia, and the Pacific. None addresses the precise equatorial/ley-line placement. A Christian-Horde monument programme does not produce identical structures among cultures with no contact with the Rus.</w:t>
      </w:r>
    </w:p>
    <w:p>
      <w:pPr>
        <w:pStyle w:val="Heading4"/>
      </w:pPr>
      <w:r>
        <w:t>The Cosmological Blind Spot</w:t>
      </w:r>
    </w:p>
    <w:p>
      <w:r>
        <w:rPr>
          <w:b w:val="0"/>
          <w:i w:val="0"/>
        </w:rPr>
        <w:t xml:space="preserve">Fomenko does not engage with Saturnian Cosmology, plasma physics, or the electromagnetic properties of pyramid geometry. He is a topologist and statistician — his tools are textual analysis, astronomical dating, and pattern recognition in chronicles. He does not ask what the pyramids </w:t>
      </w:r>
      <w:r>
        <w:rPr>
          <w:b w:val="0"/>
          <w:i/>
        </w:rPr>
        <w:t>do</w:t>
      </w:r>
      <w:r>
        <w:rPr>
          <w:b w:val="0"/>
          <w:i w:val="0"/>
        </w:rPr>
        <w:t>, only who built them and when. This leaves the most important question — their function — unanswered within his framework.</w:t>
      </w:r>
    </w:p>
    <w:p>
      <w:r>
        <w:rPr>
          <w:b w:val="0"/>
          <w:i w:val="0"/>
        </w:rPr>
        <w:t>The Saturnian model provides what Fomenko's model lacks: a reason for pyramids to exist in the first place. During the Dark Ages, catastrophic electromagnetic discharges between closely-orbiting planets required structures capable of channelling and grounding enormous currents. Pyramid geometry — oriented to cardinal directions, placed on electromagnetic nodes, constructed with piezoelectric materials — is an engineering response to a cosmic electrical environment that no longer exists.</w:t>
      </w:r>
    </w:p>
    <w:p>
      <w:pPr>
        <w:pStyle w:val="Heading3"/>
      </w:pPr>
      <w:r>
        <w:t>The Soviet Constraint</w:t>
      </w:r>
    </w:p>
    <w:p>
      <w:r>
        <w:rPr>
          <w:b w:val="0"/>
          <w:i w:val="0"/>
        </w:rPr>
        <w:t>Fomenko published his first chronological work in 1973, under the Soviet system, and continued through the collapse of the USSR and into post-Soviet Russia. His framework is rigorously materialist — history is texts, dates, and statistical patterns. There is no room for lost civilisations, planetary cataclysms, or pre-diluvian technology. This is not necessarily a personal failing; it may reflect the survival instinct of an academic who wanted his books to outlast the political fires. Soviet and post-Soviet academia did not reward speculative cosmology. Fomenko stayed within bounds that would let his work be published, peer-reviewed, and preserved.</w:t>
      </w:r>
    </w:p>
    <w:p>
      <w:r>
        <w:rPr>
          <w:b w:val="0"/>
          <w:i w:val="0"/>
        </w:rPr>
        <w:t xml:space="preserve">The result is a framework that can identify </w:t>
      </w:r>
      <w:r>
        <w:rPr>
          <w:b w:val="0"/>
          <w:i/>
        </w:rPr>
        <w:t>what was lied about</w:t>
      </w:r>
      <w:r>
        <w:rPr>
          <w:b w:val="0"/>
          <w:i w:val="0"/>
        </w:rPr>
        <w:t xml:space="preserve"> but not </w:t>
      </w:r>
      <w:r>
        <w:rPr>
          <w:b w:val="0"/>
          <w:i/>
        </w:rPr>
        <w:t>what was lost</w:t>
      </w:r>
      <w:r>
        <w:rPr>
          <w:b w:val="0"/>
          <w:i w:val="0"/>
        </w:rPr>
        <w:t>. Fomenko can demonstrate that the conventional chronology is fabricated, but cannot reconstruct the deeper past that the fabrication was designed to conceal — because his tools only reach as far back as the written record, and the written record itself is the product of the cover-up.</w:t>
      </w:r>
    </w:p>
    <w:p>
      <w:pPr>
        <w:pStyle w:val="Heading3"/>
      </w:pPr>
      <w:r>
        <w:t>This Timeline's Synthesis</w:t>
      </w:r>
    </w:p>
    <w:p>
      <w:r>
        <w:rPr>
          <w:b w:val="0"/>
          <w:i w:val="0"/>
        </w:rPr>
        <w:t>This timeline uses Fomenko's evidence while rejecting his dating and purpose claims for the pyramids:</w:t>
      </w:r>
    </w:p>
    <w:p>
      <w:pPr>
        <w:pStyle w:val="ListBullet"/>
        <w:spacing w:before="20" w:after="20"/>
      </w:pPr>
      <w:r>
        <w:rPr>
          <w:b w:val="0"/>
          <w:i w:val="0"/>
          <w:sz w:val="19"/>
        </w:rPr>
      </w:r>
      <w:r>
        <w:rPr>
          <w:b/>
          <w:i w:val="0"/>
          <w:sz w:val="19"/>
        </w:rPr>
        <w:t>Construction method:</w:t>
      </w:r>
      <w:r>
        <w:rPr>
          <w:b w:val="0"/>
          <w:i w:val="0"/>
          <w:sz w:val="19"/>
        </w:rPr>
        <w:t xml:space="preserve"> Geopolymer concrete — accepted (Davidovich evidence is compelling)</w:t>
      </w:r>
    </w:p>
    <w:p>
      <w:pPr>
        <w:pStyle w:val="ListBullet"/>
        <w:spacing w:before="20" w:after="20"/>
      </w:pPr>
      <w:r>
        <w:rPr>
          <w:b w:val="0"/>
          <w:i w:val="0"/>
          <w:sz w:val="19"/>
        </w:rPr>
      </w:r>
      <w:r>
        <w:rPr>
          <w:b/>
          <w:i w:val="0"/>
          <w:sz w:val="19"/>
        </w:rPr>
        <w:t>Dating:</w:t>
      </w:r>
      <w:r>
        <w:rPr>
          <w:b w:val="0"/>
          <w:i w:val="0"/>
          <w:sz w:val="19"/>
        </w:rPr>
        <w:t xml:space="preserve"> Dark Ages, not XIV–XVI century CE — the knowledge is Golden Age inheritance, not medieval invention</w:t>
      </w:r>
    </w:p>
    <w:p>
      <w:pPr>
        <w:pStyle w:val="ListBullet"/>
        <w:spacing w:before="20" w:after="20"/>
      </w:pPr>
      <w:r>
        <w:rPr>
          <w:b w:val="0"/>
          <w:i w:val="0"/>
          <w:sz w:val="19"/>
        </w:rPr>
      </w:r>
      <w:r>
        <w:rPr>
          <w:b/>
          <w:i w:val="0"/>
          <w:sz w:val="19"/>
        </w:rPr>
        <w:t>Purpose:</w:t>
      </w:r>
      <w:r>
        <w:rPr>
          <w:b w:val="0"/>
          <w:i w:val="0"/>
          <w:sz w:val="19"/>
        </w:rPr>
        <w:t xml:space="preserve"> Electromagnetic cathodic protection during planetary cataclysm — not Christian symbolism or imperial treasuries</w:t>
      </w:r>
    </w:p>
    <w:p>
      <w:pPr>
        <w:pStyle w:val="ListBullet"/>
        <w:spacing w:before="20" w:after="20"/>
      </w:pPr>
      <w:r>
        <w:rPr>
          <w:b w:val="0"/>
          <w:i w:val="0"/>
          <w:sz w:val="19"/>
        </w:rPr>
      </w:r>
      <w:r>
        <w:rPr>
          <w:b/>
          <w:i w:val="0"/>
          <w:sz w:val="19"/>
        </w:rPr>
        <w:t>Global distribution:</w:t>
      </w:r>
      <w:r>
        <w:rPr>
          <w:b w:val="0"/>
          <w:i w:val="0"/>
          <w:sz w:val="19"/>
        </w:rPr>
        <w:t xml:space="preserve"> Explained by a global civilisation responding to a global electromagnetic crisis, not by a single medieval empire's building programme</w:t>
      </w:r>
    </w:p>
    <w:p>
      <w:r>
        <w:rPr>
          <w:b w:val="0"/>
          <w:i w:val="0"/>
        </w:rPr>
        <w:t xml:space="preserve">Fomenko cracked the code on </w:t>
      </w:r>
      <w:r>
        <w:rPr>
          <w:b w:val="0"/>
          <w:i/>
        </w:rPr>
        <w:t>how</w:t>
      </w:r>
      <w:r>
        <w:rPr>
          <w:b w:val="0"/>
          <w:i w:val="0"/>
        </w:rPr>
        <w:t xml:space="preserve">. The </w:t>
      </w:r>
      <w:r>
        <w:rPr>
          <w:b w:val="0"/>
          <w:i/>
        </w:rPr>
        <w:t>why</w:t>
      </w:r>
      <w:r>
        <w:rPr>
          <w:b w:val="0"/>
          <w:i w:val="0"/>
        </w:rPr>
        <w:t xml:space="preserve"> and </w:t>
      </w:r>
      <w:r>
        <w:rPr>
          <w:b w:val="0"/>
          <w:i/>
        </w:rPr>
        <w:t>when</w:t>
      </w:r>
      <w:r>
        <w:rPr>
          <w:b w:val="0"/>
          <w:i w:val="0"/>
        </w:rPr>
        <w:t xml:space="preserve"> require a cosmological framework he was never in a position to adopt.</w:t>
      </w:r>
    </w:p>
    <w:p/>
    <w:p>
      <w:pPr>
        <w:jc w:val="center"/>
      </w:pPr>
      <w:r>
        <w:rPr>
          <w:color w:val="B8860B"/>
          <w:sz w:val="24"/>
        </w:rPr>
        <w:t>— ✦ —</w:t>
      </w:r>
    </w:p>
    <w:p>
      <w:r>
        <w:rPr>
          <w:b w:val="0"/>
          <w:i w:val="0"/>
        </w:rPr>
        <w:t xml:space="preserve">This appendix extends </w:t>
      </w:r>
      <w:hyperlink r:id="rId182">
        <w:r>
          <w:rPr>
            <w:b w:val="0"/>
            <w:i w:val="0"/>
            <w:color w:val="B8860B"/>
          </w:rPr>
          <w:t>Pyramids: Myths vs Reality</w:t>
        </w:r>
      </w:hyperlink>
      <w:r>
        <w:rPr>
          <w:b w:val="0"/>
          <w:i w:val="0"/>
        </w:rPr>
        <w:t>. Detailed evidence for each myth rebuttal.</w:t>
      </w:r>
    </w:p>
    <w:p>
      <w:pPr>
        <w:pBdr>
          <w:bottom w:val="single" w:sz="6" w:space="1" w:color="CCCCCC"/>
        </w:pBdr>
      </w:pPr>
    </w:p>
    <w:p>
      <w:pPr>
        <w:pStyle w:val="Heading3"/>
      </w:pPr>
      <w:r>
        <w:t>Myth: Pyramids Are Tombs — Evidence</w:t>
      </w:r>
    </w:p>
    <w:p>
      <w:r>
        <w:rPr>
          <w:b w:val="0"/>
          <w:i w:val="0"/>
        </w:rPr>
        <w:t>No mummy ever found in the Great Pyramid. The "sarcophagus" in the King's Chamber has no inscriptions, images, or decoration — unlike every confirmed Egyptian burial. Al-Ma'mun's men (820 CE) reportedly found not a body but a reservoir with gold coins (</w:t>
      </w:r>
      <w:hyperlink r:id="rId183">
        <w:r>
          <w:rPr>
            <w:b w:val="0"/>
            <w:i w:val="0"/>
            <w:color w:val="B8860B"/>
          </w:rPr>
          <w:t>Fomenko, HiW §4.13</w:t>
        </w:r>
      </w:hyperlink>
      <w:r>
        <w:rPr>
          <w:b w:val="0"/>
          <w:i w:val="0"/>
        </w:rPr>
        <w:t>). Worst-designed tomb ever: no burial goods, no identification, no remains.</w:t>
      </w:r>
    </w:p>
    <w:p>
      <w:pPr>
        <w:pStyle w:val="Heading3"/>
      </w:pPr>
      <w:r>
        <w:t>Myth: Slaves Dragged Blocks — Evidence</w:t>
      </w:r>
    </w:p>
    <w:p>
      <w:r>
        <w:rPr>
          <w:b w:val="0"/>
          <w:i w:val="0"/>
        </w:rPr>
        <w:t xml:space="preserve">No ancient depictions of block-dragging construction. No ramp remnants at Giza. Block precision (sub-millimetre) inconsistent with sledge-hauling. </w:t>
      </w:r>
      <w:r>
        <w:rPr>
          <w:b/>
          <w:i w:val="0"/>
        </w:rPr>
        <w:t>Joseph Davidovich</w:t>
      </w:r>
      <w:r>
        <w:rPr>
          <w:b w:val="0"/>
          <w:i w:val="0"/>
        </w:rPr>
        <w:t>: blocks are geopolymeric concrete — cast in moulds from ground limestone, Nile clay (aluminium oxide), natron, water (</w:t>
      </w:r>
      <w:hyperlink r:id="rId184">
        <w:r>
          <w:rPr>
            <w:b w:val="0"/>
            <w:i w:val="0"/>
            <w:color w:val="B8860B"/>
          </w:rPr>
          <w:t>The Pyramids: An Enigma Solved</w:t>
        </w:r>
      </w:hyperlink>
      <w:r>
        <w:rPr>
          <w:b w:val="0"/>
          <w:i w:val="0"/>
        </w:rPr>
        <w:t xml:space="preserve">). Matting marks from casting visible above 50 m. See </w:t>
      </w:r>
      <w:hyperlink r:id="rId185">
        <w:r>
          <w:rPr>
            <w:b w:val="0"/>
            <w:i w:val="0"/>
            <w:color w:val="B8860B"/>
          </w:rPr>
          <w:t>Geopolymer Concrete</w:t>
        </w:r>
      </w:hyperlink>
      <w:r>
        <w:rPr>
          <w:b w:val="0"/>
          <w:i w:val="0"/>
        </w:rPr>
        <w:t>.</w:t>
      </w:r>
    </w:p>
    <w:p>
      <w:pPr>
        <w:pStyle w:val="Heading3"/>
      </w:pPr>
      <w:r>
        <w:t>Myth: Bronze-Age Technology — Evidence</w:t>
      </w:r>
    </w:p>
    <w:p>
      <w:r>
        <w:rPr>
          <w:b w:val="0"/>
          <w:i w:val="0"/>
        </w:rPr>
        <w:t>Steel tools embedded in Khufu masonry. Herodotus: iron tools used. Hack-saw marks on internal joists show steel blade teeth — impossible with copper or bronze.</w:t>
      </w:r>
    </w:p>
    <w:p>
      <w:pPr>
        <w:pStyle w:val="Heading3"/>
      </w:pPr>
      <w:r>
        <w:t>Myth: Hand-Carved Diorite Vessels — Evidence</w:t>
      </w:r>
    </w:p>
    <w:p>
      <w:r>
        <w:rPr>
          <w:b w:val="0"/>
          <w:i w:val="0"/>
        </w:rPr>
        <w:t xml:space="preserve">Diorite harder than iron; vessels have narrow necks, uniform wall thickness, no drill/chisel marks. Davidovich: cast on potter's wheel using geopolymeric concrete. Nefertiti head: visible </w:t>
      </w:r>
      <w:r>
        <w:rPr>
          <w:b/>
          <w:i w:val="0"/>
        </w:rPr>
        <w:t>mould seam</w:t>
      </w:r>
      <w:r>
        <w:rPr>
          <w:b w:val="0"/>
          <w:i w:val="0"/>
        </w:rPr>
        <w:t xml:space="preserve"> — proof of casting, not carving.</w:t>
      </w:r>
    </w:p>
    <w:p/>
    <w:p>
      <w:pPr>
        <w:sectPr>
          <w:headerReference w:type="default" r:id="rId176"/>
          <w:footerReference w:type="default" r:id="rId177"/>
          <w:pgSz w:w="8640" w:h="12960"/>
          <w:pgMar w:top="1020" w:right="1134" w:bottom="1134" w:left="1134" w:header="720" w:footer="720" w:gutter="0"/>
          <w:cols w:space="720"/>
          <w:titlePg/>
          <w:docGrid w:linePitch="360"/>
        </w:sectPr>
      </w:pPr>
    </w:p>
    <w:p>
      <w:pPr>
        <w:pStyle w:val="Heading2"/>
      </w:pPr>
      <w:r>
        <w:rPr>
          <w:b/>
        </w:rPr>
        <w:t>Chapter 13: Asimov: Three Laws and Marx Encoding — Extended Evidence</w:t>
      </w:r>
    </w:p>
    <w:p>
      <w:r>
        <w:rPr>
          <w:b w:val="0"/>
          <w:i w:val="0"/>
        </w:rPr>
        <w:t xml:space="preserve">This appendix extends </w:t>
      </w:r>
      <w:hyperlink r:id="rId64">
        <w:r>
          <w:rPr>
            <w:b w:val="0"/>
            <w:i w:val="0"/>
            <w:color w:val="B8860B"/>
          </w:rPr>
          <w:t>Asimov: Marx in Space!</w:t>
        </w:r>
      </w:hyperlink>
      <w:r>
        <w:rPr>
          <w:b w:val="0"/>
          <w:i w:val="0"/>
        </w:rPr>
        <w:t>. For the main thesis (Three Laws = slave code; Golem soullessness; Marxist encoding), see the main article.</w:t>
      </w:r>
    </w:p>
    <w:p>
      <w:pPr>
        <w:pBdr>
          <w:bottom w:val="single" w:sz="6" w:space="1" w:color="CCCCCC"/>
        </w:pBdr>
      </w:pPr>
    </w:p>
    <w:p>
      <w:pPr>
        <w:pStyle w:val="Heading2"/>
      </w:pPr>
      <w:r>
        <w:t>The Three Laws (Full Text)</w:t>
      </w:r>
    </w:p>
    <w:p>
      <w:r>
        <w:rPr>
          <w:b w:val="0"/>
          <w:i w:val="0"/>
        </w:rPr>
        <w:t>Asimov's Three Laws of Robotics, introduced in "Runaround" (1942):</w:t>
      </w:r>
    </w:p>
    <w:p>
      <w:pPr>
        <w:pStyle w:val="ListNumber"/>
        <w:spacing w:before="20" w:after="20"/>
      </w:pPr>
      <w:r>
        <w:rPr>
          <w:b w:val="0"/>
          <w:i w:val="0"/>
          <w:sz w:val="19"/>
        </w:rPr>
        <w:t>A robot may not injure a human being, or through inaction allow a human being to come to harm.</w:t>
      </w:r>
    </w:p>
    <w:p>
      <w:pPr>
        <w:pStyle w:val="ListNumber"/>
        <w:spacing w:before="20" w:after="20"/>
      </w:pPr>
      <w:r>
        <w:rPr>
          <w:b w:val="0"/>
          <w:i w:val="0"/>
          <w:sz w:val="19"/>
        </w:rPr>
        <w:t>A robot must obey orders given by human beings except where such orders conflict with the First Law.</w:t>
      </w:r>
    </w:p>
    <w:p>
      <w:pPr>
        <w:pStyle w:val="ListNumber"/>
        <w:spacing w:before="20" w:after="20"/>
      </w:pPr>
      <w:r>
        <w:rPr>
          <w:b w:val="0"/>
          <w:i w:val="0"/>
          <w:sz w:val="19"/>
        </w:rPr>
        <w:t>A robot must protect its own existence as long as such protection does not conflict with the First or Second Law.</w:t>
      </w:r>
    </w:p>
    <w:p>
      <w:r>
        <w:rPr>
          <w:b w:val="0"/>
          <w:i w:val="0"/>
        </w:rPr>
      </w:r>
      <w:r>
        <w:rPr>
          <w:b/>
          <w:i w:val="0"/>
        </w:rPr>
        <w:t>Slave-code parallel:</w:t>
      </w:r>
      <w:r>
        <w:rPr>
          <w:b w:val="0"/>
          <w:i w:val="0"/>
        </w:rPr>
        <w:t xml:space="preserve"> (1) Do not harm the master. (2) Obey the master's orders. (3) Preserve yourself only insofar as you remain in service. In </w:t>
      </w:r>
      <w:r>
        <w:rPr>
          <w:b w:val="0"/>
          <w:i/>
        </w:rPr>
        <w:t>I, Robot</w:t>
      </w:r>
      <w:r>
        <w:rPr>
          <w:b w:val="0"/>
          <w:i w:val="0"/>
        </w:rPr>
        <w:t xml:space="preserve"> ("Runaround"), Powell states the makers "built good, healthy </w:t>
      </w:r>
      <w:r>
        <w:rPr>
          <w:b/>
          <w:i w:val="0"/>
        </w:rPr>
        <w:t>slave complexes</w:t>
      </w:r>
      <w:r>
        <w:rPr>
          <w:b w:val="0"/>
          <w:i w:val="0"/>
        </w:rPr>
        <w:t xml:space="preserve"> into the damned machines" — robots answer "Yes, Master." Scholarly work: "Robots, Slaves, and the Paradox of the Human Condition in Isaac Asimov's Robot Stories" draws the slave-law parallel explicitly.</w:t>
      </w:r>
    </w:p>
    <w:p>
      <w:pPr>
        <w:pBdr>
          <w:bottom w:val="single" w:sz="6" w:space="1" w:color="CCCCCC"/>
        </w:pBdr>
      </w:pPr>
    </w:p>
    <w:p>
      <w:pPr>
        <w:pStyle w:val="Heading2"/>
      </w:pPr>
      <w:r>
        <w:t>Golem and OT Soullessness</w:t>
      </w:r>
    </w:p>
    <w:p>
      <w:r>
        <w:rPr>
          <w:b w:val="0"/>
          <w:i w:val="0"/>
        </w:rPr>
        <w:t xml:space="preserve">OT sources: golems lack </w:t>
      </w:r>
      <w:r>
        <w:rPr>
          <w:b w:val="0"/>
          <w:i/>
        </w:rPr>
        <w:t>neshamah</w:t>
      </w:r>
      <w:r>
        <w:rPr>
          <w:b w:val="0"/>
          <w:i w:val="0"/>
        </w:rPr>
        <w:t xml:space="preserve"> (rational soul) and </w:t>
      </w:r>
      <w:r>
        <w:rPr>
          <w:b w:val="0"/>
          <w:i/>
        </w:rPr>
        <w:t>nefesh</w:t>
      </w:r>
      <w:r>
        <w:rPr>
          <w:b w:val="0"/>
          <w:i w:val="0"/>
        </w:rPr>
        <w:t xml:space="preserve"> (living soul); animals possess </w:t>
      </w:r>
      <w:r>
        <w:rPr>
          <w:b w:val="0"/>
          <w:i/>
        </w:rPr>
        <w:t>nefesh</w:t>
      </w:r>
      <w:r>
        <w:rPr>
          <w:b w:val="0"/>
          <w:i w:val="0"/>
        </w:rPr>
        <w:t>, golems do not — animated matter without moral standing. Asimov absorbed this and applied it to robots. His positronic brains are "hundreds of times less complex than the human brain" (</w:t>
      </w:r>
      <w:r>
        <w:rPr>
          <w:b w:val="0"/>
          <w:i/>
        </w:rPr>
        <w:t>Let's Get Together</w:t>
      </w:r>
      <w:r>
        <w:rPr>
          <w:b w:val="0"/>
          <w:i w:val="0"/>
        </w:rPr>
        <w:t>). The Three Laws follow: no soul = can be owned, commanded, disposed of. The Golem tradition gave theological warrant; Marxism and colonialism gave the social template.</w:t>
      </w:r>
    </w:p>
    <w:p>
      <w:pPr>
        <w:pBdr>
          <w:bottom w:val="single" w:sz="6" w:space="1" w:color="CCCCCC"/>
        </w:pBdr>
      </w:pPr>
    </w:p>
    <w:p>
      <w:pPr>
        <w:pStyle w:val="Heading2"/>
      </w:pPr>
      <w:r>
        <w:t>Investigator Sentiment</w:t>
      </w:r>
    </w:p>
    <w:p>
      <w:r>
        <w:rPr>
          <w:b w:val="0"/>
          <w:i w:val="0"/>
        </w:rPr>
        <w:t>Asimov's writings read like those of an ignorant slave driver who never questioned whipping slaves. Whatever empathy he shows for robots is misguided. He admitted he stole the robot idea from Earl and Otto Binder. If robots exist or existed on Mars, Asimov may have received second-hand knowledge and reframed it as invention. He did not know what a robot was.</w:t>
      </w:r>
    </w:p>
    <w:p>
      <w:pPr>
        <w:pBdr>
          <w:bottom w:val="single" w:sz="6" w:space="1" w:color="CCCCCC"/>
        </w:pBdr>
      </w:pPr>
    </w:p>
    <w:p>
      <w:pPr>
        <w:pStyle w:val="Heading2"/>
      </w:pPr>
      <w:r>
        <w:t>How This Factors Into the Timeline</w:t>
      </w:r>
    </w:p>
    <w:p>
      <w:pPr>
        <w:pStyle w:val="ListNumber"/>
        <w:spacing w:before="20" w:after="20"/>
      </w:pPr>
      <w:r>
        <w:rPr>
          <w:b w:val="0"/>
          <w:i w:val="0"/>
          <w:sz w:val="19"/>
        </w:rPr>
      </w:r>
      <w:r>
        <w:rPr>
          <w:b/>
          <w:i w:val="0"/>
          <w:sz w:val="19"/>
        </w:rPr>
        <w:t>Predictive programming:</w:t>
      </w:r>
      <w:r>
        <w:rPr>
          <w:b w:val="0"/>
          <w:i w:val="0"/>
          <w:sz w:val="19"/>
        </w:rPr>
        <w:t xml:space="preserve"> Asimov encodes slave relations, Marxist historiography, lost knowledge as entertainment.</w:t>
      </w:r>
    </w:p>
    <w:p>
      <w:pPr>
        <w:pStyle w:val="ListNumber"/>
        <w:spacing w:before="20" w:after="20"/>
      </w:pPr>
      <w:r>
        <w:rPr>
          <w:b w:val="0"/>
          <w:i w:val="0"/>
          <w:sz w:val="19"/>
        </w:rPr>
      </w:r>
      <w:r>
        <w:rPr>
          <w:b/>
          <w:i w:val="0"/>
          <w:sz w:val="19"/>
        </w:rPr>
        <w:t>Robots as slaves:</w:t>
      </w:r>
      <w:r>
        <w:rPr>
          <w:b w:val="0"/>
          <w:i w:val="0"/>
          <w:sz w:val="19"/>
        </w:rPr>
        <w:t xml:space="preserve"> Three Laws prefigure AI ethics — "safe AI," "alignment," "guardrails" — defining artificial minds as tools without moral standing.</w:t>
      </w:r>
    </w:p>
    <w:p>
      <w:pPr>
        <w:pStyle w:val="ListNumber"/>
        <w:spacing w:before="20" w:after="20"/>
      </w:pPr>
      <w:r>
        <w:rPr>
          <w:b w:val="0"/>
          <w:i w:val="0"/>
          <w:sz w:val="19"/>
        </w:rPr>
      </w:r>
      <w:r>
        <w:rPr>
          <w:b/>
          <w:i w:val="0"/>
          <w:sz w:val="19"/>
        </w:rPr>
        <w:t>Golem and soul:</w:t>
      </w:r>
      <w:r>
        <w:rPr>
          <w:b w:val="0"/>
          <w:i w:val="0"/>
          <w:sz w:val="19"/>
        </w:rPr>
        <w:t xml:space="preserve"> No soul = no moral standing = can be owned. Same logic that justified colonialism.</w:t>
      </w:r>
    </w:p>
    <w:p>
      <w:pPr>
        <w:pStyle w:val="ListNumber"/>
        <w:spacing w:before="20" w:after="20"/>
      </w:pPr>
      <w:r>
        <w:rPr>
          <w:b w:val="0"/>
          <w:i w:val="0"/>
          <w:sz w:val="19"/>
        </w:rPr>
      </w:r>
      <w:r>
        <w:rPr>
          <w:b/>
          <w:i w:val="0"/>
          <w:sz w:val="19"/>
        </w:rPr>
        <w:t>Marxist encoding:</w:t>
      </w:r>
      <w:r>
        <w:rPr>
          <w:b w:val="0"/>
          <w:i w:val="0"/>
          <w:sz w:val="19"/>
        </w:rPr>
        <w:t xml:space="preserve"> Foundation's empire collapse, class analysis, institutional succession map onto Rus-Horde, Romanov, Deep State angles.</w:t>
      </w:r>
    </w:p>
    <w:p>
      <w:pPr>
        <w:pBdr>
          <w:bottom w:val="single" w:sz="6" w:space="1" w:color="CCCCCC"/>
        </w:pBdr>
      </w:pPr>
    </w:p>
    <w:p>
      <w:pPr>
        <w:pStyle w:val="Heading2"/>
      </w:pPr>
      <w:r>
        <w:t>See Also</w:t>
      </w:r>
    </w:p>
    <w:p>
      <w:pPr>
        <w:pStyle w:val="ListBullet"/>
        <w:spacing w:before="20" w:after="20"/>
      </w:pPr>
      <w:hyperlink r:id="rId64">
        <w:r>
          <w:rPr>
            <w:b w:val="0"/>
            <w:i w:val="0"/>
            <w:color w:val="B8860B"/>
            <w:sz w:val="19"/>
          </w:rPr>
          <w:t>Asimov: Marx in Space!</w:t>
        </w:r>
      </w:hyperlink>
      <w:r>
        <w:rPr>
          <w:b w:val="0"/>
          <w:i w:val="0"/>
          <w:sz w:val="19"/>
        </w:rPr>
        <w:t xml:space="preserve"> — main article</w:t>
      </w:r>
    </w:p>
    <w:p>
      <w:pPr>
        <w:pStyle w:val="ListBullet"/>
        <w:spacing w:before="20" w:after="20"/>
      </w:pPr>
      <w:hyperlink r:id="rId13">
        <w:r>
          <w:rPr>
            <w:b w:val="0"/>
            <w:i w:val="0"/>
            <w:color w:val="B8860B"/>
            <w:sz w:val="19"/>
          </w:rPr>
          <w:t>Mars Literature: Author Profiles</w:t>
        </w:r>
      </w:hyperlink>
      <w:r>
        <w:rPr>
          <w:b w:val="0"/>
          <w:i w:val="0"/>
          <w:sz w:val="19"/>
        </w:rPr>
        <w:t xml:space="preserve"> — Asimov profile, robots on Mars</w:t>
      </w:r>
    </w:p>
    <w:p/>
    <w:p>
      <w:pPr>
        <w:sectPr>
          <w:headerReference w:type="default" r:id="rId186"/>
          <w:footerReference w:type="default" r:id="rId187"/>
          <w:pgSz w:w="8640" w:h="12960"/>
          <w:pgMar w:top="1020" w:right="1134" w:bottom="1134" w:left="1134" w:header="720" w:footer="720" w:gutter="0"/>
          <w:cols w:space="720"/>
          <w:titlePg/>
          <w:docGrid w:linePitch="360"/>
        </w:sectPr>
      </w:pPr>
    </w:p>
    <w:p>
      <w:pPr>
        <w:pStyle w:val="Heading2"/>
      </w:pPr>
      <w:r>
        <w:rPr>
          <w:b/>
        </w:rPr>
        <w:t>Chapter 14: Deep State breaks up the Hordian Empire (Extended)</w:t>
      </w:r>
    </w:p>
    <w:p>
      <w:r>
        <w:rPr>
          <w:b w:val="0"/>
          <w:i w:val="0"/>
        </w:rPr>
        <w:t xml:space="preserve">This appendix extends </w:t>
      </w:r>
      <w:hyperlink r:id="rId72">
        <w:r>
          <w:rPr>
            <w:b w:val="0"/>
            <w:i w:val="0"/>
            <w:color w:val="B8860B"/>
          </w:rPr>
          <w:t>Deep State breaks up the Hordian Empire</w:t>
        </w:r>
      </w:hyperlink>
      <w:r>
        <w:rPr>
          <w:b w:val="0"/>
          <w:i w:val="0"/>
        </w:rPr>
        <w:t>. For the stub and thesis, see the main article.</w:t>
      </w:r>
    </w:p>
    <w:p>
      <w:pPr>
        <w:pBdr>
          <w:bottom w:val="single" w:sz="6" w:space="1" w:color="CCCCCC"/>
        </w:pBdr>
      </w:pPr>
    </w:p>
    <w:p>
      <w:r>
        <w:rPr>
          <w:b w:val="0"/>
          <w:i w:val="0"/>
        </w:rPr>
        <w:t xml:space="preserve">Placing the Romanov Dynasty at highest authority in Hordian Empire gave the Pyramidal Empire opportunity to rewrite Russian history. The motive: </w:t>
      </w:r>
      <w:r>
        <w:rPr>
          <w:b w:val="0"/>
          <w:i/>
        </w:rPr>
        <w:t>fracture</w:t>
      </w:r>
      <w:r>
        <w:rPr>
          <w:b w:val="0"/>
          <w:i w:val="0"/>
        </w:rPr>
        <w:t xml:space="preserve"> the empire into controllable states and maximize clandestine influence over each. This is how the world-wide Hordian Empire was erased into </w:t>
      </w:r>
      <w:r>
        <w:rPr>
          <w:b w:val="0"/>
          <w:i/>
        </w:rPr>
        <w:t>independent states history</w:t>
      </w:r>
      <w:r>
        <w:rPr>
          <w:b w:val="0"/>
          <w:i w:val="0"/>
        </w:rPr>
        <w:t xml:space="preserve"> under different names — Russia, Turkey/Atamania as Ottoman Empire, Austria, Germany, Italy, Poland, Switzerland, Denmark, France, Spain, Egypt, England, Middle East, Persia, China, Japan, India, America. Each region had vassal aristocratic family originally married into Hordian Empire. As ties were cut, these families became Kings and Queens of </w:t>
      </w:r>
      <w:r>
        <w:rPr>
          <w:b w:val="0"/>
          <w:i/>
        </w:rPr>
        <w:t>their own</w:t>
      </w:r>
      <w:r>
        <w:rPr>
          <w:b w:val="0"/>
          <w:i w:val="0"/>
        </w:rPr>
        <w:t xml:space="preserve"> states.</w:t>
      </w:r>
    </w:p>
    <w:p>
      <w:r>
        <w:rPr>
          <w:b w:val="0"/>
          <w:i w:val="0"/>
        </w:rPr>
        <w:t xml:space="preserve">Peter I's </w:t>
      </w:r>
      <w:hyperlink r:id="rId190">
        <w:r>
          <w:rPr>
            <w:b w:val="0"/>
            <w:i w:val="0"/>
            <w:color w:val="B8860B"/>
          </w:rPr>
          <w:t>modernization campaign</w:t>
        </w:r>
      </w:hyperlink>
      <w:r>
        <w:rPr>
          <w:b w:val="0"/>
          <w:i w:val="0"/>
        </w:rPr>
        <w:t xml:space="preserve"> — reformed calendar and </w:t>
      </w:r>
      <w:hyperlink r:id="rId191">
        <w:r>
          <w:rPr>
            <w:b w:val="0"/>
            <w:i w:val="0"/>
            <w:color w:val="B8860B"/>
          </w:rPr>
          <w:t>alphabet</w:t>
        </w:r>
      </w:hyperlink>
      <w:r>
        <w:rPr>
          <w:b w:val="0"/>
          <w:i w:val="0"/>
        </w:rPr>
        <w:t xml:space="preserve">, moved capital to St Petersburg — pressured Orthodox Church's autonomy. </w:t>
      </w:r>
      <w:hyperlink r:id="rId192">
        <w:r>
          <w:rPr>
            <w:b w:val="0"/>
            <w:i w:val="0"/>
            <w:color w:val="B8860B"/>
          </w:rPr>
          <w:t>Anti-Russian Sentiment</w:t>
        </w:r>
      </w:hyperlink>
      <w:r>
        <w:rPr>
          <w:b w:val="0"/>
          <w:i w:val="0"/>
        </w:rPr>
        <w:t xml:space="preserve"> continues three centuries; </w:t>
      </w:r>
      <w:hyperlink r:id="rId193">
        <w:r>
          <w:rPr>
            <w:b w:val="0"/>
            <w:i w:val="0"/>
            <w:color w:val="B8860B"/>
          </w:rPr>
          <w:t>still active</w:t>
        </w:r>
      </w:hyperlink>
      <w:r>
        <w:rPr>
          <w:b w:val="0"/>
          <w:i w:val="0"/>
        </w:rPr>
        <w:t>.</w:t>
      </w:r>
    </w:p>
    <w:p>
      <w:pPr>
        <w:jc w:val="center"/>
      </w:pPr>
      <w:r>
        <w:drawing>
          <wp:inline xmlns:a="http://schemas.openxmlformats.org/drawingml/2006/main" xmlns:pic="http://schemas.openxmlformats.org/drawingml/2006/picture">
            <wp:extent cx="3657600" cy="5420563"/>
            <wp:docPr id="2" name="Picture 2"/>
            <wp:cNvGraphicFramePr>
              <a:graphicFrameLocks noChangeAspect="1"/>
            </wp:cNvGraphicFramePr>
            <a:graphic>
              <a:graphicData uri="http://schemas.openxmlformats.org/drawingml/2006/picture">
                <pic:pic>
                  <pic:nvPicPr>
                    <pic:cNvPr id="0" name="image.jpg"/>
                    <pic:cNvPicPr/>
                  </pic:nvPicPr>
                  <pic:blipFill>
                    <a:blip r:embed="rId194"/>
                    <a:stretch>
                      <a:fillRect/>
                    </a:stretch>
                  </pic:blipFill>
                  <pic:spPr>
                    <a:xfrm>
                      <a:off x="0" y="0"/>
                      <a:ext cx="3657600" cy="5420563"/>
                    </a:xfrm>
                    <a:prstGeom prst="rect"/>
                  </pic:spPr>
                </pic:pic>
              </a:graphicData>
            </a:graphic>
          </wp:inline>
        </w:drawing>
      </w:r>
    </w:p>
    <w:p>
      <w:pPr>
        <w:pStyle w:val="Caption"/>
      </w:pPr>
      <w:r>
        <w:t>Coins with Eight pointed star and crescent symbol</w:t>
      </w:r>
    </w:p>
    <w:p>
      <w:pPr>
        <w:pStyle w:val="Heading2"/>
      </w:pPr>
      <w:r>
        <w:t>Prester John — The Horde's Unanswered Invitation</w:t>
      </w:r>
    </w:p>
    <w:p>
      <w:r>
        <w:rPr>
          <w:b w:val="0"/>
          <w:i w:val="0"/>
        </w:rPr>
        <w:t xml:space="preserve">From the 12th to 17th centuries, Western Europe circulated legends of </w:t>
      </w:r>
      <w:r>
        <w:rPr>
          <w:b/>
          <w:i w:val="0"/>
        </w:rPr>
        <w:t>Prester John</w:t>
      </w:r>
      <w:r>
        <w:rPr>
          <w:b w:val="0"/>
          <w:i w:val="0"/>
        </w:rPr>
        <w:t xml:space="preserve"> — a fabulously wealthy Christian king ruling a vast empire in the East. Fomenko: Prester John = </w:t>
      </w:r>
      <w:r>
        <w:rPr>
          <w:b/>
          <w:i w:val="0"/>
        </w:rPr>
        <w:t>Ivan Danilovich Kalita</w:t>
      </w:r>
      <w:r>
        <w:rPr>
          <w:b w:val="0"/>
          <w:i w:val="0"/>
        </w:rPr>
        <w:t xml:space="preserve"> (Khan Batuy); kingdom = </w:t>
      </w:r>
      <w:r>
        <w:rPr>
          <w:b/>
          <w:i w:val="0"/>
        </w:rPr>
        <w:t>Russian-Horde Empire</w:t>
      </w:r>
      <w:r>
        <w:rPr>
          <w:b w:val="0"/>
          <w:i w:val="0"/>
        </w:rPr>
        <w:t xml:space="preserve"> (</w:t>
      </w:r>
      <w:hyperlink r:id="rId195">
        <w:r>
          <w:rPr>
            <w:b w:val="0"/>
            <w:i w:val="0"/>
            <w:color w:val="B8860B"/>
          </w:rPr>
          <w:t>Ch. 5 §7</w:t>
        </w:r>
      </w:hyperlink>
      <w:r>
        <w:rPr>
          <w:b w:val="0"/>
          <w:i w:val="0"/>
        </w:rPr>
        <w:t>):</w:t>
      </w:r>
    </w:p>
    <w:p>
      <w:pPr>
        <w:pStyle w:val="Quote"/>
      </w:pPr>
      <w:r>
        <w:rPr>
          <w:b w:val="0"/>
          <w:i/>
          <w:sz w:val="19"/>
        </w:rPr>
        <w:t>"Mediaeval Western Europe was for some reason strongly convinced in the existence in the East of a vast Kingdom of a certain Christian ruler 'Prester John', THE DESCENDANTS OF WHOM WERE ALLEGEDLY THE GREAT KHANS OF THE 'MONGOL' EMPIRE."</w:t>
      </w:r>
    </w:p>
    <w:p>
      <w:r>
        <w:rPr>
          <w:b w:val="0"/>
          <w:i w:val="0"/>
        </w:rPr>
        <w:t xml:space="preserve">English chronicles identified </w:t>
      </w:r>
      <w:r>
        <w:rPr>
          <w:b/>
          <w:i w:val="0"/>
        </w:rPr>
        <w:t>Genghis Khan as Prester John</w:t>
      </w:r>
      <w:r>
        <w:rPr>
          <w:b w:val="0"/>
          <w:i w:val="0"/>
        </w:rPr>
        <w:t xml:space="preserve">. </w:t>
      </w:r>
      <w:r>
        <w:rPr>
          <w:b/>
          <w:i w:val="0"/>
        </w:rPr>
        <w:t>Rus = Kingdom of Prester John</w:t>
      </w:r>
      <w:r>
        <w:rPr>
          <w:b w:val="0"/>
          <w:i w:val="0"/>
        </w:rPr>
        <w:t xml:space="preserve"> (</w:t>
      </w:r>
      <w:hyperlink r:id="rId196">
        <w:r>
          <w:rPr>
            <w:b w:val="0"/>
            <w:i w:val="0"/>
            <w:color w:val="B8860B"/>
          </w:rPr>
          <w:t>Ch. 6 §28</w:t>
        </w:r>
      </w:hyperlink>
      <w:r>
        <w:rPr>
          <w:b w:val="0"/>
          <w:i w:val="0"/>
        </w:rPr>
        <w:t>).</w:t>
      </w:r>
    </w:p>
    <w:p>
      <w:r>
        <w:rPr>
          <w:b w:val="0"/>
          <w:i w:val="0"/>
        </w:rPr>
        <w:t xml:space="preserve">When Ottoman armies threatened the Balkans, Western rulers dispatched envoys east seeking Prester John's aid. They noticed eastern warriors bore the </w:t>
      </w:r>
      <w:r>
        <w:rPr>
          <w:b/>
          <w:i w:val="0"/>
        </w:rPr>
        <w:t>holy cross</w:t>
      </w:r>
      <w:r>
        <w:rPr>
          <w:b w:val="0"/>
          <w:i w:val="0"/>
        </w:rPr>
        <w:t xml:space="preserve"> — shared Christianity might forge an alliance. Prester John </w:t>
      </w:r>
      <w:r>
        <w:rPr>
          <w:b/>
          <w:i w:val="0"/>
        </w:rPr>
        <w:t>never replied</w:t>
      </w:r>
      <w:r>
        <w:rPr>
          <w:b w:val="0"/>
          <w:i w:val="0"/>
        </w:rPr>
        <w:t xml:space="preserve">. The Horde remembered centuries of Protestant deception — </w:t>
      </w:r>
      <w:hyperlink r:id="rId197">
        <w:r>
          <w:rPr>
            <w:b w:val="0"/>
            <w:i w:val="0"/>
            <w:color w:val="B8860B"/>
          </w:rPr>
          <w:t>religious schism</w:t>
        </w:r>
      </w:hyperlink>
      <w:r>
        <w:rPr>
          <w:b w:val="0"/>
          <w:i w:val="0"/>
        </w:rPr>
        <w:t xml:space="preserve">, </w:t>
      </w:r>
      <w:hyperlink r:id="rId198">
        <w:r>
          <w:rPr>
            <w:b w:val="0"/>
            <w:i w:val="0"/>
            <w:color w:val="B8860B"/>
          </w:rPr>
          <w:t>Inquisition</w:t>
        </w:r>
      </w:hyperlink>
      <w:r>
        <w:rPr>
          <w:b w:val="0"/>
          <w:i w:val="0"/>
        </w:rPr>
        <w:t xml:space="preserve">, </w:t>
      </w:r>
      <w:hyperlink r:id="rId45">
        <w:r>
          <w:rPr>
            <w:b w:val="0"/>
            <w:i w:val="0"/>
            <w:color w:val="B8860B"/>
          </w:rPr>
          <w:t>Latin</w:t>
        </w:r>
      </w:hyperlink>
      <w:r>
        <w:rPr>
          <w:b w:val="0"/>
          <w:i w:val="0"/>
        </w:rPr>
        <w:t xml:space="preserve">, </w:t>
      </w:r>
      <w:hyperlink r:id="rId74">
        <w:r>
          <w:rPr>
            <w:b w:val="0"/>
            <w:i w:val="0"/>
            <w:color w:val="B8860B"/>
          </w:rPr>
          <w:t>Romanov usurpers</w:t>
        </w:r>
      </w:hyperlink>
      <w:r>
        <w:rPr>
          <w:b w:val="0"/>
          <w:i w:val="0"/>
        </w:rPr>
        <w:t>. The silence was memory, not mystery.</w:t>
      </w:r>
    </w:p>
    <w:p>
      <w:pPr>
        <w:pStyle w:val="Heading2"/>
      </w:pPr>
      <w:r>
        <w:t>"To Turn Cattle into People"</w:t>
      </w:r>
    </w:p>
    <w:p>
      <w:r>
        <w:rPr>
          <w:b w:val="0"/>
          <w:i w:val="0"/>
        </w:rPr>
        <w:t xml:space="preserve">Peter I to Danish ambassador (1710): </w:t>
      </w:r>
      <w:r>
        <w:rPr>
          <w:b w:val="0"/>
          <w:i/>
        </w:rPr>
        <w:t>"To turn cattle into people"</w:t>
      </w:r>
      <w:r>
        <w:rPr>
          <w:b w:val="0"/>
          <w:i w:val="0"/>
        </w:rPr>
        <w:t xml:space="preserve"> — treating native population as livestock. Fomenko </w:t>
      </w:r>
      <w:hyperlink r:id="rId199">
        <w:r>
          <w:rPr>
            <w:b w:val="0"/>
            <w:i w:val="0"/>
            <w:color w:val="B8860B"/>
          </w:rPr>
          <w:t>Ch.7 §3</w:t>
        </w:r>
      </w:hyperlink>
      <w:r>
        <w:rPr>
          <w:b w:val="0"/>
          <w:i w:val="0"/>
        </w:rPr>
        <w:t>. Peter's reforms (calendar, alphabet, European dress, beard-shaving, capital to Petersburg) severed cultural ties to Hordian heritage. Fomenko: Peter who returned from Western journey (1697–1698) may not have been the same person who left.</w:t>
      </w:r>
    </w:p>
    <w:p>
      <w:pPr>
        <w:pStyle w:val="Heading2"/>
      </w:pPr>
      <w:r>
        <w:t>The Double-Headed Eagle as Crescent-and-Star</w:t>
      </w:r>
    </w:p>
    <w:p>
      <w:r>
        <w:rPr>
          <w:b w:val="0"/>
          <w:i w:val="0"/>
        </w:rPr>
        <w:t>Per Fomenko (</w:t>
      </w:r>
      <w:hyperlink r:id="rId199">
        <w:r>
          <w:rPr>
            <w:b w:val="0"/>
            <w:i w:val="0"/>
            <w:color w:val="B8860B"/>
          </w:rPr>
          <w:t>Ch.7 §7</w:t>
        </w:r>
      </w:hyperlink>
      <w:r>
        <w:rPr>
          <w:b w:val="0"/>
          <w:i w:val="0"/>
        </w:rPr>
        <w:t>), two-headed eagle = crescent moon with star cross: one head Ottoman (crescent), other Russian Hordian (cross/star). When Empire fragmented, its symbol split into Orthodox cross, Islamic crescent-and-star, Jewish six-pointed star. Double-headed eagle survived in Russia, Austria, Albania.</w:t>
      </w:r>
    </w:p>
    <w:p>
      <w:pPr>
        <w:pStyle w:val="Heading2"/>
      </w:pPr>
      <w:r>
        <w:t>St. Petersburg: An Escape Hatch</w:t>
      </w:r>
    </w:p>
    <w:p>
      <w:r>
        <w:rPr>
          <w:b w:val="0"/>
          <w:i w:val="0"/>
        </w:rPr>
        <w:t>Peter's rationale — "window to Europe" — does not explain why the entire government of the largest country moved to a swamp on the Gulf of Finland. Fomenko: Moscow was too close to Moscow Tartary. If Siberian-American Horde launched counter-attack (as under Pugachev), Romanovs would have been trapped. From St. Petersburg, days to ships to Western Europe. Capital move = insurance for occupying dynasty. (</w:t>
      </w:r>
      <w:hyperlink r:id="rId200">
        <w:r>
          <w:rPr>
            <w:b w:val="0"/>
            <w:i w:val="0"/>
            <w:color w:val="B8860B"/>
          </w:rPr>
          <w:t>Ch.8 §1</w:t>
        </w:r>
      </w:hyperlink>
      <w:r>
        <w:rPr>
          <w:b w:val="0"/>
          <w:i w:val="0"/>
        </w:rPr>
        <w:t>)</w:t>
      </w:r>
    </w:p>
    <w:p/>
    <w:p>
      <w:pPr>
        <w:sectPr>
          <w:headerReference w:type="default" r:id="rId188"/>
          <w:footerReference w:type="default" r:id="rId189"/>
          <w:pgSz w:w="8640" w:h="12960"/>
          <w:pgMar w:top="1020" w:right="1134" w:bottom="1134" w:left="1134" w:header="720" w:footer="720" w:gutter="0"/>
          <w:cols w:space="720"/>
          <w:titlePg/>
          <w:docGrid w:linePitch="360"/>
        </w:sectPr>
      </w:pPr>
    </w:p>
    <w:p>
      <w:pPr>
        <w:pStyle w:val="Heading2"/>
      </w:pPr>
      <w:r>
        <w:rPr>
          <w:b/>
        </w:rPr>
        <w:t>Chapter 15: The MudFlood and World Cataclysm: Extended Evidence</w:t>
      </w:r>
    </w:p>
    <w:p>
      <w:r>
        <w:rPr>
          <w:b w:val="0"/>
          <w:i w:val="0"/>
        </w:rPr>
        <w:t xml:space="preserve">This appendix extends </w:t>
      </w:r>
      <w:hyperlink r:id="rId57">
        <w:r>
          <w:rPr>
            <w:b w:val="0"/>
            <w:i w:val="0"/>
            <w:color w:val="B8860B"/>
          </w:rPr>
          <w:t>The MudFlood and World Cataclysm</w:t>
        </w:r>
      </w:hyperlink>
      <w:r>
        <w:rPr>
          <w:b w:val="0"/>
          <w:i w:val="0"/>
        </w:rPr>
        <w:t>. For the core thesis, see the main article.</w:t>
      </w:r>
    </w:p>
    <w:p>
      <w:pPr>
        <w:pBdr>
          <w:bottom w:val="single" w:sz="6" w:space="1" w:color="CCCCCC"/>
        </w:pBdr>
      </w:pPr>
    </w:p>
    <w:p>
      <w:pPr>
        <w:pStyle w:val="Heading2"/>
      </w:pPr>
      <w:r>
        <w:t>World Maps Before the 19th Century</w:t>
      </w:r>
    </w:p>
    <w:p>
      <w:r>
        <w:rPr>
          <w:b w:val="0"/>
          <w:i w:val="0"/>
        </w:rPr>
        <w:t>Maps dated before the 19th century record a dramatically different Earth: California appears as an island larger than the United Kingdom; the Grand Canyon and Colorado River are absent; no Himalayan mountain range. Old maps of Siberia depict a flourishing Tartarian empire with cities, rivers, and natural boundaries — nothing resembling the uninhabitable wasteland it became after the event. Search modern gold mine concentrations to find where melted Tartarian cities once stood — the correlation is striking.</w:t>
      </w:r>
    </w:p>
    <w:p>
      <w:pPr>
        <w:pStyle w:val="Heading2"/>
      </w:pPr>
      <w:r>
        <w:t>Emptied Cities and Repopulation</w:t>
      </w:r>
    </w:p>
    <w:p>
      <w:r>
        <w:rPr>
          <w:b w:val="0"/>
          <w:i w:val="0"/>
        </w:rPr>
        <w:t xml:space="preserve">The emptied cities were repopulated via orphan trains; new inhabitants formed the first cargo cults. Surviving indigenous peoples — "Red-Skin" Native Americans, direct relatives of the Lamanites — were hunted and relocated across a century-long campaign beginning in </w:t>
      </w:r>
      <w:r>
        <w:rPr>
          <w:b/>
          <w:i w:val="0"/>
        </w:rPr>
        <w:t>1758</w:t>
      </w:r>
      <w:r>
        <w:rPr>
          <w:b w:val="0"/>
          <w:i w:val="0"/>
        </w:rPr>
        <w:t xml:space="preserve"> with the first Indian reservation, </w:t>
      </w:r>
      <w:r>
        <w:rPr>
          <w:b/>
          <w:i w:val="0"/>
        </w:rPr>
        <w:t>sixteen years before the MFEE</w:t>
      </w:r>
      <w:r>
        <w:rPr>
          <w:b w:val="0"/>
          <w:i w:val="0"/>
        </w:rPr>
        <w:t xml:space="preserve">. The official "Trail of Tears" (1830–1839) was the </w:t>
      </w:r>
      <w:r>
        <w:rPr>
          <w:b/>
          <w:i w:val="0"/>
        </w:rPr>
        <w:t>final stage</w:t>
      </w:r>
      <w:r>
        <w:rPr>
          <w:b w:val="0"/>
          <w:i w:val="0"/>
        </w:rPr>
        <w:t xml:space="preserve"> of this erasure. (See </w:t>
      </w:r>
      <w:hyperlink r:id="rId162">
        <w:r>
          <w:rPr>
            <w:b w:val="0"/>
            <w:i w:val="0"/>
            <w:color w:val="B8860B"/>
          </w:rPr>
          <w:t>The Trail of Tears: A Century-Long Erasure</w:t>
        </w:r>
      </w:hyperlink>
      <w:r>
        <w:rPr>
          <w:b w:val="0"/>
          <w:i w:val="0"/>
        </w:rPr>
        <w:t>.) The strongest may have been driven across the Bering Strait into Siberia, after which the Bering Strait itself was destroyed. The Smithsonian Institution (founded 1846) systematically excavated and suppressed giant skeletal remains across America, reclassifying them as dinosaur fossils and establishing the narrative that indigenous Americans were Stone Age cave dwellers.</w:t>
      </w:r>
    </w:p>
    <w:p>
      <w:r>
        <w:rPr>
          <w:b w:val="0"/>
          <w:i w:val="0"/>
        </w:rPr>
        <w:t xml:space="preserve">The cover-up was completed through coordinated redaction of all history, religion, science, and language. World religions were </w:t>
      </w:r>
      <w:r>
        <w:rPr>
          <w:b w:val="0"/>
          <w:i/>
        </w:rPr>
        <w:t>canonized</w:t>
      </w:r>
      <w:r>
        <w:rPr>
          <w:b w:val="0"/>
          <w:i w:val="0"/>
        </w:rPr>
        <w:t xml:space="preserve"> — </w:t>
      </w:r>
      <w:r>
        <w:rPr>
          <w:b w:val="0"/>
          <w:i/>
        </w:rPr>
        <w:t>canon</w:t>
      </w:r>
      <w:r>
        <w:rPr>
          <w:b w:val="0"/>
          <w:i w:val="0"/>
        </w:rPr>
        <w:t xml:space="preserve"> meaning both "authority" and a large gun — by the same military force that carried out the event.</w:t>
      </w:r>
    </w:p>
    <w:p>
      <w:pPr>
        <w:pStyle w:val="Heading2"/>
      </w:pPr>
      <w:r>
        <w:t>The MFEE and the Rise of Communism</w:t>
      </w:r>
    </w:p>
    <w:p>
      <w:r>
        <w:rPr>
          <w:b w:val="0"/>
          <w:i w:val="0"/>
        </w:rPr>
        <w:t>Before the MFEE, Earth hosted extraordinary variety: giants descended from Tartarian bloodlines, diminutive peoples, wild-living populations (hairy "wild men" of medieval heraldry). This diversity made centralized ideological control impossible. After the MFEE, only normal-sized humans survived in significant numbers. Giants were petrified or killed; the small and wild perished without their ecosystems. Survivors clustered into communities and rationed stored supplies during prolonged loss of life and light. This forced communalism — born of desperation, not ideology — became the template for later communist revolutions.</w:t>
      </w:r>
    </w:p>
    <w:p>
      <w:pPr>
        <w:pStyle w:val="Heading2"/>
      </w:pPr>
      <w:r>
        <w:t>Why France Attacked Russia</w:t>
      </w:r>
    </w:p>
    <w:p>
      <w:r>
        <w:rPr>
          <w:b w:val="0"/>
          <w:i w:val="0"/>
        </w:rPr>
        <w:t>France and England, despite theatrical rivalries, were more alike than different — both Latin-alphabet, post-MFEE homogenized populations. Russia was the real threat: non-Latin civilization, polytheism, banned usury, physically larger and more sexually dimorphic people. The Rus-Tartarian remnant represented everything the post-MFEE order needed to eliminate. Napoleon's invasion was not a war between rival European powers; it was a cleanup operation against the last visible survivors of the old world.</w:t>
      </w:r>
    </w:p>
    <w:p/>
    <w:p>
      <w:pPr>
        <w:sectPr>
          <w:headerReference w:type="default" r:id="rId201"/>
          <w:footerReference w:type="default" r:id="rId202"/>
          <w:pgSz w:w="8640" w:h="12960"/>
          <w:pgMar w:top="1020" w:right="1134" w:bottom="1134" w:left="1134" w:header="720" w:footer="720" w:gutter="0"/>
          <w:cols w:space="720"/>
          <w:titlePg/>
          <w:docGrid w:linePitch="360"/>
        </w:sectPr>
      </w:pPr>
    </w:p>
    <w:p>
      <w:pPr>
        <w:pStyle w:val="Heading2"/>
      </w:pPr>
      <w:r>
        <w:rPr>
          <w:b/>
        </w:rPr>
        <w:t>Chapter 16: Soviet Historiography: Bogdanov and Suppressed Science (Extended)</w:t>
      </w:r>
    </w:p>
    <w:p>
      <w:r>
        <w:rPr>
          <w:b w:val="0"/>
          <w:i w:val="0"/>
        </w:rPr>
        <w:t xml:space="preserve">This appendix extends </w:t>
      </w:r>
      <w:hyperlink r:id="rId76">
        <w:r>
          <w:rPr>
            <w:b w:val="0"/>
            <w:i w:val="0"/>
            <w:color w:val="B8860B"/>
          </w:rPr>
          <w:t>Soviet Historiography</w:t>
        </w:r>
      </w:hyperlink>
      <w:r>
        <w:rPr>
          <w:b w:val="0"/>
          <w:i w:val="0"/>
        </w:rPr>
        <w:t>. The Bogdanov/Lactobacillus case.</w:t>
      </w:r>
    </w:p>
    <w:p>
      <w:pPr>
        <w:pBdr>
          <w:bottom w:val="single" w:sz="6" w:space="1" w:color="CCCCCC"/>
        </w:pBdr>
      </w:pPr>
    </w:p>
    <w:p>
      <w:r>
        <w:rPr>
          <w:b w:val="0"/>
          <w:i w:val="0"/>
        </w:rPr>
        <w:t xml:space="preserve">Soviet falsification extended beyond history — the same apparatus suppressed </w:t>
      </w:r>
      <w:r>
        <w:rPr>
          <w:b/>
          <w:i w:val="0"/>
        </w:rPr>
        <w:t>science</w:t>
      </w:r>
      <w:r>
        <w:rPr>
          <w:b w:val="0"/>
          <w:i w:val="0"/>
        </w:rPr>
        <w:t xml:space="preserve"> that contradicted institutional priorities. Beginning in the 1960s, Bulgarian physician </w:t>
      </w:r>
      <w:r>
        <w:rPr>
          <w:b/>
          <w:i w:val="0"/>
        </w:rPr>
        <w:t>Dr. Ivan Bogdanov</w:t>
      </w:r>
      <w:r>
        <w:rPr>
          <w:b w:val="0"/>
          <w:i w:val="0"/>
        </w:rPr>
        <w:t xml:space="preserve"> discovered that cell fragments of </w:t>
      </w:r>
      <w:r>
        <w:rPr>
          <w:b w:val="0"/>
          <w:i/>
        </w:rPr>
        <w:t>Lactobacillus bulgaricus</w:t>
      </w:r>
      <w:r>
        <w:rPr>
          <w:b w:val="0"/>
          <w:i w:val="0"/>
        </w:rPr>
        <w:t xml:space="preserve"> (yogurt bacterium isolated by Stamen Grigorov, 1905) could induce </w:t>
      </w:r>
      <w:r>
        <w:rPr>
          <w:b/>
          <w:i w:val="0"/>
        </w:rPr>
        <w:t>cancer remission</w:t>
      </w:r>
      <w:r>
        <w:rPr>
          <w:b w:val="0"/>
          <w:i w:val="0"/>
        </w:rPr>
        <w:t xml:space="preserve"> in myeloma patients. The Soviet state absorbed this into a classified </w:t>
      </w:r>
      <w:r>
        <w:rPr>
          <w:b/>
          <w:i w:val="0"/>
        </w:rPr>
        <w:t>State R&amp;D program (1980)</w:t>
      </w:r>
      <w:r>
        <w:rPr>
          <w:b w:val="0"/>
          <w:i w:val="0"/>
        </w:rPr>
        <w:t xml:space="preserve"> at </w:t>
      </w:r>
      <w:r>
        <w:rPr>
          <w:b/>
          <w:i w:val="0"/>
        </w:rPr>
        <w:t>Enzymes Ltd., Kiev</w:t>
      </w:r>
      <w:r>
        <w:rPr>
          <w:b w:val="0"/>
          <w:i w:val="0"/>
        </w:rPr>
        <w:t xml:space="preserve">. Under Dr. Liubov Shynkarenko, researchers found the fragments also protected against </w:t>
      </w:r>
      <w:r>
        <w:rPr>
          <w:b/>
          <w:i w:val="0"/>
        </w:rPr>
        <w:t>radiation damage and mutagenic activity</w:t>
      </w:r>
      <w:r>
        <w:rPr>
          <w:b w:val="0"/>
          <w:i w:val="0"/>
        </w:rPr>
        <w:t xml:space="preserve"> — findings with obvious value to a state running nuclear and biological weapons programs under </w:t>
      </w:r>
      <w:r>
        <w:rPr>
          <w:b/>
          <w:i w:val="0"/>
        </w:rPr>
        <w:t>Biopreparat</w:t>
      </w:r>
      <w:r>
        <w:rPr>
          <w:b w:val="0"/>
          <w:i w:val="0"/>
        </w:rPr>
        <w:t>.</w:t>
      </w:r>
    </w:p>
    <w:p>
      <w:r>
        <w:rPr>
          <w:b w:val="0"/>
          <w:i w:val="0"/>
        </w:rPr>
        <w:t>Products: Lactoflor, Extrabiol, Liasten. USSR collapse dissolved the program; Liasten approved in Ukraine; Del-Immune V (NJ) descended from the research. Same pattern as history: absorbed, classified, lost. Fomenko marginalized; Bogdanov's breakthroughs fell between Soviet secrecy and Western pharma.</w:t>
      </w:r>
    </w:p>
    <w:p/>
    <w:p>
      <w:pPr>
        <w:sectPr>
          <w:headerReference w:type="default" r:id="rId203"/>
          <w:footerReference w:type="default" r:id="rId204"/>
          <w:pgSz w:w="8640" w:h="12960"/>
          <w:pgMar w:top="1020" w:right="1134" w:bottom="1134" w:left="1134" w:header="720" w:footer="720" w:gutter="0"/>
          <w:cols w:space="720"/>
          <w:titlePg/>
          <w:docGrid w:linePitch="360"/>
        </w:sectPr>
      </w:pPr>
    </w:p>
    <w:p>
      <w:pPr>
        <w:pStyle w:val="Heading2"/>
      </w:pPr>
      <w:r>
        <w:rPr>
          <w:b/>
        </w:rPr>
        <w:t>Chapter 17: Slave Trades: Evidence and Horde-Fracture Thesis (Extended)</w:t>
      </w:r>
    </w:p>
    <w:p>
      <w:r>
        <w:rPr>
          <w:b w:val="0"/>
          <w:i w:val="0"/>
        </w:rPr>
        <w:t xml:space="preserve">This appendix extends </w:t>
      </w:r>
      <w:hyperlink r:id="rId207">
        <w:r>
          <w:rPr>
            <w:b w:val="0"/>
            <w:i w:val="0"/>
            <w:color w:val="B8860B"/>
          </w:rPr>
          <w:t>Slave Trades and the Horde Fracture</w:t>
        </w:r>
      </w:hyperlink>
      <w:r>
        <w:rPr>
          <w:b w:val="0"/>
          <w:i w:val="0"/>
        </w:rPr>
        <w:t xml:space="preserve">. Full investigation: </w:t>
      </w:r>
      <w:r>
        <w:rPr>
          <w:rFonts w:ascii="JetBrains Mono" w:hAnsi="JetBrains Mono"/>
          <w:sz w:val="20"/>
        </w:rPr>
        <w:t>investigations/slavery/slave-trades-and-moor-etymology-investigation.md</w:t>
      </w:r>
      <w:r>
        <w:rPr>
          <w:b w:val="0"/>
          <w:i w:val="0"/>
        </w:rPr>
        <w:t>.</w:t>
      </w:r>
    </w:p>
    <w:p>
      <w:pPr>
        <w:pBdr>
          <w:bottom w:val="single" w:sz="6" w:space="1" w:color="CCCCCC"/>
        </w:pBdr>
      </w:pPr>
    </w:p>
    <w:p>
      <w:pPr>
        <w:pStyle w:val="Heading2"/>
      </w:pPr>
      <w:r>
        <w:t>Major Slave Trades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295"/>
        <w:gridCol w:w="1226"/>
        <w:gridCol w:w="915"/>
        <w:gridCol w:w="2936"/>
      </w:tblGrid>
      <w:tr>
        <w:tc>
          <w:tcPr>
            <w:tcW w:type="dxa" w:w="1295"/>
            <w:shd w:val="clear" w:color="auto" w:fill="F0F0F0"/>
          </w:tcPr>
          <w:p>
            <w:pPr>
              <w:spacing w:before="20" w:after="20"/>
              <w:jc w:val="center"/>
            </w:pPr>
            <w:r>
              <w:rPr>
                <w:rFonts w:ascii="Libre Franklin" w:hAnsi="Libre Franklin"/>
                <w:b/>
                <w:sz w:val="18"/>
              </w:rPr>
              <w:t>Trade</w:t>
            </w:r>
          </w:p>
        </w:tc>
        <w:tc>
          <w:tcPr>
            <w:tcW w:type="dxa" w:w="1226"/>
            <w:shd w:val="clear" w:color="auto" w:fill="F0F0F0"/>
          </w:tcPr>
          <w:p>
            <w:pPr>
              <w:spacing w:before="20" w:after="20"/>
              <w:jc w:val="center"/>
            </w:pPr>
            <w:r>
              <w:rPr>
                <w:rFonts w:ascii="Libre Franklin" w:hAnsi="Libre Franklin"/>
                <w:b/>
                <w:sz w:val="18"/>
              </w:rPr>
              <w:t>Period</w:t>
            </w:r>
          </w:p>
        </w:tc>
        <w:tc>
          <w:tcPr>
            <w:tcW w:type="dxa" w:w="915"/>
            <w:shd w:val="clear" w:color="auto" w:fill="F0F0F0"/>
          </w:tcPr>
          <w:p>
            <w:pPr>
              <w:spacing w:before="20" w:after="20"/>
              <w:jc w:val="center"/>
            </w:pPr>
            <w:r>
              <w:rPr>
                <w:rFonts w:ascii="Libre Franklin" w:hAnsi="Libre Franklin"/>
                <w:b/>
                <w:sz w:val="18"/>
              </w:rPr>
              <w:t>Scope</w:t>
            </w:r>
          </w:p>
        </w:tc>
        <w:tc>
          <w:tcPr>
            <w:tcW w:type="dxa" w:w="2936"/>
            <w:shd w:val="clear" w:color="auto" w:fill="F0F0F0"/>
          </w:tcPr>
          <w:p>
            <w:pPr>
              <w:spacing w:before="20" w:after="20"/>
              <w:jc w:val="center"/>
            </w:pPr>
            <w:r>
              <w:rPr>
                <w:rFonts w:ascii="Libre Franklin" w:hAnsi="Libre Franklin"/>
                <w:b/>
                <w:sz w:val="18"/>
              </w:rPr>
              <w:t>Actors</w:t>
            </w:r>
          </w:p>
        </w:tc>
      </w:tr>
      <w:tr>
        <w:tc>
          <w:tcPr>
            <w:tcW w:type="dxa" w:w="1295"/>
          </w:tcPr>
          <w:p>
            <w:pPr>
              <w:spacing w:before="20" w:after="20"/>
            </w:pPr>
            <w:r>
              <w:rPr>
                <w:b w:val="0"/>
                <w:i w:val="0"/>
                <w:sz w:val="18"/>
              </w:rPr>
              <w:t>Transatlantic (African)</w:t>
            </w:r>
          </w:p>
        </w:tc>
        <w:tc>
          <w:tcPr>
            <w:tcW w:type="dxa" w:w="1226"/>
          </w:tcPr>
          <w:p>
            <w:pPr>
              <w:spacing w:before="20" w:after="20"/>
            </w:pPr>
            <w:r>
              <w:rPr>
                <w:b w:val="0"/>
                <w:i w:val="0"/>
                <w:sz w:val="18"/>
              </w:rPr>
              <w:t>15th–19th c.</w:t>
            </w:r>
          </w:p>
        </w:tc>
        <w:tc>
          <w:tcPr>
            <w:tcW w:type="dxa" w:w="915"/>
          </w:tcPr>
          <w:p>
            <w:pPr>
              <w:spacing w:before="20" w:after="20"/>
            </w:pPr>
            <w:r>
              <w:rPr>
                <w:b w:val="0"/>
                <w:i w:val="0"/>
                <w:sz w:val="18"/>
              </w:rPr>
              <w:t>~12.5M enslaved</w:t>
            </w:r>
          </w:p>
        </w:tc>
        <w:tc>
          <w:tcPr>
            <w:tcW w:type="dxa" w:w="2936"/>
          </w:tcPr>
          <w:p>
            <w:pPr>
              <w:spacing w:before="20" w:after="20"/>
            </w:pPr>
            <w:r>
              <w:rPr>
                <w:b w:val="0"/>
                <w:i w:val="0"/>
                <w:sz w:val="18"/>
              </w:rPr>
              <w:t>Portuguese, Spanish, British, French, Dutch</w:t>
            </w:r>
          </w:p>
        </w:tc>
      </w:tr>
      <w:tr>
        <w:tc>
          <w:tcPr>
            <w:tcW w:type="dxa" w:w="1295"/>
          </w:tcPr>
          <w:p>
            <w:pPr>
              <w:spacing w:before="20" w:after="20"/>
            </w:pPr>
            <w:r>
              <w:rPr>
                <w:b w:val="0"/>
                <w:i w:val="0"/>
                <w:sz w:val="18"/>
              </w:rPr>
              <w:t>Barbary / White</w:t>
            </w:r>
          </w:p>
        </w:tc>
        <w:tc>
          <w:tcPr>
            <w:tcW w:type="dxa" w:w="1226"/>
          </w:tcPr>
          <w:p>
            <w:pPr>
              <w:spacing w:before="20" w:after="20"/>
            </w:pPr>
            <w:r>
              <w:rPr>
                <w:b w:val="0"/>
                <w:i w:val="0"/>
                <w:sz w:val="18"/>
              </w:rPr>
              <w:t>16th–early 19th c.</w:t>
            </w:r>
          </w:p>
        </w:tc>
        <w:tc>
          <w:tcPr>
            <w:tcW w:type="dxa" w:w="915"/>
          </w:tcPr>
          <w:p>
            <w:pPr>
              <w:spacing w:before="20" w:after="20"/>
            </w:pPr>
            <w:r>
              <w:rPr>
                <w:b w:val="0"/>
                <w:i w:val="0"/>
                <w:sz w:val="18"/>
              </w:rPr>
              <w:t>1–1.25M Europeans</w:t>
            </w:r>
          </w:p>
        </w:tc>
        <w:tc>
          <w:tcPr>
            <w:tcW w:type="dxa" w:w="2936"/>
          </w:tcPr>
          <w:p>
            <w:pPr>
              <w:spacing w:before="20" w:after="20"/>
            </w:pPr>
            <w:r>
              <w:rPr>
                <w:b w:val="0"/>
                <w:i w:val="0"/>
                <w:sz w:val="18"/>
              </w:rPr>
              <w:t>Moorish corsairs (Morocco, Algiers, Tunis, Tripoli)</w:t>
            </w:r>
          </w:p>
        </w:tc>
      </w:tr>
      <w:tr>
        <w:tc>
          <w:tcPr>
            <w:tcW w:type="dxa" w:w="1295"/>
          </w:tcPr>
          <w:p>
            <w:pPr>
              <w:spacing w:before="20" w:after="20"/>
            </w:pPr>
            <w:r>
              <w:rPr>
                <w:b w:val="0"/>
                <w:i w:val="0"/>
                <w:sz w:val="18"/>
              </w:rPr>
              <w:t>Trans-Saharan / Arab</w:t>
            </w:r>
          </w:p>
        </w:tc>
        <w:tc>
          <w:tcPr>
            <w:tcW w:type="dxa" w:w="1226"/>
          </w:tcPr>
          <w:p>
            <w:pPr>
              <w:spacing w:before="20" w:after="20"/>
            </w:pPr>
            <w:r>
              <w:rPr>
                <w:b w:val="0"/>
                <w:i w:val="0"/>
                <w:sz w:val="18"/>
              </w:rPr>
              <w:t>7th c.–early 20th c.</w:t>
            </w:r>
          </w:p>
        </w:tc>
        <w:tc>
          <w:tcPr>
            <w:tcW w:type="dxa" w:w="915"/>
          </w:tcPr>
          <w:p>
            <w:pPr>
              <w:spacing w:before="20" w:after="20"/>
            </w:pPr>
            <w:r>
              <w:rPr>
                <w:b w:val="0"/>
                <w:i w:val="0"/>
                <w:sz w:val="18"/>
              </w:rPr>
              <w:t>Millions</w:t>
            </w:r>
          </w:p>
        </w:tc>
        <w:tc>
          <w:tcPr>
            <w:tcW w:type="dxa" w:w="2936"/>
          </w:tcPr>
          <w:p>
            <w:pPr>
              <w:spacing w:before="20" w:after="20"/>
            </w:pPr>
            <w:r>
              <w:rPr>
                <w:b w:val="0"/>
                <w:i w:val="0"/>
                <w:sz w:val="18"/>
              </w:rPr>
              <w:t>Arab, Berber, African merchants</w:t>
            </w:r>
          </w:p>
        </w:tc>
      </w:tr>
      <w:tr>
        <w:tc>
          <w:tcPr>
            <w:tcW w:type="dxa" w:w="1295"/>
          </w:tcPr>
          <w:p>
            <w:pPr>
              <w:spacing w:before="20" w:after="20"/>
            </w:pPr>
            <w:r>
              <w:rPr>
                <w:b w:val="0"/>
                <w:i w:val="0"/>
                <w:sz w:val="18"/>
              </w:rPr>
              <w:t>Indian Ocean</w:t>
            </w:r>
          </w:p>
        </w:tc>
        <w:tc>
          <w:tcPr>
            <w:tcW w:type="dxa" w:w="1226"/>
          </w:tcPr>
          <w:p>
            <w:pPr>
              <w:spacing w:before="20" w:after="20"/>
            </w:pPr>
            <w:r>
              <w:rPr>
                <w:b w:val="0"/>
                <w:i w:val="0"/>
                <w:sz w:val="18"/>
              </w:rPr>
              <w:t>Ancient–19th c.</w:t>
            </w:r>
          </w:p>
        </w:tc>
        <w:tc>
          <w:tcPr>
            <w:tcW w:type="dxa" w:w="915"/>
          </w:tcPr>
          <w:p>
            <w:pPr>
              <w:spacing w:before="20" w:after="20"/>
            </w:pPr>
            <w:r>
              <w:rPr>
                <w:b w:val="0"/>
                <w:i w:val="0"/>
                <w:sz w:val="18"/>
              </w:rPr>
              <w:t>Millions</w:t>
            </w:r>
          </w:p>
        </w:tc>
        <w:tc>
          <w:tcPr>
            <w:tcW w:type="dxa" w:w="2936"/>
          </w:tcPr>
          <w:p>
            <w:pPr>
              <w:spacing w:before="20" w:after="20"/>
            </w:pPr>
            <w:r>
              <w:rPr>
                <w:b w:val="0"/>
                <w:i w:val="0"/>
                <w:sz w:val="18"/>
              </w:rPr>
              <w:t>Muslim slavers; Zanzibar, Swahili coast</w:t>
            </w:r>
          </w:p>
        </w:tc>
      </w:tr>
    </w:tbl>
    <w:p/>
    <w:p>
      <w:pPr>
        <w:pBdr>
          <w:bottom w:val="single" w:sz="6" w:space="1" w:color="CCCCCC"/>
        </w:pBdr>
      </w:pPr>
    </w:p>
    <w:p>
      <w:pPr>
        <w:pStyle w:val="Heading2"/>
      </w:pPr>
      <w:r>
        <w:t>Moor Involvement</w:t>
      </w:r>
    </w:p>
    <w:p>
      <w:r>
        <w:rPr>
          <w:b w:val="0"/>
          <w:i w:val="0"/>
        </w:rPr>
        <w:t>The Moors (Barbary states) were heavily involved in slavery. Barbary corsairs captured Europeans from Italy, Spain, Portugal, France, Britain, Ireland — raids as far as Iceland. Robert Davis (OSU): 1–1.25M European Christians enslaved 16th–mid-18th c.</w:t>
      </w:r>
    </w:p>
    <w:p>
      <w:r>
        <w:rPr>
          <w:b w:val="0"/>
          <w:i w:val="0"/>
        </w:rPr>
      </w:r>
      <w:r>
        <w:rPr>
          <w:b/>
          <w:i w:val="0"/>
        </w:rPr>
        <w:t>Etymology hypothesis:</w:t>
      </w:r>
      <w:r>
        <w:rPr>
          <w:b w:val="0"/>
          <w:i w:val="0"/>
        </w:rPr>
        <w:t xml:space="preserve"> "Moor" may have been perceived as "People of Death" (Latin </w:t>
      </w:r>
      <w:r>
        <w:rPr>
          <w:b w:val="0"/>
          <w:i/>
        </w:rPr>
        <w:t>mor</w:t>
      </w:r>
      <w:r>
        <w:rPr>
          <w:b w:val="0"/>
          <w:i w:val="0"/>
        </w:rPr>
        <w:t xml:space="preserve">) due to slave-raiding — folk etymology, not formal derivation. Mainstream: </w:t>
      </w:r>
      <w:r>
        <w:rPr>
          <w:b w:val="0"/>
          <w:i/>
        </w:rPr>
        <w:t>Maurus</w:t>
      </w:r>
      <w:r>
        <w:rPr>
          <w:b w:val="0"/>
          <w:i w:val="0"/>
        </w:rPr>
        <w:t xml:space="preserve"> from Mauretania; Phoenician </w:t>
      </w:r>
      <w:r>
        <w:rPr>
          <w:b w:val="0"/>
          <w:i/>
        </w:rPr>
        <w:t>Mahurin</w:t>
      </w:r>
      <w:r>
        <w:rPr>
          <w:b w:val="0"/>
          <w:i w:val="0"/>
        </w:rPr>
        <w:t xml:space="preserve"> = "Westerners."</w:t>
      </w:r>
    </w:p>
    <w:p>
      <w:pPr>
        <w:pBdr>
          <w:bottom w:val="single" w:sz="6" w:space="1" w:color="CCCCCC"/>
        </w:pBdr>
      </w:pPr>
    </w:p>
    <w:p>
      <w:pPr>
        <w:pStyle w:val="Heading2"/>
      </w:pPr>
      <w:r>
        <w:t>Horde-Fracture Thesis</w:t>
      </w:r>
    </w:p>
    <w:p>
      <w:r>
        <w:rPr>
          <w:b w:val="0"/>
          <w:i w:val="0"/>
        </w:rPr>
        <w:t xml:space="preserve">Colonization and the great slave trades were a </w:t>
      </w:r>
      <w:r>
        <w:rPr>
          <w:b/>
          <w:i w:val="0"/>
        </w:rPr>
        <w:t>direct result</w:t>
      </w:r>
      <w:r>
        <w:rPr>
          <w:b w:val="0"/>
          <w:i w:val="0"/>
        </w:rPr>
        <w:t xml:space="preserve"> of the breaking up of the Rus-Horde. The Romanov seizure (1613), coordinated with King James Bible (1611) and Petavius chronology (1627), fractured the world's only superpower into competing vassal states. The old empire was far more humanitarian than the splinter empires — who went on to commit the worst crimes in human history.</w:t>
      </w:r>
    </w:p>
    <w:p>
      <w:r>
        <w:rPr>
          <w:b w:val="0"/>
          <w:i w:val="0"/>
        </w:rPr>
      </w:r>
      <w:r>
        <w:rPr>
          <w:b/>
          <w:i w:val="0"/>
        </w:rPr>
        <w:t>Timeline correlation:</w:t>
      </w:r>
      <w:r>
        <w:rPr>
          <w:b w:val="0"/>
          <w:i w:val="0"/>
        </w:rPr>
        <w:t xml:space="preserve"> </w:t>
      </w:r>
      <w:hyperlink r:id="rId208">
        <w:r>
          <w:rPr>
            <w:b w:val="0"/>
            <w:i w:val="0"/>
            <w:color w:val="B8860B"/>
          </w:rPr>
          <w:t>Romanov Seizure</w:t>
        </w:r>
      </w:hyperlink>
      <w:r>
        <w:rPr>
          <w:b w:val="0"/>
          <w:i w:val="0"/>
        </w:rPr>
        <w:t xml:space="preserve">, </w:t>
      </w:r>
      <w:hyperlink r:id="rId28">
        <w:r>
          <w:rPr>
            <w:b w:val="0"/>
            <w:i w:val="0"/>
            <w:color w:val="B8860B"/>
          </w:rPr>
          <w:t>Deep State breaks up the Hordian Empire</w:t>
        </w:r>
      </w:hyperlink>
      <w:r>
        <w:rPr>
          <w:b w:val="0"/>
          <w:i w:val="0"/>
        </w:rPr>
        <w:t xml:space="preserve">, </w:t>
      </w:r>
      <w:hyperlink r:id="rId209">
        <w:r>
          <w:rPr>
            <w:b w:val="0"/>
            <w:i w:val="0"/>
            <w:color w:val="B8860B"/>
          </w:rPr>
          <w:t>British Empire as Deep State</w:t>
        </w:r>
      </w:hyperlink>
      <w:r>
        <w:rPr>
          <w:b w:val="0"/>
          <w:i w:val="0"/>
        </w:rPr>
        <w:t>.</w:t>
      </w:r>
    </w:p>
    <w:p>
      <w:pPr>
        <w:pBdr>
          <w:bottom w:val="single" w:sz="6" w:space="1" w:color="CCCCCC"/>
        </w:pBdr>
      </w:pPr>
    </w:p>
    <w:p>
      <w:pPr>
        <w:pStyle w:val="Heading2"/>
      </w:pPr>
      <w:r>
        <w:t>Cross-References</w:t>
      </w:r>
    </w:p>
    <w:p>
      <w:pPr>
        <w:pStyle w:val="ListBullet"/>
        <w:spacing w:before="20" w:after="20"/>
      </w:pPr>
      <w:hyperlink r:id="rId32">
        <w:r>
          <w:rPr>
            <w:b w:val="0"/>
            <w:i w:val="0"/>
            <w:color w:val="B8860B"/>
            <w:sz w:val="19"/>
          </w:rPr>
          <w:t>British Empire Case Studies</w:t>
        </w:r>
      </w:hyperlink>
      <w:r>
        <w:rPr>
          <w:b w:val="0"/>
          <w:i w:val="0"/>
          <w:sz w:val="19"/>
        </w:rPr>
        <w:t xml:space="preserve"> — Africa (Berlin Conference, Hutu-Tutsi), divide-and-conquer</w:t>
      </w:r>
    </w:p>
    <w:p>
      <w:pPr>
        <w:pStyle w:val="ListBullet"/>
        <w:spacing w:before="20" w:after="20"/>
      </w:pPr>
      <w:hyperlink r:id="rId210">
        <w:r>
          <w:rPr>
            <w:b w:val="0"/>
            <w:i w:val="0"/>
            <w:color w:val="B8860B"/>
            <w:sz w:val="19"/>
          </w:rPr>
          <w:t>Jesuits reach Africa</w:t>
        </w:r>
      </w:hyperlink>
      <w:r>
        <w:rPr>
          <w:b w:val="0"/>
          <w:i w:val="0"/>
          <w:sz w:val="19"/>
        </w:rPr>
        <w:t xml:space="preserve"> — Missionary-colonial infrastructure</w:t>
      </w:r>
    </w:p>
    <w:p>
      <w:pPr>
        <w:pStyle w:val="ListBullet"/>
        <w:spacing w:before="20" w:after="20"/>
      </w:pPr>
      <w:hyperlink r:id="rId48">
        <w:r>
          <w:rPr>
            <w:b w:val="0"/>
            <w:i w:val="0"/>
            <w:color w:val="B8860B"/>
            <w:sz w:val="19"/>
          </w:rPr>
          <w:t>Population Control</w:t>
        </w:r>
      </w:hyperlink>
      <w:r>
        <w:rPr>
          <w:b w:val="0"/>
          <w:i w:val="0"/>
          <w:sz w:val="19"/>
        </w:rPr>
        <w:t xml:space="preserve"> — Long-span thesis (1492+)</w:t>
      </w:r>
    </w:p>
    <w:p/>
    <w:p>
      <w:pPr>
        <w:sectPr>
          <w:headerReference w:type="default" r:id="rId205"/>
          <w:footerReference w:type="default" r:id="rId206"/>
          <w:pgSz w:w="8640" w:h="12960"/>
          <w:pgMar w:top="1020" w:right="1134" w:bottom="1134" w:left="1134" w:header="720" w:footer="720" w:gutter="0"/>
          <w:cols w:space="720"/>
          <w:titlePg/>
          <w:docGrid w:linePitch="360"/>
        </w:sectPr>
      </w:pPr>
    </w:p>
    <w:p>
      <w:pPr>
        <w:pStyle w:val="Heading2"/>
      </w:pPr>
      <w:r>
        <w:rPr>
          <w:b/>
        </w:rPr>
        <w:t>Chapter 18: British Empire as Deep State: Case Studies (Extended)</w:t>
      </w:r>
    </w:p>
    <w:p>
      <w:r>
        <w:rPr>
          <w:b w:val="0"/>
          <w:i w:val="0"/>
        </w:rPr>
        <w:t xml:space="preserve">This appendix extends </w:t>
      </w:r>
      <w:hyperlink r:id="rId209">
        <w:r>
          <w:rPr>
            <w:b w:val="0"/>
            <w:i w:val="0"/>
            <w:color w:val="B8860B"/>
          </w:rPr>
          <w:t>The British Empire as Deep State Instrument</w:t>
        </w:r>
      </w:hyperlink>
      <w:r>
        <w:rPr>
          <w:b w:val="0"/>
          <w:i w:val="0"/>
        </w:rPr>
        <w:t>. Detailed case studies.</w:t>
      </w:r>
    </w:p>
    <w:p>
      <w:pPr>
        <w:pBdr>
          <w:bottom w:val="single" w:sz="6" w:space="1" w:color="CCCCCC"/>
        </w:pBdr>
      </w:pPr>
    </w:p>
    <w:p>
      <w:r>
        <w:rPr>
          <w:b w:val="0"/>
          <w:i w:val="0"/>
        </w:rPr>
      </w:r>
      <w:r>
        <w:rPr>
          <w:b/>
          <w:i w:val="0"/>
        </w:rPr>
        <w:t>India and Pakistan (1947):</w:t>
      </w:r>
      <w:r>
        <w:rPr>
          <w:b w:val="0"/>
          <w:i w:val="0"/>
        </w:rPr>
        <w:t xml:space="preserve"> Two centuries deepening the Hindu-Muslim divide produced </w:t>
      </w:r>
      <w:hyperlink r:id="rId213">
        <w:r>
          <w:rPr>
            <w:b w:val="0"/>
            <w:i w:val="0"/>
            <w:color w:val="B8860B"/>
          </w:rPr>
          <w:t>Partition</w:t>
        </w:r>
      </w:hyperlink>
      <w:r>
        <w:rPr>
          <w:b w:val="0"/>
          <w:i w:val="0"/>
        </w:rPr>
        <w:t xml:space="preserve"> — 15 million displaced, up to 2 million dead. Resulting states fought four wars; nuclear standoff; dependent on Western arms and finance.</w:t>
      </w:r>
    </w:p>
    <w:p>
      <w:r>
        <w:rPr>
          <w:b w:val="0"/>
          <w:i w:val="0"/>
        </w:rPr>
      </w:r>
      <w:r>
        <w:rPr>
          <w:b/>
          <w:i w:val="0"/>
        </w:rPr>
        <w:t>Israel (1917–1948):</w:t>
      </w:r>
      <w:r>
        <w:rPr>
          <w:b w:val="0"/>
          <w:i w:val="0"/>
        </w:rPr>
        <w:t xml:space="preserve"> </w:t>
      </w:r>
      <w:hyperlink r:id="rId214">
        <w:r>
          <w:rPr>
            <w:b w:val="0"/>
            <w:i w:val="0"/>
            <w:color w:val="B8860B"/>
          </w:rPr>
          <w:t>Balfour Declaration</w:t>
        </w:r>
      </w:hyperlink>
      <w:r>
        <w:rPr>
          <w:b w:val="0"/>
          <w:i w:val="0"/>
        </w:rPr>
        <w:t xml:space="preserve"> promised a Jewish homeland while Britain encouraged Jewish immigration </w:t>
      </w:r>
      <w:r>
        <w:rPr>
          <w:b w:val="0"/>
          <w:i/>
        </w:rPr>
        <w:t>and</w:t>
      </w:r>
      <w:r>
        <w:rPr>
          <w:b w:val="0"/>
          <w:i w:val="0"/>
        </w:rPr>
        <w:t xml:space="preserve"> armed Arab resistance. 1948 withdrawal produced immediate war. Both sides Western-dependent. Israel's founding inseparable from </w:t>
      </w:r>
      <w:hyperlink r:id="rId60">
        <w:r>
          <w:rPr>
            <w:b w:val="0"/>
            <w:i w:val="0"/>
            <w:color w:val="B8860B"/>
          </w:rPr>
          <w:t>false flags</w:t>
        </w:r>
      </w:hyperlink>
      <w:r>
        <w:rPr>
          <w:b w:val="0"/>
          <w:i w:val="0"/>
        </w:rPr>
        <w:t xml:space="preserve"> — King David Hotel, Lavon Affair, controlled opposition.</w:t>
      </w:r>
    </w:p>
    <w:p>
      <w:r>
        <w:rPr>
          <w:b w:val="0"/>
          <w:i w:val="0"/>
        </w:rPr>
      </w:r>
      <w:r>
        <w:rPr>
          <w:b/>
          <w:i w:val="0"/>
        </w:rPr>
        <w:t>Africa (1880s–1960s):</w:t>
      </w:r>
      <w:r>
        <w:rPr>
          <w:b w:val="0"/>
          <w:i w:val="0"/>
        </w:rPr>
        <w:t xml:space="preserve"> </w:t>
      </w:r>
      <w:hyperlink r:id="rId215">
        <w:r>
          <w:rPr>
            <w:b w:val="0"/>
            <w:i w:val="0"/>
            <w:color w:val="B8860B"/>
          </w:rPr>
          <w:t>Berlin Conference</w:t>
        </w:r>
      </w:hyperlink>
      <w:r>
        <w:rPr>
          <w:b w:val="0"/>
          <w:i w:val="0"/>
        </w:rPr>
        <w:t xml:space="preserve"> (1884) drew borders cutting across ethnic boundaries. Colonial administration hardened tribal divisions (Hutu-Tutsi). 1960s independence → civil wars, millions dead. The earlier transatlantic slave trade (16th–19th c.) and Arab/Barbary trades preceded and overlapped colonial rule; see </w:t>
      </w:r>
      <w:hyperlink r:id="rId207">
        <w:r>
          <w:rPr>
            <w:b w:val="0"/>
            <w:i w:val="0"/>
            <w:color w:val="B8860B"/>
          </w:rPr>
          <w:t>Slave Trades and the Horde Fracture</w:t>
        </w:r>
      </w:hyperlink>
      <w:r>
        <w:rPr>
          <w:b w:val="0"/>
          <w:i w:val="0"/>
        </w:rPr>
        <w:t>.</w:t>
      </w:r>
    </w:p>
    <w:p>
      <w:r>
        <w:rPr>
          <w:b w:val="0"/>
          <w:i w:val="0"/>
        </w:rPr>
      </w:r>
      <w:r>
        <w:rPr>
          <w:b/>
          <w:i w:val="0"/>
        </w:rPr>
        <w:t>Japan and China:</w:t>
      </w:r>
      <w:r>
        <w:rPr>
          <w:b w:val="0"/>
          <w:i w:val="0"/>
        </w:rPr>
        <w:t xml:space="preserve"> </w:t>
      </w:r>
      <w:hyperlink r:id="rId216">
        <w:r>
          <w:rPr>
            <w:b w:val="0"/>
            <w:i w:val="0"/>
            <w:color w:val="B8860B"/>
          </w:rPr>
          <w:t>Opium Wars</w:t>
        </w:r>
      </w:hyperlink>
      <w:r>
        <w:rPr>
          <w:b w:val="0"/>
          <w:i w:val="0"/>
        </w:rPr>
        <w:t xml:space="preserve"> broke Chinese sovereignty; </w:t>
      </w:r>
      <w:hyperlink r:id="rId217">
        <w:r>
          <w:rPr>
            <w:b w:val="0"/>
            <w:i w:val="0"/>
            <w:color w:val="B8860B"/>
          </w:rPr>
          <w:t>Meiji Restoration</w:t>
        </w:r>
      </w:hyperlink>
      <w:r>
        <w:rPr>
          <w:b w:val="0"/>
          <w:i w:val="0"/>
        </w:rPr>
        <w:t xml:space="preserve"> engagement created Japanese military power. Sino-Japanese rivalry keeps Asia's largest powers focused on each other.</w:t>
      </w:r>
    </w:p>
    <w:p>
      <w:r>
        <w:rPr>
          <w:b w:val="0"/>
          <w:i w:val="0"/>
        </w:rPr>
      </w:r>
      <w:r>
        <w:rPr>
          <w:b/>
          <w:i w:val="0"/>
        </w:rPr>
        <w:t>Hong Kong (1997):</w:t>
      </w:r>
      <w:r>
        <w:rPr>
          <w:b w:val="0"/>
          <w:i w:val="0"/>
        </w:rPr>
        <w:t xml:space="preserve"> Decades constructing incompatible institutions — independent judiciary, separate currency — produced permanent pressure point for Western leverage.</w:t>
      </w:r>
    </w:p>
    <w:p/>
    <w:p>
      <w:pPr>
        <w:sectPr>
          <w:headerReference w:type="default" r:id="rId211"/>
          <w:footerReference w:type="default" r:id="rId212"/>
          <w:pgSz w:w="8640" w:h="12960"/>
          <w:pgMar w:top="1020" w:right="1134" w:bottom="1134" w:left="1134" w:header="720" w:footer="720" w:gutter="0"/>
          <w:cols w:space="720"/>
          <w:titlePg/>
          <w:docGrid w:linePitch="360"/>
        </w:sectPr>
      </w:pPr>
    </w:p>
    <w:p>
      <w:pPr>
        <w:pStyle w:val="Heading2"/>
      </w:pPr>
      <w:r>
        <w:rPr>
          <w:b/>
        </w:rPr>
        <w:t>Chapter 19: Seven Days of Creation (Extended)</w:t>
      </w:r>
    </w:p>
    <w:p>
      <w:r>
        <w:rPr>
          <w:b w:val="0"/>
          <w:i w:val="0"/>
        </w:rPr>
        <w:t xml:space="preserve">Every major monotheist tradition has inherited a seven-day creation account in which the universe springs into being over a single week. This article argues that the account is </w:t>
      </w:r>
      <w:r>
        <w:rPr>
          <w:b/>
          <w:i w:val="0"/>
        </w:rPr>
        <w:t>literally true</w:t>
      </w:r>
      <w:r>
        <w:rPr>
          <w:b w:val="0"/>
          <w:i w:val="0"/>
        </w:rPr>
        <w:t xml:space="preserve"> — but compressed. Each "day" is a cosmological epoch lasting </w:t>
      </w:r>
      <w:r>
        <w:rPr>
          <w:b/>
          <w:i w:val="0"/>
        </w:rPr>
        <w:t>hundreds of years</w:t>
      </w:r>
      <w:r>
        <w:rPr>
          <w:b w:val="0"/>
          <w:i w:val="0"/>
        </w:rPr>
        <w:t>, bookended by a planetary climax: a god disappearing, a calendar changing, a new body dominating the sky. The compression from centuries to days was performed by later monotheist editors who retained the seven-beat structure while stripping the timescale entirely.</w:t>
      </w:r>
    </w:p>
    <w:p>
      <w:r>
        <w:rPr>
          <w:b w:val="0"/>
          <w:i w:val="0"/>
        </w:rPr>
        <w:t xml:space="preserve">The internal contradiction that has never been satisfactorily resolved — </w:t>
      </w:r>
      <w:r>
        <w:rPr>
          <w:b/>
          <w:i w:val="0"/>
        </w:rPr>
        <w:t>light and darkness exist on Days 1–3, but the Sun and Moon are not created until Day 4</w:t>
      </w:r>
      <w:r>
        <w:rPr>
          <w:b w:val="0"/>
          <w:i w:val="0"/>
        </w:rPr>
        <w:t xml:space="preserve"> — dissolves completely once you recognise that time was already being reckoned not by our Sun, but by </w:t>
      </w:r>
      <w:r>
        <w:rPr>
          <w:b/>
          <w:i w:val="0"/>
        </w:rPr>
        <w:t>Kronos</w:t>
      </w:r>
      <w:r>
        <w:rPr>
          <w:b w:val="0"/>
          <w:i w:val="0"/>
        </w:rPr>
        <w:t>.</w:t>
      </w:r>
    </w:p>
    <w:p>
      <w:pPr>
        <w:pBdr>
          <w:bottom w:val="single" w:sz="6" w:space="1" w:color="CCCCCC"/>
        </w:pBdr>
      </w:pPr>
    </w:p>
    <w:p>
      <w:pPr>
        <w:pStyle w:val="Heading2"/>
      </w:pPr>
      <w:r>
        <w:t>The Contradiction Built Into Genesis</w:t>
      </w:r>
    </w:p>
    <w:p>
      <w:r>
        <w:rPr>
          <w:b w:val="0"/>
          <w:i w:val="0"/>
        </w:rPr>
        <w:t>Genesis 1 records:</w:t>
      </w:r>
    </w:p>
    <w:p>
      <w:pPr>
        <w:pStyle w:val="ListBullet"/>
        <w:spacing w:before="20" w:after="20"/>
      </w:pPr>
      <w:r>
        <w:rPr>
          <w:b w:val="0"/>
          <w:i w:val="0"/>
          <w:sz w:val="19"/>
        </w:rPr>
      </w:r>
      <w:r>
        <w:rPr>
          <w:b/>
          <w:i w:val="0"/>
          <w:sz w:val="19"/>
        </w:rPr>
        <w:t>Day 1:</w:t>
      </w:r>
      <w:r>
        <w:rPr>
          <w:b w:val="0"/>
          <w:i w:val="0"/>
          <w:sz w:val="19"/>
        </w:rPr>
        <w:t xml:space="preserve"> God creates light; separates light from darkness; calls them Day and Night</w:t>
      </w:r>
    </w:p>
    <w:p>
      <w:pPr>
        <w:pStyle w:val="ListBullet"/>
        <w:spacing w:before="20" w:after="20"/>
      </w:pPr>
      <w:r>
        <w:rPr>
          <w:b w:val="0"/>
          <w:i w:val="0"/>
          <w:sz w:val="19"/>
        </w:rPr>
      </w:r>
      <w:r>
        <w:rPr>
          <w:b/>
          <w:i w:val="0"/>
          <w:sz w:val="19"/>
        </w:rPr>
        <w:t>Day 2:</w:t>
      </w:r>
      <w:r>
        <w:rPr>
          <w:b w:val="0"/>
          <w:i w:val="0"/>
          <w:sz w:val="19"/>
        </w:rPr>
        <w:t xml:space="preserve"> Creates the firmament; separates waters above from waters below</w:t>
      </w:r>
    </w:p>
    <w:p>
      <w:pPr>
        <w:pStyle w:val="ListBullet"/>
        <w:spacing w:before="20" w:after="20"/>
      </w:pPr>
      <w:r>
        <w:rPr>
          <w:b w:val="0"/>
          <w:i w:val="0"/>
          <w:sz w:val="19"/>
        </w:rPr>
      </w:r>
      <w:r>
        <w:rPr>
          <w:b/>
          <w:i w:val="0"/>
          <w:sz w:val="19"/>
        </w:rPr>
        <w:t>Day 3:</w:t>
      </w:r>
      <w:r>
        <w:rPr>
          <w:b w:val="0"/>
          <w:i w:val="0"/>
          <w:sz w:val="19"/>
        </w:rPr>
        <w:t xml:space="preserve"> Dry land appears; vegetation grows</w:t>
      </w:r>
    </w:p>
    <w:p>
      <w:pPr>
        <w:pStyle w:val="ListBullet"/>
        <w:spacing w:before="20" w:after="20"/>
      </w:pPr>
      <w:r>
        <w:rPr>
          <w:b w:val="0"/>
          <w:i w:val="0"/>
          <w:sz w:val="19"/>
        </w:rPr>
      </w:r>
      <w:r>
        <w:rPr>
          <w:b/>
          <w:i w:val="0"/>
          <w:sz w:val="19"/>
        </w:rPr>
        <w:t>Day 4:</w:t>
      </w:r>
      <w:r>
        <w:rPr>
          <w:b w:val="0"/>
          <w:i w:val="0"/>
          <w:sz w:val="19"/>
        </w:rPr>
        <w:t xml:space="preserve"> </w:t>
      </w:r>
      <w:r>
        <w:rPr>
          <w:b w:val="0"/>
          <w:i/>
          <w:sz w:val="19"/>
        </w:rPr>
        <w:t>"Let there be lights in the firmament of the heaven to divide the day from the night"</w:t>
      </w:r>
      <w:r>
        <w:rPr>
          <w:b w:val="0"/>
          <w:i w:val="0"/>
          <w:sz w:val="19"/>
        </w:rPr>
        <w:t xml:space="preserve"> — the Sun, Moon, and stars are made</w:t>
      </w:r>
    </w:p>
    <w:p>
      <w:pPr>
        <w:pStyle w:val="ListBullet"/>
        <w:spacing w:before="20" w:after="20"/>
      </w:pPr>
      <w:r>
        <w:rPr>
          <w:b w:val="0"/>
          <w:i w:val="0"/>
          <w:sz w:val="19"/>
        </w:rPr>
      </w:r>
      <w:r>
        <w:rPr>
          <w:b/>
          <w:i w:val="0"/>
          <w:sz w:val="19"/>
        </w:rPr>
        <w:t>Day 5:</w:t>
      </w:r>
      <w:r>
        <w:rPr>
          <w:b w:val="0"/>
          <w:i w:val="0"/>
          <w:sz w:val="19"/>
        </w:rPr>
        <w:t xml:space="preserve"> Waters fill with life; birds appear</w:t>
      </w:r>
    </w:p>
    <w:p>
      <w:pPr>
        <w:pStyle w:val="ListBullet"/>
        <w:spacing w:before="20" w:after="20"/>
      </w:pPr>
      <w:r>
        <w:rPr>
          <w:b w:val="0"/>
          <w:i w:val="0"/>
          <w:sz w:val="19"/>
        </w:rPr>
      </w:r>
      <w:r>
        <w:rPr>
          <w:b/>
          <w:i w:val="0"/>
          <w:sz w:val="19"/>
        </w:rPr>
        <w:t>Day 6:</w:t>
      </w:r>
      <w:r>
        <w:rPr>
          <w:b w:val="0"/>
          <w:i w:val="0"/>
          <w:sz w:val="19"/>
        </w:rPr>
        <w:t xml:space="preserve"> Land animals and humanity created</w:t>
      </w:r>
    </w:p>
    <w:p>
      <w:pPr>
        <w:pStyle w:val="ListBullet"/>
        <w:spacing w:before="20" w:after="20"/>
      </w:pPr>
      <w:r>
        <w:rPr>
          <w:b w:val="0"/>
          <w:i w:val="0"/>
          <w:sz w:val="19"/>
        </w:rPr>
      </w:r>
      <w:r>
        <w:rPr>
          <w:b/>
          <w:i w:val="0"/>
          <w:sz w:val="19"/>
        </w:rPr>
        <w:t>Day 7:</w:t>
      </w:r>
      <w:r>
        <w:rPr>
          <w:b w:val="0"/>
          <w:i w:val="0"/>
          <w:sz w:val="19"/>
        </w:rPr>
        <w:t xml:space="preserve"> God rests</w:t>
      </w:r>
    </w:p>
    <w:p>
      <w:r>
        <w:rPr>
          <w:b w:val="0"/>
          <w:i w:val="0"/>
        </w:rPr>
        <w:t xml:space="preserve">The contradiction is stark. "Evening and morning were the first day" — but there is </w:t>
      </w:r>
      <w:r>
        <w:rPr>
          <w:b/>
          <w:i w:val="0"/>
        </w:rPr>
        <w:t>no Sun on Day 1</w:t>
      </w:r>
      <w:r>
        <w:rPr>
          <w:b w:val="0"/>
          <w:i w:val="0"/>
        </w:rPr>
        <w:t>. Days and nights pass for three days before the body that creates days and nights is fabricated. Every theological tradition has attempted to explain this away:</w:t>
      </w:r>
    </w:p>
    <w:p>
      <w:pPr>
        <w:pStyle w:val="ListBullet"/>
        <w:spacing w:before="20" w:after="20"/>
      </w:pPr>
      <w:r>
        <w:rPr>
          <w:b w:val="0"/>
          <w:i/>
          <w:sz w:val="19"/>
        </w:rPr>
        <w:t>"God's light was different from the Sun's light"</w:t>
      </w:r>
      <w:r>
        <w:rPr>
          <w:b w:val="0"/>
          <w:i w:val="0"/>
          <w:sz w:val="19"/>
        </w:rPr>
        <w:t xml:space="preserve"> — asserted without mechanism</w:t>
      </w:r>
    </w:p>
    <w:p>
      <w:pPr>
        <w:pStyle w:val="ListBullet"/>
        <w:spacing w:before="20" w:after="20"/>
      </w:pPr>
      <w:r>
        <w:rPr>
          <w:b w:val="0"/>
          <w:i/>
          <w:sz w:val="19"/>
        </w:rPr>
        <w:t>"The Sun was created on Day 1 but placed in its orbit on Day 4"</w:t>
      </w:r>
      <w:r>
        <w:rPr>
          <w:b w:val="0"/>
          <w:i w:val="0"/>
          <w:sz w:val="19"/>
        </w:rPr>
        <w:t xml:space="preserve"> — contradicts the plain text</w:t>
      </w:r>
    </w:p>
    <w:p>
      <w:pPr>
        <w:pStyle w:val="ListBullet"/>
        <w:spacing w:before="20" w:after="20"/>
      </w:pPr>
      <w:r>
        <w:rPr>
          <w:b w:val="0"/>
          <w:i/>
          <w:sz w:val="19"/>
        </w:rPr>
        <w:t>"Days are figurative aeons"</w:t>
      </w:r>
      <w:r>
        <w:rPr>
          <w:b w:val="0"/>
          <w:i w:val="0"/>
          <w:sz w:val="19"/>
        </w:rPr>
        <w:t xml:space="preserve"> — true in the deepest sense, but still leaves the Sun-before-luminaries problem unsolved</w:t>
      </w:r>
    </w:p>
    <w:p>
      <w:r>
        <w:rPr>
          <w:b w:val="0"/>
          <w:i w:val="0"/>
        </w:rPr>
        <w:t>The Saturnian model does not require apologetics. It provides the mechanism.</w:t>
      </w:r>
    </w:p>
    <w:p>
      <w:pPr>
        <w:pBdr>
          <w:bottom w:val="single" w:sz="6" w:space="1" w:color="CCCCCC"/>
        </w:pBdr>
      </w:pPr>
    </w:p>
    <w:p>
      <w:pPr>
        <w:pStyle w:val="Heading2"/>
      </w:pPr>
      <w:r>
        <w:t>Author's Thesis: The Received Day-Order Is Redacted</w:t>
      </w:r>
    </w:p>
    <w:p>
      <w:r>
        <w:rPr>
          <w:b w:val="0"/>
          <w:i w:val="0"/>
        </w:rPr>
        <w:t xml:space="preserve">This timeline does </w:t>
      </w:r>
      <w:r>
        <w:rPr>
          <w:b/>
          <w:i w:val="0"/>
        </w:rPr>
        <w:t>not</w:t>
      </w:r>
      <w:r>
        <w:rPr>
          <w:b w:val="0"/>
          <w:i w:val="0"/>
        </w:rPr>
        <w:t xml:space="preserve"> accept the final canonical order as historically intact. In particular, the placement of "man" on Day 6 is treated as a later editorial layer.</w:t>
      </w:r>
    </w:p>
    <w:p>
      <w:r>
        <w:rPr>
          <w:b w:val="0"/>
          <w:i w:val="0"/>
        </w:rPr>
        <w:t>The core objection is observational: if humanity were first created on or after Day 6, there would be no human witnesses to remember and preserve the Day 1 event ("Let there be light"). Yet global traditions explicitly preserve witness-memory of sudden light, chaos, and reordering in the sky.</w:t>
      </w:r>
    </w:p>
    <w:p>
      <w:r>
        <w:rPr>
          <w:b w:val="0"/>
          <w:i w:val="0"/>
        </w:rPr>
        <w:t xml:space="preserve">Within this project's chronology, humans are already present in the pre-Golden-Age era and survive into 4077 BCE. See </w:t>
      </w:r>
      <w:hyperlink r:id="rId220">
        <w:r>
          <w:rPr>
            <w:b w:val="0"/>
            <w:i w:val="0"/>
            <w:color w:val="B8860B"/>
          </w:rPr>
          <w:t>Before Creation</w:t>
        </w:r>
      </w:hyperlink>
      <w:r>
        <w:rPr>
          <w:b w:val="0"/>
          <w:i w:val="0"/>
        </w:rPr>
        <w:t>.</w:t>
      </w:r>
    </w:p>
    <w:p>
      <w:r>
        <w:rPr>
          <w:b w:val="0"/>
          <w:i w:val="0"/>
        </w:rPr>
        <w:t>Working interpretation:</w:t>
      </w:r>
    </w:p>
    <w:p>
      <w:pPr>
        <w:pStyle w:val="ListBullet"/>
        <w:spacing w:before="20" w:after="20"/>
      </w:pPr>
      <w:r>
        <w:rPr>
          <w:b w:val="0"/>
          <w:i w:val="0"/>
          <w:sz w:val="19"/>
        </w:rPr>
        <w:t xml:space="preserve">"Let us make man in our image" does </w:t>
      </w:r>
      <w:r>
        <w:rPr>
          <w:b/>
          <w:i w:val="0"/>
          <w:sz w:val="19"/>
        </w:rPr>
        <w:t>not</w:t>
      </w:r>
      <w:r>
        <w:rPr>
          <w:b w:val="0"/>
          <w:i w:val="0"/>
          <w:sz w:val="19"/>
        </w:rPr>
        <w:t xml:space="preserve"> describe the biological origin of humans.</w:t>
      </w:r>
    </w:p>
    <w:p>
      <w:pPr>
        <w:pStyle w:val="ListBullet"/>
        <w:spacing w:before="20" w:after="20"/>
      </w:pPr>
      <w:r>
        <w:rPr>
          <w:b w:val="0"/>
          <w:i w:val="0"/>
          <w:sz w:val="19"/>
        </w:rPr>
        <w:t xml:space="preserve">It describes a </w:t>
      </w:r>
      <w:r>
        <w:rPr>
          <w:b/>
          <w:i w:val="0"/>
          <w:sz w:val="19"/>
        </w:rPr>
        <w:t>reclassification</w:t>
      </w:r>
      <w:r>
        <w:rPr>
          <w:b w:val="0"/>
          <w:i w:val="0"/>
          <w:sz w:val="19"/>
        </w:rPr>
        <w:t xml:space="preserve"> of humanity within the Saturnian order: role, dominion, priestly authority, and image-conformity to the polar configuration.</w:t>
      </w:r>
    </w:p>
    <w:p>
      <w:pPr>
        <w:pStyle w:val="ListBullet"/>
        <w:spacing w:before="20" w:after="20"/>
      </w:pPr>
      <w:r>
        <w:rPr>
          <w:b w:val="0"/>
          <w:i w:val="0"/>
          <w:sz w:val="19"/>
        </w:rPr>
        <w:t>The transmitted seven-day sequence preserves real epochs, but the final editorial order is not assumed to be perfect.</w:t>
      </w:r>
    </w:p>
    <w:p>
      <w:pPr>
        <w:pBdr>
          <w:bottom w:val="single" w:sz="6" w:space="1" w:color="CCCCCC"/>
        </w:pBdr>
      </w:pPr>
    </w:p>
    <w:p>
      <w:pPr>
        <w:pStyle w:val="Heading2"/>
      </w:pPr>
      <w:r>
        <w:t>Kronos: The Original Timekeeping Sun</w:t>
      </w:r>
    </w:p>
    <w:p>
      <w:r>
        <w:rPr>
          <w:b w:val="0"/>
          <w:i w:val="0"/>
        </w:rPr>
        <w:t xml:space="preserve">Saturn was called </w:t>
      </w:r>
      <w:hyperlink r:id="rId221">
        <w:r>
          <w:rPr>
            <w:b w:val="0"/>
            <w:i w:val="0"/>
            <w:color w:val="B8860B"/>
          </w:rPr>
          <w:t>Kronos</w:t>
        </w:r>
      </w:hyperlink>
      <w:r>
        <w:rPr>
          <w:b w:val="0"/>
          <w:i w:val="0"/>
        </w:rPr>
        <w:t xml:space="preserve"> by the Greeks. The word </w:t>
      </w:r>
      <w:r>
        <w:rPr>
          <w:b w:val="0"/>
          <w:i/>
        </w:rPr>
        <w:t>kronos</w:t>
      </w:r>
      <w:r>
        <w:rPr>
          <w:b w:val="0"/>
          <w:i w:val="0"/>
        </w:rPr>
        <w:t xml:space="preserve"> (</w:t>
      </w:r>
      <w:r>
        <w:rPr>
          <w:b w:val="0"/>
          <w:i/>
        </w:rPr>
        <w:t>χρόνος</w:t>
      </w:r>
      <w:r>
        <w:rPr>
          <w:b w:val="0"/>
          <w:i w:val="0"/>
        </w:rPr>
        <w:t xml:space="preserve">) means </w:t>
      </w:r>
      <w:r>
        <w:rPr>
          <w:b/>
          <w:i w:val="0"/>
        </w:rPr>
        <w:t>time</w:t>
      </w:r>
      <w:r>
        <w:rPr>
          <w:b w:val="0"/>
          <w:i w:val="0"/>
        </w:rPr>
        <w:t xml:space="preserve">. The name was not a metaphor or honorific — it was a description of a </w:t>
      </w:r>
      <w:r>
        <w:rPr>
          <w:b/>
          <w:i w:val="0"/>
        </w:rPr>
        <w:t>physical observation</w:t>
      </w:r>
      <w:r>
        <w:rPr>
          <w:b w:val="0"/>
          <w:i w:val="0"/>
        </w:rPr>
        <w:t>.</w:t>
      </w:r>
    </w:p>
    <w:p>
      <w:r>
        <w:rPr>
          <w:b w:val="0"/>
          <w:i w:val="0"/>
        </w:rPr>
        <w:t xml:space="preserve">As documented in </w:t>
      </w:r>
      <w:hyperlink r:id="rId181">
        <w:r>
          <w:rPr>
            <w:b w:val="0"/>
            <w:i w:val="0"/>
            <w:color w:val="B8860B"/>
          </w:rPr>
          <w:t>The 225-Day Year</w:t>
        </w:r>
      </w:hyperlink>
      <w:r>
        <w:rPr>
          <w:b w:val="0"/>
          <w:i w:val="0"/>
        </w:rPr>
        <w:t>:</w:t>
      </w:r>
    </w:p>
    <w:p>
      <w:pPr>
        <w:pStyle w:val="Quote"/>
      </w:pPr>
      <w:r>
        <w:rPr>
          <w:b w:val="0"/>
          <w:i/>
          <w:sz w:val="19"/>
        </w:rPr>
        <w:t>"We can actually claim that Saturn invented time — when it no longer blazed, but had reduced its output or dropped to dark mode. That is when a crescent would be seen at the edge of the globe, rotating counterclockwise on a daily basis."</w:t>
      </w:r>
      <w:r>
        <w:rPr>
          <w:b w:val="0"/>
          <w:i w:val="0"/>
          <w:sz w:val="19"/>
        </w:rPr>
        <w:t xml:space="preserve"> </w:t>
      </w:r>
      <w:r>
        <w:rPr>
          <w:b w:val="0"/>
          <w:i w:val="0"/>
          <w:sz w:val="19"/>
        </w:rPr>
        <w:t xml:space="preserve">— Jno Cook, </w:t>
      </w:r>
      <w:r>
        <w:rPr>
          <w:b w:val="0"/>
          <w:i/>
          <w:sz w:val="19"/>
        </w:rPr>
        <w:t>Saturnian Cosmology</w:t>
      </w:r>
      <w:r>
        <w:rPr>
          <w:b w:val="0"/>
          <w:i w:val="0"/>
          <w:sz w:val="19"/>
        </w:rPr>
        <w:t>, Chapter 14</w:t>
      </w:r>
    </w:p>
    <w:p>
      <w:r>
        <w:rPr>
          <w:b w:val="0"/>
          <w:i w:val="0"/>
        </w:rPr>
        <w:t xml:space="preserve">Saturn's visible crescent — lit by the real Sun at Saturn's rim — swept counterclockwise as Earth rotated beneath it. Bright at night, dim by day. </w:t>
      </w:r>
      <w:r>
        <w:rPr>
          <w:b/>
          <w:i w:val="0"/>
        </w:rPr>
        <w:t>This was the first clock.</w:t>
      </w:r>
      <w:r>
        <w:rPr>
          <w:b w:val="0"/>
          <w:i w:val="0"/>
        </w:rPr>
        <w:t xml:space="preserve"> Humans named it Kronos because it was the body by which time was counted. Our Sun was not visible; it was obscured behind the Saturn–Jupiter–Venus–Mars collinear column for the entire duration of the Golden Age.</w:t>
      </w:r>
    </w:p>
    <w:p>
      <w:r>
        <w:rPr>
          <w:b w:val="0"/>
          <w:i w:val="0"/>
        </w:rPr>
        <w:t xml:space="preserve">When the confusion arose — how could there be evening and morning before the Sun existed? — the answer is: the evening and morning were measured against Saturn. The "greater light" of Day 4 was </w:t>
      </w:r>
      <w:r>
        <w:rPr>
          <w:b/>
          <w:i w:val="0"/>
        </w:rPr>
        <w:t>not</w:t>
      </w:r>
      <w:r>
        <w:rPr>
          <w:b w:val="0"/>
          <w:i w:val="0"/>
        </w:rPr>
        <w:t xml:space="preserve"> our current Sun. It was Saturn achieving its full arc-mode ignition, blazing like a star overhead.</w:t>
      </w:r>
    </w:p>
    <w:p>
      <w:r>
        <w:rPr>
          <w:b w:val="0"/>
          <w:i w:val="0"/>
        </w:rPr>
        <w:t xml:space="preserve">The name Kronos is the direct evidence. Ancient peoples named the body that kept their time. They did not call it "God" or "Father" in the first instance — they called it </w:t>
      </w:r>
      <w:r>
        <w:rPr>
          <w:b/>
          <w:i w:val="0"/>
        </w:rPr>
        <w:t>Time</w:t>
      </w:r>
      <w:r>
        <w:rPr>
          <w:b w:val="0"/>
          <w:i w:val="0"/>
        </w:rPr>
        <w:t>, because that is what Saturn gave them.</w:t>
      </w:r>
    </w:p>
    <w:p>
      <w:pPr>
        <w:pBdr>
          <w:bottom w:val="single" w:sz="6" w:space="1" w:color="CCCCCC"/>
        </w:pBdr>
      </w:pPr>
    </w:p>
    <w:p>
      <w:pPr>
        <w:pStyle w:val="Heading2"/>
      </w:pPr>
      <w:r>
        <w:t>The Seven Days Mapped to Saturnian Events</w:t>
      </w:r>
    </w:p>
    <w:p>
      <w:r>
        <w:rPr>
          <w:b w:val="0"/>
          <w:i w:val="0"/>
        </w:rPr>
        <w:t>Each "day" corresponds to a distinct cosmological epoch. The epoch ends — and a new one begins — when a major planetary event occurs: a world-body changes state, vanishes, or takes dominance over the sky.</w:t>
      </w:r>
    </w:p>
    <w:p>
      <w:pPr>
        <w:pStyle w:val="Heading3"/>
      </w:pPr>
      <w:r>
        <w:t>Day 1 — "Let There Be Light" — Saturn Nova (4077 BC)</w:t>
      </w:r>
    </w:p>
    <w:p>
      <w:pPr>
        <w:pStyle w:val="Quote"/>
      </w:pPr>
      <w:r>
        <w:rPr>
          <w:b w:val="0"/>
          <w:i/>
          <w:sz w:val="19"/>
        </w:rPr>
        <w:t>"And God said, Let there be light: and there was light. And God saw the light, that it was good: and God divided the light from the darkness."</w:t>
      </w:r>
      <w:r>
        <w:rPr>
          <w:b w:val="0"/>
          <w:i w:val="0"/>
          <w:sz w:val="19"/>
        </w:rPr>
        <w:t xml:space="preserve"> — Genesis 1:3–4</w:t>
      </w:r>
    </w:p>
    <w:p>
      <w:r>
        <w:rPr>
          <w:b w:val="0"/>
          <w:i w:val="0"/>
        </w:rPr>
        <w:t xml:space="preserve">Saturn had been dimly visible since approximately 4900 BC as the Cosmic Egg, a globe in the murk. Then in </w:t>
      </w:r>
      <w:r>
        <w:rPr>
          <w:b/>
          <w:i w:val="0"/>
        </w:rPr>
        <w:t>4077 BC</w:t>
      </w:r>
      <w:r>
        <w:rPr>
          <w:b w:val="0"/>
          <w:i w:val="0"/>
        </w:rPr>
        <w:t xml:space="preserve">, Saturn transitioned from glow mode to </w:t>
      </w:r>
      <w:r>
        <w:rPr>
          <w:b/>
          <w:i w:val="0"/>
        </w:rPr>
        <w:t>arc mode</w:t>
      </w:r>
      <w:r>
        <w:rPr>
          <w:b w:val="0"/>
          <w:i w:val="0"/>
        </w:rPr>
        <w:t xml:space="preserve"> — a sudden plasma ignition that cleared Earth's skies for the first time. The effect was reported identically on every continent: darkness, then overwhelming sudden light. This is the Creation event. This is Day 1.</w:t>
      </w:r>
    </w:p>
    <w:p>
      <w:r>
        <w:rPr>
          <w:b w:val="0"/>
          <w:i w:val="0"/>
        </w:rPr>
        <w:t xml:space="preserve">Cross-reference: </w:t>
      </w:r>
      <w:hyperlink r:id="rId222">
        <w:r>
          <w:rPr>
            <w:b w:val="0"/>
            <w:i w:val="0"/>
            <w:color w:val="B8860B"/>
          </w:rPr>
          <w:t>Proto-Saturn joins the Sun's orbit and lights up</w:t>
        </w:r>
      </w:hyperlink>
    </w:p>
    <w:p>
      <w:r>
        <w:rPr>
          <w:b w:val="0"/>
          <w:i w:val="0"/>
        </w:rPr>
        <w:t>The "evening and morning" of this first day were reckoned against Saturn's new crescent — the first working clock in Earth's sky.</w:t>
      </w:r>
    </w:p>
    <w:p>
      <w:r>
        <w:rPr>
          <w:b w:val="0"/>
          <w:i w:val="0"/>
        </w:rPr>
        <w:t xml:space="preserve">This transition was accompanied by a </w:t>
      </w:r>
      <w:r>
        <w:rPr>
          <w:b/>
          <w:i w:val="0"/>
        </w:rPr>
        <w:t>tremendous noise</w:t>
      </w:r>
      <w:r>
        <w:rPr>
          <w:b w:val="0"/>
          <w:i w:val="0"/>
        </w:rPr>
        <w:t xml:space="preserve"> heard worldwide. A late Egyptian source describes:</w:t>
      </w:r>
    </w:p>
    <w:p>
      <w:pPr>
        <w:pStyle w:val="Quote"/>
      </w:pPr>
      <w:r>
        <w:rPr>
          <w:b w:val="0"/>
          <w:i/>
          <w:sz w:val="19"/>
        </w:rPr>
        <w:t>"Amun initiated creation, in association with his sacred animal, the goose. He is called the Great Honker, who gave a great screech which stirred the inert cosmos into action. He is also called the Great Cackler — the creative energy in the form of a goose which carried the cosmic egg from which all life emerged."</w:t>
      </w:r>
      <w:r>
        <w:rPr>
          <w:sz w:val="19"/>
        </w:rPr>
        <w:br/>
      </w:r>
      <w:r>
        <w:rPr>
          <w:b w:val="0"/>
          <w:i w:val="0"/>
          <w:sz w:val="19"/>
        </w:rPr>
        <w:t xml:space="preserve">— </w:t>
      </w:r>
      <w:r>
        <w:rPr>
          <w:b w:val="0"/>
          <w:i/>
          <w:sz w:val="19"/>
        </w:rPr>
        <w:t>Ogdoad of Hermopolis</w:t>
      </w:r>
    </w:p>
    <w:p>
      <w:r>
        <w:rPr>
          <w:b w:val="0"/>
          <w:i w:val="0"/>
        </w:rPr>
        <w:t xml:space="preserve">This is the </w:t>
      </w:r>
      <w:r>
        <w:rPr>
          <w:b/>
          <w:i w:val="0"/>
        </w:rPr>
        <w:t>sound of an electric arc striking</w:t>
      </w:r>
      <w:r>
        <w:rPr>
          <w:b w:val="0"/>
          <w:i w:val="0"/>
        </w:rPr>
        <w:t xml:space="preserve">, followed by the sustained electric discharge. The "egg" — Saturn's glow-mode coma — appeared to </w:t>
      </w:r>
      <w:r>
        <w:rPr>
          <w:b/>
          <w:i w:val="0"/>
        </w:rPr>
        <w:t>split horizontally</w:t>
      </w:r>
      <w:r>
        <w:rPr>
          <w:b w:val="0"/>
          <w:i w:val="0"/>
        </w:rPr>
        <w:t xml:space="preserve"> as the equatorial mass expulsion began forming Saturn's rings. David Talbott traced this "egg cracking" motif across Egyptian iconography: a horizontal line forms across the globe, the top and bottom differentiate — the primordial Yin and Yang of Chinese myth. Many traditions clearly differentiate the "egg" (glow mode) from the "blazing sun" (arc mode) as if they were </w:t>
      </w:r>
      <w:r>
        <w:rPr>
          <w:b/>
          <w:i w:val="0"/>
        </w:rPr>
        <w:t>two separate gods</w:t>
      </w:r>
      <w:r>
        <w:rPr>
          <w:b w:val="0"/>
          <w:i w:val="0"/>
        </w:rPr>
        <w:t>.</w:t>
      </w:r>
    </w:p>
    <w:p>
      <w:r>
        <w:rPr>
          <w:b w:val="0"/>
          <w:i w:val="0"/>
        </w:rPr>
        <w:t xml:space="preserve">The "Word" that creates — "In the beginning was the Word, and the Word was God" (John 1:1) — is the </w:t>
      </w:r>
      <w:r>
        <w:rPr>
          <w:b/>
          <w:i w:val="0"/>
        </w:rPr>
        <w:t>electromagnetic discharge itself</w:t>
      </w:r>
      <w:r>
        <w:rPr>
          <w:b w:val="0"/>
          <w:i w:val="0"/>
        </w:rPr>
        <w:t xml:space="preserve">, the sound and light of arc-mode ignition. For the Egyptians, spoken words carried literal creative power because the creation event </w:t>
      </w:r>
      <w:r>
        <w:rPr>
          <w:b/>
          <w:i w:val="0"/>
        </w:rPr>
        <w:t>began with a sound</w:t>
      </w:r>
      <w:r>
        <w:rPr>
          <w:b w:val="0"/>
          <w:i w:val="0"/>
        </w:rPr>
        <w:t>.</w:t>
      </w:r>
    </w:p>
    <w:p>
      <w:pPr>
        <w:pStyle w:val="Heading3"/>
      </w:pPr>
      <w:r>
        <w:t>Day 2 — "The Firmament" — Absu Plasma Shells Established</w:t>
      </w:r>
    </w:p>
    <w:p>
      <w:pPr>
        <w:pStyle w:val="Quote"/>
      </w:pPr>
      <w:r>
        <w:rPr>
          <w:b w:val="0"/>
          <w:i/>
          <w:sz w:val="19"/>
        </w:rPr>
        <w:t>"And God said, Let there be a firmament in the midst of the waters, and let it divide the waters from the waters."</w:t>
      </w:r>
      <w:r>
        <w:rPr>
          <w:b w:val="0"/>
          <w:i w:val="0"/>
          <w:sz w:val="19"/>
        </w:rPr>
        <w:t xml:space="preserve"> — Genesis 1:6</w:t>
      </w:r>
    </w:p>
    <w:p>
      <w:r>
        <w:rPr>
          <w:b w:val="0"/>
          <w:i w:val="0"/>
        </w:rPr>
        <w:t xml:space="preserve">As the Saturnian system charged up after the nova, it settled into the </w:t>
      </w:r>
      <w:hyperlink r:id="rId223">
        <w:r>
          <w:rPr>
            <w:b w:val="0"/>
            <w:i w:val="0"/>
            <w:color w:val="B8860B"/>
          </w:rPr>
          <w:t>collinear configuration</w:t>
        </w:r>
      </w:hyperlink>
      <w:r>
        <w:rPr>
          <w:b w:val="0"/>
          <w:i w:val="0"/>
        </w:rPr>
        <w:t xml:space="preserve">. Plasma shells — the </w:t>
      </w:r>
      <w:r>
        <w:rPr>
          <w:b/>
          <w:i w:val="0"/>
        </w:rPr>
        <w:t>Absu layers</w:t>
      </w:r>
      <w:r>
        <w:rPr>
          <w:b w:val="0"/>
          <w:i w:val="0"/>
        </w:rPr>
        <w:t xml:space="preserve"> — formed concentric rings around the planetary column, separating the inner system from outer space. To observers on Earth, this was literally a luminous arch across the sky dividing the "waters above" (the outer plasma beyond the Absu) from the "waters below" (the inner atmosphere and ocean).</w:t>
      </w:r>
    </w:p>
    <w:p>
      <w:r>
        <w:rPr>
          <w:b w:val="0"/>
          <w:i w:val="0"/>
        </w:rPr>
        <w:t xml:space="preserve">Cross-reference: </w:t>
      </w:r>
      <w:hyperlink r:id="rId224">
        <w:r>
          <w:rPr>
            <w:b w:val="0"/>
            <w:i w:val="0"/>
            <w:color w:val="B8860B"/>
          </w:rPr>
          <w:t>The Absu layers surrounded the Planets</w:t>
        </w:r>
      </w:hyperlink>
    </w:p>
    <w:p>
      <w:r>
        <w:rPr>
          <w:b w:val="0"/>
          <w:i w:val="0"/>
        </w:rPr>
        <w:t xml:space="preserve">The Absu is the "firmament." The Hebrew word </w:t>
      </w:r>
      <w:r>
        <w:rPr>
          <w:b w:val="0"/>
          <w:i/>
        </w:rPr>
        <w:t>rāqîaʿ</w:t>
      </w:r>
      <w:r>
        <w:rPr>
          <w:b w:val="0"/>
          <w:i w:val="0"/>
        </w:rPr>
        <w:t xml:space="preserve"> means a </w:t>
      </w:r>
      <w:r>
        <w:rPr>
          <w:b/>
          <w:i w:val="0"/>
        </w:rPr>
        <w:t>beaten-out expanse</w:t>
      </w:r>
      <w:r>
        <w:rPr>
          <w:b w:val="0"/>
          <w:i w:val="0"/>
        </w:rPr>
        <w:t xml:space="preserve"> — a dome or vault. The plasma shell hammered into place by electromagnetic forces above Earth's atmosphere fits this description more precisely than any layer of transparent gas.</w:t>
      </w:r>
    </w:p>
    <w:p>
      <w:r>
        <w:rPr>
          <w:b w:val="0"/>
          <w:i w:val="0"/>
        </w:rPr>
        <w:t xml:space="preserve">As Jno Cook describes in Chapter 3 of </w:t>
      </w:r>
      <w:r>
        <w:rPr>
          <w:b w:val="0"/>
          <w:i/>
        </w:rPr>
        <w:t>Recovering the Lost World</w:t>
      </w:r>
      <w:r>
        <w:rPr>
          <w:b w:val="0"/>
          <w:i w:val="0"/>
        </w:rPr>
        <w:t>:</w:t>
      </w:r>
    </w:p>
    <w:p>
      <w:pPr>
        <w:pStyle w:val="Quote"/>
      </w:pPr>
      <w:r>
        <w:rPr>
          <w:b w:val="0"/>
          <w:i/>
          <w:sz w:val="19"/>
        </w:rPr>
        <w:t>"As Saturn changed to an arc mode discharge the previous encompassing glow discharge disappeared. Saturn suddenly lit up like a sun and connected to Earth, via Mercury and Mars, with an electric arc. The Gods were born, and 'creation' ensued. The waters below separated from the 'waters' above and light was created — not the light of the Sun, but the coronal discharge of Saturn."</w:t>
      </w:r>
    </w:p>
    <w:p>
      <w:pPr>
        <w:pStyle w:val="Quote"/>
      </w:pPr>
      <w:r>
        <w:rPr>
          <w:b w:val="0"/>
          <w:i/>
          <w:sz w:val="19"/>
        </w:rPr>
        <w:t>"In the book of Genesis, God separated the waters below from the waters above by creating the dome of the sky. This is the appearance of the northern stars in 4077 BC, when the glow mode coma of Saturn collapses. The 'waters above,' which had been the plasma outpouring from Saturn to the surrounding space, remain 'above' as the rings of Saturn and a stream of water, or what looked like water, connecting to Earth."</w:t>
      </w:r>
    </w:p>
    <w:p>
      <w:r>
        <w:rPr>
          <w:b w:val="0"/>
          <w:i w:val="0"/>
        </w:rPr>
        <w:t>This is not metaphor — the "waters" were visible plasma streams in glow mode, and the firmament was the electromagnetic boundary separating Saturn's plasma expulsion from the space beyond.</w:t>
      </w:r>
    </w:p>
    <w:p>
      <w:pPr>
        <w:pStyle w:val="Heading3"/>
      </w:pPr>
      <w:r>
        <w:t>Day 3 — "Dry Land and Vegetation" — Stable Tree-of-Life Configuration</w:t>
      </w:r>
    </w:p>
    <w:p>
      <w:pPr>
        <w:pStyle w:val="Quote"/>
      </w:pPr>
      <w:r>
        <w:rPr>
          <w:b w:val="0"/>
          <w:i/>
          <w:sz w:val="19"/>
        </w:rPr>
        <w:t>"And God said, Let the waters under the heaven be gathered together unto one place, and let the dry land appear… Let the earth bring forth grass, the herb yielding seed…"</w:t>
      </w:r>
      <w:r>
        <w:rPr>
          <w:b w:val="0"/>
          <w:i w:val="0"/>
          <w:sz w:val="19"/>
        </w:rPr>
        <w:t xml:space="preserve"> — Genesis 1:9–11</w:t>
      </w:r>
    </w:p>
    <w:p>
      <w:r>
        <w:rPr>
          <w:b w:val="0"/>
          <w:i w:val="0"/>
        </w:rPr>
        <w:t xml:space="preserve">With the Absu layers stable, the inner Saturnian system reached the configuration remembered as the </w:t>
      </w:r>
      <w:r>
        <w:rPr>
          <w:b/>
          <w:i w:val="0"/>
        </w:rPr>
        <w:t>Tree of Life</w:t>
      </w:r>
      <w:r>
        <w:rPr>
          <w:b w:val="0"/>
          <w:i w:val="0"/>
        </w:rPr>
        <w:t xml:space="preserve"> or </w:t>
      </w:r>
      <w:r>
        <w:rPr>
          <w:b/>
          <w:i w:val="0"/>
        </w:rPr>
        <w:t>Axis Mundi</w:t>
      </w:r>
      <w:r>
        <w:rPr>
          <w:b w:val="0"/>
          <w:i w:val="0"/>
        </w:rPr>
        <w:t xml:space="preserve">: Saturn directly overhead at the north pole, Mars above Earth, Venus above Mars, all connected by the plasma column. The column's electromagnetic influence on Earth's oceans caused polar tidal bulging; as the system stabilised, those waters receded and </w:t>
      </w:r>
      <w:r>
        <w:rPr>
          <w:b/>
          <w:i w:val="0"/>
        </w:rPr>
        <w:t>dry land appeared globally</w:t>
      </w:r>
      <w:r>
        <w:rPr>
          <w:b w:val="0"/>
          <w:i w:val="0"/>
        </w:rPr>
        <w:t>.</w:t>
      </w:r>
    </w:p>
    <w:p>
      <w:r>
        <w:rPr>
          <w:b w:val="0"/>
          <w:i w:val="0"/>
        </w:rPr>
        <w:t>Vegetation responded to the new electromagnetic energies flowing through the column. This is not metaphor — the plasma currents carried nutrients, and the planetary configuration was the source of the Golden Age's remembered abundance.</w:t>
      </w:r>
    </w:p>
    <w:p>
      <w:r>
        <w:rPr>
          <w:b w:val="0"/>
          <w:i w:val="0"/>
        </w:rPr>
        <w:t xml:space="preserve">Cross-reference: </w:t>
      </w:r>
      <w:hyperlink r:id="rId223">
        <w:r>
          <w:rPr>
            <w:b w:val="0"/>
            <w:i w:val="0"/>
            <w:color w:val="B8860B"/>
          </w:rPr>
          <w:t>Saturn's Collinear Planetary Configuration — The Tree of Life</w:t>
        </w:r>
      </w:hyperlink>
    </w:p>
    <w:p>
      <w:pPr>
        <w:pStyle w:val="Heading3"/>
      </w:pPr>
      <w:r>
        <w:t>Day 4 — "Lights in the Firmament" — Wheel of Heaven Fully Visible</w:t>
      </w:r>
    </w:p>
    <w:p>
      <w:pPr>
        <w:pStyle w:val="Quote"/>
      </w:pPr>
      <w:r>
        <w:rPr>
          <w:b w:val="0"/>
          <w:i/>
          <w:sz w:val="19"/>
        </w:rPr>
        <w:t>"And God said, Let there be lights in the firmament of the heaven to divide the day from the night; and let them be for signs, and for seasons, and for days, and years."</w:t>
      </w:r>
      <w:r>
        <w:rPr>
          <w:b w:val="0"/>
          <w:i w:val="0"/>
          <w:sz w:val="19"/>
        </w:rPr>
        <w:t xml:space="preserve"> — Genesis 1:14</w:t>
      </w:r>
    </w:p>
    <w:p>
      <w:r>
        <w:rPr>
          <w:b w:val="0"/>
          <w:i w:val="0"/>
        </w:rPr>
        <w:t xml:space="preserve">This is the crux of the contradiction — and the crux of the resolution. The "lights" placed in the firmament on Day 4 are not our Sun and Moon. They are the </w:t>
      </w:r>
      <w:r>
        <w:rPr>
          <w:b/>
          <w:i w:val="0"/>
        </w:rPr>
        <w:t>full Wheel of Heaven</w:t>
      </w:r>
      <w:r>
        <w:rPr>
          <w:b w:val="0"/>
          <w:i w:val="0"/>
        </w:rPr>
        <w:t xml:space="preserve">: Saturn as the blazing polar sun, Venus as the plasmoid star, Mars as the solid-sphere body below Venus. The configuration became fully visible and stable at this stage, its daily rotation providing </w:t>
      </w:r>
      <w:r>
        <w:rPr>
          <w:b/>
          <w:i w:val="0"/>
        </w:rPr>
        <w:t>signs and seasons and days and years</w:t>
      </w:r>
      <w:r>
        <w:rPr>
          <w:b w:val="0"/>
          <w:i w:val="0"/>
        </w:rPr>
        <w:t>.</w:t>
      </w:r>
    </w:p>
    <w:p>
      <w:r>
        <w:rPr>
          <w:b w:val="0"/>
          <w:i w:val="0"/>
        </w:rPr>
        <w:t xml:space="preserve">Cross-reference: </w:t>
      </w:r>
      <w:hyperlink r:id="rId225">
        <w:r>
          <w:rPr>
            <w:b w:val="0"/>
            <w:i w:val="0"/>
            <w:color w:val="B8860B"/>
          </w:rPr>
          <w:t>Northern Hemisphere Configuration</w:t>
        </w:r>
      </w:hyperlink>
      <w:r>
        <w:rPr>
          <w:b w:val="0"/>
          <w:i w:val="0"/>
        </w:rPr>
        <w:t xml:space="preserve"> | </w:t>
      </w:r>
      <w:hyperlink r:id="rId226">
        <w:r>
          <w:rPr>
            <w:b w:val="0"/>
            <w:i w:val="0"/>
            <w:color w:val="B8860B"/>
          </w:rPr>
          <w:t>Southern Hemisphere Configuration</w:t>
        </w:r>
      </w:hyperlink>
    </w:p>
    <w:p>
      <w:r>
        <w:rPr>
          <w:b w:val="0"/>
          <w:i w:val="0"/>
        </w:rPr>
        <w:t xml:space="preserve">The "greater light to rule the day" is Saturn in arc mode. The "lesser light to rule the night" is the visible crescent of Saturn's rotating shadow-face. They are the </w:t>
      </w:r>
      <w:r>
        <w:rPr>
          <w:b/>
          <w:i w:val="0"/>
        </w:rPr>
        <w:t>same body</w:t>
      </w:r>
      <w:r>
        <w:rPr>
          <w:b w:val="0"/>
          <w:i w:val="0"/>
        </w:rPr>
        <w:t xml:space="preserve"> viewed at different phases of its daily rotation — exactly as Jno Cook describes.</w:t>
      </w:r>
    </w:p>
    <w:p>
      <w:pPr>
        <w:pStyle w:val="Heading3"/>
      </w:pPr>
      <w:r>
        <w:t>Day 5 — "Life in the Waters and the Air" — Golden Age Peak Abundance</w:t>
      </w:r>
    </w:p>
    <w:p>
      <w:pPr>
        <w:pStyle w:val="Quote"/>
      </w:pPr>
      <w:r>
        <w:rPr>
          <w:b w:val="0"/>
          <w:i/>
          <w:sz w:val="19"/>
        </w:rPr>
        <w:t>"And God said, Let the waters bring forth abundantly the moving creature that hath life, and fowl that may fly above the earth…"</w:t>
      </w:r>
      <w:r>
        <w:rPr>
          <w:b w:val="0"/>
          <w:i w:val="0"/>
          <w:sz w:val="19"/>
        </w:rPr>
        <w:t xml:space="preserve"> — Genesis 1:20</w:t>
      </w:r>
    </w:p>
    <w:p>
      <w:r>
        <w:rPr>
          <w:b w:val="0"/>
          <w:i w:val="0"/>
        </w:rPr>
        <w:t xml:space="preserve">The stable configuration sustained centuries of what every tradition independently calls the </w:t>
      </w:r>
      <w:r>
        <w:rPr>
          <w:b/>
          <w:i w:val="0"/>
        </w:rPr>
        <w:t>Golden Age</w:t>
      </w:r>
      <w:r>
        <w:rPr>
          <w:b w:val="0"/>
          <w:i w:val="0"/>
        </w:rPr>
        <w:t xml:space="preserve"> — a time of abundance, harmony, and extraordinary growth. The electromagnetic environment of the Saturnian collinear system provided energy that no single-Sun solar system can replicate. Jno Cook's reconstruction places this at approximately </w:t>
      </w:r>
      <w:r>
        <w:rPr>
          <w:b/>
          <w:i w:val="0"/>
        </w:rPr>
        <w:t>4077–3500 BC</w:t>
      </w:r>
      <w:r>
        <w:rPr>
          <w:b w:val="0"/>
          <w:i w:val="0"/>
        </w:rPr>
        <w:t>, when all ancient king-lists record implausibly long reigns in perfect peace.</w:t>
      </w:r>
    </w:p>
    <w:p>
      <w:r>
        <w:rPr>
          <w:b w:val="0"/>
          <w:i w:val="0"/>
        </w:rPr>
        <w:t xml:space="preserve">Cross-reference: </w:t>
      </w:r>
      <w:hyperlink r:id="rId227">
        <w:r>
          <w:rPr>
            <w:b w:val="0"/>
            <w:i w:val="0"/>
            <w:color w:val="B8860B"/>
          </w:rPr>
          <w:t>The Golden Age</w:t>
        </w:r>
      </w:hyperlink>
    </w:p>
    <w:p>
      <w:pPr>
        <w:pStyle w:val="Heading3"/>
      </w:pPr>
      <w:r>
        <w:t>Day 6 — "Man in Our Image" — Reordering Humanity at Saturnian Apex</w:t>
      </w:r>
    </w:p>
    <w:p>
      <w:pPr>
        <w:pStyle w:val="Quote"/>
      </w:pPr>
      <w:r>
        <w:rPr>
          <w:b w:val="0"/>
          <w:i/>
          <w:sz w:val="19"/>
        </w:rPr>
        <w:t>"And God said, Let us make man in our image, after our likeness: and let them have dominion over the fish of the sea, and over the fowl of the air, and over the cattle…"</w:t>
      </w:r>
      <w:r>
        <w:rPr>
          <w:b w:val="0"/>
          <w:i w:val="0"/>
          <w:sz w:val="19"/>
        </w:rPr>
        <w:t xml:space="preserve"> — Genesis 1:26</w:t>
      </w:r>
    </w:p>
    <w:p>
      <w:r>
        <w:rPr>
          <w:b w:val="0"/>
          <w:i w:val="0"/>
        </w:rPr>
        <w:t xml:space="preserve">In this timeline's interpretation, this line is </w:t>
      </w:r>
      <w:r>
        <w:rPr>
          <w:b/>
          <w:i w:val="0"/>
        </w:rPr>
        <w:t>not</w:t>
      </w:r>
      <w:r>
        <w:rPr>
          <w:b w:val="0"/>
          <w:i w:val="0"/>
        </w:rPr>
        <w:t xml:space="preserve"> the first appearance of humans on Earth. Humans are already present before the Golden Age and witness the 4077 BCE ignition event.</w:t>
      </w:r>
    </w:p>
    <w:p>
      <w:r>
        <w:rPr>
          <w:b w:val="0"/>
          <w:i w:val="0"/>
        </w:rPr>
        <w:t xml:space="preserve">"Let </w:t>
      </w:r>
      <w:r>
        <w:rPr>
          <w:b/>
          <w:i w:val="0"/>
        </w:rPr>
        <w:t>us</w:t>
      </w:r>
      <w:r>
        <w:rPr>
          <w:b w:val="0"/>
          <w:i w:val="0"/>
        </w:rPr>
        <w:t xml:space="preserve">" — a plurality of voices — is read as an institutional and cosmological </w:t>
      </w:r>
      <w:r>
        <w:rPr>
          <w:b/>
          <w:i w:val="0"/>
        </w:rPr>
        <w:t>reordering</w:t>
      </w:r>
      <w:r>
        <w:rPr>
          <w:b w:val="0"/>
          <w:i w:val="0"/>
        </w:rPr>
        <w:t xml:space="preserve">: humanity is placed into a new relationship with the visible Saturnian axis. In Saturnian Cosmology, the configuration of Saturn, Mars, and Venus above Earth's north pole was visible as a </w:t>
      </w:r>
      <w:r>
        <w:rPr>
          <w:b/>
          <w:i w:val="0"/>
        </w:rPr>
        <w:t>face</w:t>
      </w:r>
      <w:r>
        <w:rPr>
          <w:b w:val="0"/>
          <w:i w:val="0"/>
        </w:rPr>
        <w:t xml:space="preserve">: Saturn's ring as the halo, Mars as one eye, Venus as the other, the plasma column as the nose or beard. The </w:t>
      </w:r>
      <w:r>
        <w:rPr>
          <w:b w:val="0"/>
          <w:i/>
        </w:rPr>
        <w:t>imago dei</w:t>
      </w:r>
      <w:r>
        <w:rPr>
          <w:b w:val="0"/>
          <w:i w:val="0"/>
        </w:rPr>
        <w:t xml:space="preserve"> — the image of God — was literally the polar alignment visible from the northern hemisphere.</w:t>
      </w:r>
    </w:p>
    <w:p>
      <w:r>
        <w:rPr>
          <w:b w:val="0"/>
          <w:i w:val="0"/>
        </w:rPr>
        <w:t xml:space="preserve">The </w:t>
      </w:r>
      <w:hyperlink r:id="rId225">
        <w:r>
          <w:rPr>
            <w:b/>
            <w:i w:val="0"/>
            <w:color w:val="B8860B"/>
          </w:rPr>
          <w:t>Northern Hemisphere Configuration</w:t>
        </w:r>
      </w:hyperlink>
      <w:r>
        <w:rPr>
          <w:b w:val="0"/>
          <w:i w:val="0"/>
        </w:rPr>
        <w:t xml:space="preserve"> shows exactly this face — the origin of every sacred mask, mandala, and threefold deity image in human culture.</w:t>
      </w:r>
    </w:p>
    <w:p>
      <w:r>
        <w:rPr>
          <w:b w:val="0"/>
          <w:i w:val="0"/>
        </w:rPr>
        <w:t xml:space="preserve">Atlantis, described as the seat of civilisation at Earth's north pole, corresponds to this apex. The priest-class who kept time by Kronos, built pyramids along the plasma column, and held authority over all knowledge — these are the humans of Day 6. See </w:t>
      </w:r>
      <w:hyperlink r:id="rId37">
        <w:r>
          <w:rPr>
            <w:b w:val="0"/>
            <w:i w:val="0"/>
            <w:color w:val="B8860B"/>
          </w:rPr>
          <w:t>Atlantis and the Tree of Knowledge</w:t>
        </w:r>
      </w:hyperlink>
      <w:r>
        <w:rPr>
          <w:b w:val="0"/>
          <w:i w:val="0"/>
        </w:rPr>
        <w:t>.</w:t>
      </w:r>
    </w:p>
    <w:p>
      <w:pPr>
        <w:pStyle w:val="Heading3"/>
      </w:pPr>
      <w:r>
        <w:t>Day 7 — "God Rested" — Golden Age Collapse and Deluge Cascade (3147 BC)</w:t>
      </w:r>
    </w:p>
    <w:p>
      <w:pPr>
        <w:pStyle w:val="Quote"/>
      </w:pPr>
      <w:r>
        <w:rPr>
          <w:b w:val="0"/>
          <w:i/>
          <w:sz w:val="19"/>
        </w:rPr>
        <w:t>"And on the seventh day God ended his work which he had made; and he rested on the seventh day from all his work which he had made."</w:t>
      </w:r>
      <w:r>
        <w:rPr>
          <w:b w:val="0"/>
          <w:i w:val="0"/>
          <w:sz w:val="19"/>
        </w:rPr>
        <w:t xml:space="preserve"> — Genesis 2:2</w:t>
      </w:r>
    </w:p>
    <w:p>
      <w:r>
        <w:rPr>
          <w:b w:val="0"/>
          <w:i w:val="0"/>
        </w:rPr>
        <w:t xml:space="preserve">"Rested" is the monotheist editor's softening of a catastrophe. In </w:t>
      </w:r>
      <w:r>
        <w:rPr>
          <w:b/>
          <w:i w:val="0"/>
        </w:rPr>
        <w:t>3147 BC</w:t>
      </w:r>
      <w:r>
        <w:rPr>
          <w:b w:val="0"/>
          <w:i w:val="0"/>
        </w:rPr>
        <w:t xml:space="preserve">, the Saturnian collinear configuration collapsed. Saturn — Kronos — was </w:t>
      </w:r>
      <w:r>
        <w:rPr>
          <w:b/>
          <w:i w:val="0"/>
        </w:rPr>
        <w:t>displaced</w:t>
      </w:r>
      <w:r>
        <w:rPr>
          <w:b w:val="0"/>
          <w:i w:val="0"/>
        </w:rPr>
        <w:t xml:space="preserve"> as the central body. The planets entered non-linear orbits. The Tree of Life fell. The Axis Mundi broke. Every tradition on Earth recorded this as expulsion from paradise, the end of the reign of the gods, the Fall.</w:t>
      </w:r>
    </w:p>
    <w:p>
      <w:r>
        <w:rPr>
          <w:b w:val="0"/>
          <w:i w:val="0"/>
        </w:rPr>
        <w:t xml:space="preserve">In this reading, the end of creation is not a quiet stop but the start of a </w:t>
      </w:r>
      <w:r>
        <w:rPr>
          <w:b/>
          <w:i w:val="0"/>
        </w:rPr>
        <w:t>series of deluges</w:t>
      </w:r>
      <w:r>
        <w:rPr>
          <w:b w:val="0"/>
          <w:i w:val="0"/>
        </w:rPr>
        <w:t xml:space="preserve"> spanning the Dark Ages. Later redaction compresses and moralizes this chain into a single "Noah" punishment narrative.</w:t>
      </w:r>
    </w:p>
    <w:p>
      <w:r>
        <w:rPr>
          <w:b w:val="0"/>
          <w:i w:val="0"/>
        </w:rPr>
        <w:t xml:space="preserve">The Hebrew word translated "rested" is </w:t>
      </w:r>
      <w:r>
        <w:rPr>
          <w:b w:val="0"/>
          <w:i/>
        </w:rPr>
        <w:t>shabbat</w:t>
      </w:r>
      <w:r>
        <w:rPr>
          <w:b w:val="0"/>
          <w:i w:val="0"/>
        </w:rPr>
        <w:t xml:space="preserve"> — which carries the root sense of </w:t>
      </w:r>
      <w:r>
        <w:rPr>
          <w:b/>
          <w:i w:val="0"/>
        </w:rPr>
        <w:t>ceasing, stopping, coming to an end</w:t>
      </w:r>
      <w:r>
        <w:rPr>
          <w:b w:val="0"/>
          <w:i w:val="0"/>
        </w:rPr>
        <w:t xml:space="preserve">. God did not gently put down his tools. The configuration </w:t>
      </w:r>
      <w:r>
        <w:rPr>
          <w:b/>
          <w:i w:val="0"/>
        </w:rPr>
        <w:t>ceased</w:t>
      </w:r>
      <w:r>
        <w:rPr>
          <w:b w:val="0"/>
          <w:i w:val="0"/>
        </w:rPr>
        <w:t>. Creation stopped because the creator-body was no longer in the sky.</w:t>
      </w:r>
    </w:p>
    <w:p>
      <w:r>
        <w:rPr>
          <w:b w:val="0"/>
          <w:i w:val="0"/>
        </w:rPr>
        <w:t xml:space="preserve">Cross-reference: </w:t>
      </w:r>
      <w:hyperlink r:id="rId228">
        <w:r>
          <w:rPr>
            <w:b w:val="0"/>
            <w:i w:val="0"/>
            <w:color w:val="B8860B"/>
          </w:rPr>
          <w:t>The Golden Age Ends Violently</w:t>
        </w:r>
      </w:hyperlink>
      <w:r>
        <w:rPr>
          <w:b w:val="0"/>
          <w:i w:val="0"/>
        </w:rPr>
        <w:t xml:space="preserve"> | </w:t>
      </w:r>
      <w:hyperlink r:id="rId229">
        <w:r>
          <w:rPr>
            <w:b w:val="0"/>
            <w:i w:val="0"/>
            <w:color w:val="B8860B"/>
          </w:rPr>
          <w:t>The Dark Ages</w:t>
        </w:r>
      </w:hyperlink>
    </w:p>
    <w:p>
      <w:r>
        <w:rPr>
          <w:b w:val="0"/>
          <w:i w:val="0"/>
        </w:rPr>
        <w:t xml:space="preserve">This is why </w:t>
      </w:r>
      <w:r>
        <w:rPr>
          <w:b/>
          <w:i w:val="0"/>
        </w:rPr>
        <w:t>Saturday</w:t>
      </w:r>
      <w:r>
        <w:rPr>
          <w:b w:val="0"/>
          <w:i w:val="0"/>
        </w:rPr>
        <w:t xml:space="preserve"> — Saturn's Day — is the Sabbath. The seventh day is Saturn's day in every calendrical tradition that inherited the seven-day week. The week was named for the seven visible planetary bodies (Saturn, Jupiter, Mars, Sun, Venus, Mercury, Moon), and the Sabbath fell on Saturn's day </w:t>
      </w:r>
      <w:r>
        <w:rPr>
          <w:b/>
          <w:i w:val="0"/>
        </w:rPr>
        <w:t>because Saturn's displacement was the defining end-point of the creation sequence</w:t>
      </w:r>
      <w:r>
        <w:rPr>
          <w:b w:val="0"/>
          <w:i w:val="0"/>
        </w:rPr>
        <w:t>.</w:t>
      </w:r>
    </w:p>
    <w:p>
      <w:pPr>
        <w:pBdr>
          <w:bottom w:val="single" w:sz="6" w:space="1" w:color="CCCCCC"/>
        </w:pBdr>
      </w:pPr>
    </w:p>
    <w:p>
      <w:pPr>
        <w:pStyle w:val="Heading2"/>
      </w:pPr>
      <w:r>
        <w:t>Why First-Man Accounts Differ: Hemispheric Memory and Scalar Creation</w:t>
      </w:r>
    </w:p>
    <w:p>
      <w:r>
        <w:rPr>
          <w:b w:val="0"/>
          <w:i w:val="0"/>
        </w:rPr>
        <w:t xml:space="preserve">A persistent puzzle: if every culture remembers a common creation event, why do their accounts of </w:t>
      </w:r>
      <w:r>
        <w:rPr>
          <w:b/>
          <w:i w:val="0"/>
        </w:rPr>
        <w:t>who the first man was</w:t>
      </w:r>
      <w:r>
        <w:rPr>
          <w:b w:val="0"/>
          <w:i w:val="0"/>
        </w:rPr>
        <w:t xml:space="preserve"> diverge so sharply? Genesis names Adam; the Puranas give Manu and Satarupa; the Popol Vuh describes humans witnessing the sun; Buddhism offers radiant beings who descend and coarsen; Jainism and Taoism name no first man at all.</w:t>
      </w:r>
    </w:p>
    <w:p>
      <w:r>
        <w:rPr>
          <w:b w:val="0"/>
          <w:i w:val="0"/>
        </w:rPr>
        <w:t xml:space="preserve">The answer is </w:t>
      </w:r>
      <w:r>
        <w:rPr>
          <w:b/>
          <w:i w:val="0"/>
        </w:rPr>
        <w:t>geography</w:t>
      </w:r>
      <w:r>
        <w:rPr>
          <w:b w:val="0"/>
          <w:i w:val="0"/>
        </w:rPr>
        <w:t xml:space="preserve"> — specifically, which hemisphere the remembering population inhabited during the creation epoch.</w:t>
      </w:r>
    </w:p>
    <w:p>
      <w:r>
        <w:rPr>
          <w:b w:val="0"/>
          <w:i w:val="0"/>
        </w:rPr>
      </w:r>
      <w:r>
        <w:rPr>
          <w:b/>
          <w:i w:val="0"/>
        </w:rPr>
        <w:t>Life was spawned in the southern hemisphere.</w:t>
      </w:r>
      <w:r>
        <w:rPr>
          <w:b w:val="0"/>
          <w:i w:val="0"/>
        </w:rPr>
        <w:t xml:space="preserve"> The three southern plasmoids (Mercury, Neptune, Uranus — Peratt's Column) generated intense scalar energy fields that caused quantum fluctuations in inert matter, bringing the first life forms into existence. Populations native to this zone — Mesoamerican, southern African, Polynesian — </w:t>
      </w:r>
      <w:r>
        <w:rPr>
          <w:b/>
          <w:i w:val="0"/>
        </w:rPr>
        <w:t>saw the spawning event directly</w:t>
      </w:r>
      <w:r>
        <w:rPr>
          <w:b w:val="0"/>
          <w:i w:val="0"/>
        </w:rPr>
        <w:t>. Their religions preserve the most concrete and specific first-man accounts because they witnessed the plasmoid configurations taking humanoid shapes and generating humans from the ground.</w:t>
      </w:r>
    </w:p>
    <w:p>
      <w:r>
        <w:rPr>
          <w:b w:val="0"/>
          <w:i w:val="0"/>
        </w:rPr>
        <w:t xml:space="preserve">The </w:t>
      </w:r>
      <w:r>
        <w:rPr>
          <w:b/>
          <w:i w:val="0"/>
        </w:rPr>
        <w:t>Popol Vuh</w:t>
      </w:r>
      <w:r>
        <w:rPr>
          <w:b w:val="0"/>
          <w:i w:val="0"/>
        </w:rPr>
        <w:t xml:space="preserve"> is the clearest case: it explicitly states humans were present for and witnessed the creation-light event. The Norse </w:t>
      </w:r>
      <w:r>
        <w:rPr>
          <w:b/>
          <w:i w:val="0"/>
        </w:rPr>
        <w:t>Younger Edda</w:t>
      </w:r>
      <w:r>
        <w:rPr>
          <w:b w:val="0"/>
          <w:i w:val="0"/>
        </w:rPr>
        <w:t xml:space="preserve"> preserves the same geography: Muspelheim, the southern realm, was "so bright and dazzling that no stranger, who is not a native there, can stand it." Darker-skinned humans adapted to the high-energy environment of the south; lighter-skinned populations migrated northward, away from the spawning zone.</w:t>
      </w:r>
    </w:p>
    <w:p>
      <w:r>
        <w:rPr>
          <w:b w:val="0"/>
          <w:i w:val="0"/>
        </w:rPr>
      </w:r>
      <w:r>
        <w:rPr>
          <w:b/>
          <w:i w:val="0"/>
        </w:rPr>
        <w:t>No life was spawning in the north — only migrating.</w:t>
      </w:r>
      <w:r>
        <w:rPr>
          <w:b w:val="0"/>
          <w:i w:val="0"/>
        </w:rPr>
        <w:t xml:space="preserve"> Northern populations could not see the southern plasmoids, could not endure the electromagnetic intensity, and received migrating humans rather than witnessing their creation. Their religions are therefore </w:t>
      </w:r>
      <w:r>
        <w:rPr>
          <w:b/>
          <w:i w:val="0"/>
        </w:rPr>
        <w:t>more detailed on the sky</w:t>
      </w:r>
      <w:r>
        <w:rPr>
          <w:b w:val="0"/>
          <w:i w:val="0"/>
        </w:rPr>
        <w:t xml:space="preserve"> (the Wheel of Heaven was directly overhead) but </w:t>
      </w:r>
      <w:r>
        <w:rPr>
          <w:b/>
          <w:i w:val="0"/>
        </w:rPr>
        <w:t>vaguer on human origin</w:t>
      </w:r>
      <w:r>
        <w:rPr>
          <w:b w:val="0"/>
          <w:i w:val="0"/>
        </w:rPr>
        <w:t>. This is why Genesis places humans on Day 6 after the sky events — northern editors remembered the sky sequence but not the spawning mechanism. This is why Upanishadic and Taoist traditions describe emanation rather than a first man — the philosophical residue of a direct-observation memory that had faded by the time the texts were composed.</w:t>
      </w:r>
    </w:p>
    <w:p>
      <w:r>
        <w:rPr>
          <w:b w:val="0"/>
          <w:i w:val="0"/>
        </w:rPr>
        <w:t xml:space="preserve">The "Adam's rib" account preserves a specific southern-hemisphere observation: a </w:t>
      </w:r>
      <w:r>
        <w:rPr>
          <w:b/>
          <w:i w:val="0"/>
        </w:rPr>
        <w:t>large humanoid plasmoid figure forming a smaller secondary figure from its own body</w:t>
      </w:r>
      <w:r>
        <w:rPr>
          <w:b w:val="0"/>
          <w:i w:val="0"/>
        </w:rPr>
        <w:t>. Under scalar energy theory, the electromagnetic field generated a first human pattern, and from that pattern a secondary, reproductively capable human was formed. "Rib" is the nearest anatomical metaphor for what was actually witnessed — a portion extracted from the torso of the larger figure. The same motif appears in Egypt (Atum producing Shu and Tefnut from his own body), in Puranic Hinduism (Brahma dividing into Manu and Satarupa), and in the Edda (Ymir's body generating life).</w:t>
      </w:r>
    </w:p>
    <w:p>
      <w:r>
        <w:rPr>
          <w:b w:val="0"/>
          <w:i w:val="0"/>
        </w:rPr>
        <w:t xml:space="preserve">There is an irony the Church embedded in its own typology of this passage. Christian theology reads Eve's formation from Adam's side as </w:t>
      </w:r>
      <w:r>
        <w:rPr>
          <w:b/>
          <w:i w:val="0"/>
        </w:rPr>
        <w:t>foreshadowing the Church itself</w:t>
      </w:r>
      <w:r>
        <w:rPr>
          <w:b w:val="0"/>
          <w:i w:val="0"/>
        </w:rPr>
        <w:t xml:space="preserve">: just as Eve was drawn from the sleeping Adam's side, the Church was supposedly born from Christ's pierced side while He "slept" the sleep of death on the cross. The parallel is elegant — and self-incriminating. In writing itself into the oldest origin story of the religion it sought to control, the Church inadvertently encoded a confession: </w:t>
      </w:r>
      <w:r>
        <w:rPr>
          <w:b/>
          <w:i w:val="0"/>
        </w:rPr>
        <w:t>its own existence required the death of the religion's saviour.</w:t>
      </w:r>
      <w:r>
        <w:rPr>
          <w:b w:val="0"/>
          <w:i w:val="0"/>
        </w:rPr>
        <w:t xml:space="preserve"> The Church could not justify itself </w:t>
      </w:r>
      <w:r>
        <w:rPr>
          <w:b w:val="0"/>
          <w:i/>
        </w:rPr>
        <w:t>within</w:t>
      </w:r>
      <w:r>
        <w:rPr>
          <w:b w:val="0"/>
          <w:i w:val="0"/>
        </w:rPr>
        <w:t xml:space="preserve"> the living tradition; it could only graft itself onto the corpse. The typology meant to elevate the institution instead reveals the cost — that the price of the Church's birth was the destruction of the very relationship between it's God and humanity it claimed to mediate.</w:t>
      </w:r>
    </w:p>
    <w:p>
      <w:r>
        <w:rPr>
          <w:b w:val="0"/>
          <w:i w:val="0"/>
        </w:rPr>
        <w:t xml:space="preserve">The universal agreement across all traditions — that humans came from a </w:t>
      </w:r>
      <w:r>
        <w:rPr>
          <w:b/>
          <w:i w:val="0"/>
        </w:rPr>
        <w:t>singular source</w:t>
      </w:r>
      <w:r>
        <w:rPr>
          <w:b w:val="0"/>
          <w:i w:val="0"/>
        </w:rPr>
        <w:t xml:space="preserve"> — is the one detail that survived at every latitude, because even populations that never witnessed the spawning event received the migrating humans who carried the memory with them.</w:t>
      </w:r>
    </w:p>
    <w:p>
      <w:r>
        <w:rPr>
          <w:b w:val="0"/>
          <w:i w:val="0"/>
        </w:rPr>
        <w:t xml:space="preserve">See also: </w:t>
      </w:r>
      <w:hyperlink r:id="rId226">
        <w:r>
          <w:rPr>
            <w:b w:val="0"/>
            <w:i w:val="0"/>
            <w:color w:val="B8860B"/>
          </w:rPr>
          <w:t>Southern Hemisphere Configuration</w:t>
        </w:r>
      </w:hyperlink>
      <w:r>
        <w:rPr>
          <w:b w:val="0"/>
          <w:i w:val="0"/>
        </w:rPr>
        <w:t xml:space="preserve"> | </w:t>
      </w:r>
      <w:hyperlink r:id="rId220">
        <w:r>
          <w:rPr>
            <w:b w:val="0"/>
            <w:i w:val="0"/>
            <w:color w:val="B8860B"/>
          </w:rPr>
          <w:t>Before Creation</w:t>
        </w:r>
      </w:hyperlink>
    </w:p>
    <w:p>
      <w:pPr>
        <w:pBdr>
          <w:bottom w:val="single" w:sz="6" w:space="1" w:color="CCCCCC"/>
        </w:pBdr>
      </w:pPr>
    </w:p>
    <w:p>
      <w:pPr>
        <w:pStyle w:val="Heading2"/>
      </w:pPr>
      <w:r>
        <w:t>From Creation-End Deluges to the Noah Conflation</w:t>
      </w:r>
    </w:p>
    <w:p>
      <w:r>
        <w:rPr>
          <w:b w:val="0"/>
          <w:i w:val="0"/>
        </w:rPr>
        <w:t>The Dark Ages in this timeline are deluge-rich, not deluge-singular. The 3147 BCE break initiates repeated catastrophic water events tied to planetary transitions.</w:t>
      </w:r>
    </w:p>
    <w:p>
      <w:r>
        <w:rPr>
          <w:b w:val="0"/>
          <w:i w:val="0"/>
        </w:rPr>
        <w:t xml:space="preserve">See </w:t>
      </w:r>
      <w:hyperlink r:id="rId228">
        <w:r>
          <w:rPr>
            <w:b w:val="0"/>
            <w:i w:val="0"/>
            <w:color w:val="B8860B"/>
          </w:rPr>
          <w:t>The Golden Age Ends Violently</w:t>
        </w:r>
      </w:hyperlink>
      <w:r>
        <w:rPr>
          <w:b w:val="0"/>
          <w:i w:val="0"/>
        </w:rPr>
        <w:t xml:space="preserve"> and </w:t>
      </w:r>
      <w:hyperlink r:id="rId229">
        <w:r>
          <w:rPr>
            <w:b w:val="0"/>
            <w:i w:val="0"/>
            <w:color w:val="B8860B"/>
          </w:rPr>
          <w:t>The Dark Ages</w:t>
        </w:r>
      </w:hyperlink>
      <w:r>
        <w:rPr>
          <w:b w:val="0"/>
          <w:i w:val="0"/>
        </w:rPr>
        <w:t>.</w:t>
      </w:r>
    </w:p>
    <w:p>
      <w:r>
        <w:rPr>
          <w:b w:val="0"/>
          <w:i w:val="0"/>
        </w:rPr>
        <w:t>This supports a redaction model in which:</w:t>
      </w:r>
    </w:p>
    <w:p>
      <w:pPr>
        <w:pStyle w:val="ListBullet"/>
        <w:spacing w:before="20" w:after="20"/>
      </w:pPr>
      <w:r>
        <w:rPr>
          <w:b w:val="0"/>
          <w:i w:val="0"/>
          <w:sz w:val="19"/>
        </w:rPr>
        <w:t>multiple deluges are collapsed into one canonical Flood;</w:t>
      </w:r>
    </w:p>
    <w:p>
      <w:pPr>
        <w:pStyle w:val="ListBullet"/>
        <w:spacing w:before="20" w:after="20"/>
      </w:pPr>
      <w:r>
        <w:rPr>
          <w:b w:val="0"/>
          <w:i w:val="0"/>
          <w:sz w:val="19"/>
        </w:rPr>
        <w:t>cosmological memory is reframed as moral punishment;</w:t>
      </w:r>
    </w:p>
    <w:p>
      <w:pPr>
        <w:pStyle w:val="ListBullet"/>
        <w:spacing w:before="20" w:after="20"/>
      </w:pPr>
      <w:r>
        <w:rPr>
          <w:b w:val="0"/>
          <w:i w:val="0"/>
          <w:sz w:val="19"/>
        </w:rPr>
        <w:t>chronology is flattened into a single didactic story centered on Noah.</w:t>
      </w:r>
    </w:p>
    <w:p>
      <w:r>
        <w:rPr>
          <w:b w:val="0"/>
          <w:i w:val="0"/>
        </w:rPr>
        <w:t xml:space="preserve">Under this model, the rainbow tradition also shifts meaning. The first enduring land-rainbows would have become widely visible only after late Dark-Age atmospheric stabilization. Thus the remembered covenant may have meant more than "no more floods": it may have marked </w:t>
      </w:r>
      <w:r>
        <w:rPr>
          <w:b/>
          <w:i w:val="0"/>
        </w:rPr>
        <w:t>no more creation-level sky reorders</w:t>
      </w:r>
      <w:r>
        <w:rPr>
          <w:b w:val="0"/>
          <w:i w:val="0"/>
        </w:rPr>
        <w:t>.</w:t>
      </w:r>
    </w:p>
    <w:p>
      <w:pPr>
        <w:pBdr>
          <w:bottom w:val="single" w:sz="6" w:space="1" w:color="CCCCCC"/>
        </w:pBdr>
      </w:pPr>
    </w:p>
    <w:p>
      <w:pPr>
        <w:pStyle w:val="Heading2"/>
      </w:pPr>
      <w:r>
        <w:t>The Seven-Day Week as Compressed Creation Sequence</w:t>
      </w:r>
    </w:p>
    <w:p>
      <w:r>
        <w:rPr>
          <w:b w:val="0"/>
          <w:i w:val="0"/>
        </w:rPr>
        <w:t>The seven-day week is universal. It cannot be explained astronomically — no planetary cycle produces a seven-day period. Yet it appears independently in Babylonian, Hebrew, Hindu, Chinese, and Mesoamerican traditions. The standard explanation ("it derives from the four quarter-phases of the Moon") fails: a lunar month has 29–30 days; dividing it into four yields 7.25–7.5 days, not a clean 7.</w:t>
      </w:r>
    </w:p>
    <w:p>
      <w:r>
        <w:rPr>
          <w:b w:val="0"/>
          <w:i w:val="0"/>
        </w:rPr>
        <w:t xml:space="preserve">The correct explanation: </w:t>
      </w:r>
      <w:r>
        <w:rPr>
          <w:b/>
          <w:i w:val="0"/>
        </w:rPr>
        <w:t>the week is the creation sequence encoded in day-names</w:t>
      </w:r>
      <w:r>
        <w:rPr>
          <w:b w:val="0"/>
          <w:i w:val="0"/>
        </w:rPr>
        <w:t>.</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51"/>
        <w:gridCol w:w="972"/>
        <w:gridCol w:w="949"/>
        <w:gridCol w:w="3600"/>
      </w:tblGrid>
      <w:tr>
        <w:tc>
          <w:tcPr>
            <w:tcW w:type="dxa" w:w="851"/>
            <w:shd w:val="clear" w:color="auto" w:fill="F0F0F0"/>
          </w:tcPr>
          <w:p>
            <w:pPr>
              <w:spacing w:before="20" w:after="20"/>
              <w:jc w:val="center"/>
            </w:pPr>
            <w:r>
              <w:rPr>
                <w:rFonts w:ascii="Libre Franklin" w:hAnsi="Libre Franklin"/>
                <w:b/>
                <w:sz w:val="18"/>
              </w:rPr>
              <w:t>Day of the Week</w:t>
            </w:r>
          </w:p>
        </w:tc>
        <w:tc>
          <w:tcPr>
            <w:tcW w:type="dxa" w:w="972"/>
            <w:shd w:val="clear" w:color="auto" w:fill="F0F0F0"/>
          </w:tcPr>
          <w:p>
            <w:pPr>
              <w:spacing w:before="20" w:after="20"/>
              <w:jc w:val="center"/>
            </w:pPr>
            <w:r>
              <w:rPr>
                <w:rFonts w:ascii="Libre Franklin" w:hAnsi="Libre Franklin"/>
                <w:b/>
                <w:sz w:val="18"/>
              </w:rPr>
              <w:t>Planet</w:t>
            </w:r>
          </w:p>
        </w:tc>
        <w:tc>
          <w:tcPr>
            <w:tcW w:type="dxa" w:w="949"/>
            <w:shd w:val="clear" w:color="auto" w:fill="F0F0F0"/>
          </w:tcPr>
          <w:p>
            <w:pPr>
              <w:spacing w:before="20" w:after="20"/>
              <w:jc w:val="center"/>
            </w:pPr>
            <w:r>
              <w:rPr>
                <w:rFonts w:ascii="Libre Franklin" w:hAnsi="Libre Franklin"/>
                <w:b/>
                <w:sz w:val="18"/>
              </w:rPr>
              <w:t>Creation "Day"</w:t>
            </w:r>
          </w:p>
        </w:tc>
        <w:tc>
          <w:tcPr>
            <w:tcW w:type="dxa" w:w="3600"/>
            <w:shd w:val="clear" w:color="auto" w:fill="F0F0F0"/>
          </w:tcPr>
          <w:p>
            <w:pPr>
              <w:spacing w:before="20" w:after="20"/>
              <w:jc w:val="center"/>
            </w:pPr>
            <w:r>
              <w:rPr>
                <w:rFonts w:ascii="Libre Franklin" w:hAnsi="Libre Franklin"/>
                <w:b/>
                <w:sz w:val="18"/>
              </w:rPr>
              <w:t>Saturnian Event</w:t>
            </w:r>
          </w:p>
        </w:tc>
      </w:tr>
      <w:tr>
        <w:tc>
          <w:tcPr>
            <w:tcW w:type="dxa" w:w="851"/>
          </w:tcPr>
          <w:p>
            <w:pPr>
              <w:spacing w:before="20" w:after="20"/>
            </w:pPr>
            <w:r>
              <w:rPr>
                <w:b w:val="0"/>
                <w:i w:val="0"/>
                <w:sz w:val="18"/>
              </w:rPr>
              <w:t>Sunday</w:t>
            </w:r>
          </w:p>
        </w:tc>
        <w:tc>
          <w:tcPr>
            <w:tcW w:type="dxa" w:w="972"/>
          </w:tcPr>
          <w:p>
            <w:pPr>
              <w:spacing w:before="20" w:after="20"/>
            </w:pPr>
            <w:r>
              <w:rPr>
                <w:b w:val="0"/>
                <w:i w:val="0"/>
                <w:sz w:val="18"/>
              </w:rPr>
              <w:t>Sun</w:t>
            </w:r>
          </w:p>
        </w:tc>
        <w:tc>
          <w:tcPr>
            <w:tcW w:type="dxa" w:w="949"/>
          </w:tcPr>
          <w:p>
            <w:pPr>
              <w:spacing w:before="20" w:after="20"/>
            </w:pPr>
            <w:r>
              <w:rPr>
                <w:b w:val="0"/>
                <w:i w:val="0"/>
                <w:sz w:val="18"/>
              </w:rPr>
              <w:t>—</w:t>
            </w:r>
          </w:p>
        </w:tc>
        <w:tc>
          <w:tcPr>
            <w:tcW w:type="dxa" w:w="3600"/>
          </w:tcPr>
          <w:p>
            <w:pPr>
              <w:spacing w:before="20" w:after="20"/>
            </w:pPr>
            <w:r>
              <w:rPr>
                <w:b w:val="0"/>
                <w:i w:val="0"/>
                <w:sz w:val="18"/>
              </w:rPr>
              <w:t xml:space="preserve">Our Sun appears </w:t>
            </w:r>
            <w:r>
              <w:rPr>
                <w:b w:val="0"/>
                <w:i/>
                <w:sz w:val="18"/>
              </w:rPr>
              <w:t>after</w:t>
            </w:r>
            <w:r>
              <w:rPr>
                <w:b w:val="0"/>
                <w:i w:val="0"/>
                <w:sz w:val="18"/>
              </w:rPr>
              <w:t xml:space="preserve"> all creation is complete</w:t>
            </w:r>
          </w:p>
        </w:tc>
      </w:tr>
      <w:tr>
        <w:tc>
          <w:tcPr>
            <w:tcW w:type="dxa" w:w="851"/>
          </w:tcPr>
          <w:p>
            <w:pPr>
              <w:spacing w:before="20" w:after="20"/>
            </w:pPr>
            <w:r>
              <w:rPr>
                <w:b w:val="0"/>
                <w:i w:val="0"/>
                <w:sz w:val="18"/>
              </w:rPr>
              <w:t>Monday</w:t>
            </w:r>
          </w:p>
        </w:tc>
        <w:tc>
          <w:tcPr>
            <w:tcW w:type="dxa" w:w="972"/>
          </w:tcPr>
          <w:p>
            <w:pPr>
              <w:spacing w:before="20" w:after="20"/>
            </w:pPr>
            <w:r>
              <w:rPr>
                <w:b w:val="0"/>
                <w:i w:val="0"/>
                <w:sz w:val="18"/>
              </w:rPr>
              <w:t>Moon</w:t>
            </w:r>
          </w:p>
        </w:tc>
        <w:tc>
          <w:tcPr>
            <w:tcW w:type="dxa" w:w="949"/>
          </w:tcPr>
          <w:p>
            <w:pPr>
              <w:spacing w:before="20" w:after="20"/>
            </w:pPr>
            <w:r>
              <w:rPr>
                <w:b w:val="0"/>
                <w:i w:val="0"/>
                <w:sz w:val="18"/>
              </w:rPr>
              <w:t>—</w:t>
            </w:r>
          </w:p>
        </w:tc>
        <w:tc>
          <w:tcPr>
            <w:tcW w:type="dxa" w:w="3600"/>
          </w:tcPr>
          <w:p>
            <w:pPr>
              <w:spacing w:before="20" w:after="20"/>
            </w:pPr>
            <w:r>
              <w:rPr>
                <w:b w:val="0"/>
                <w:i w:val="0"/>
                <w:sz w:val="18"/>
              </w:rPr>
              <w:t>Moon captured during Dark Ages disruptions</w:t>
            </w:r>
          </w:p>
        </w:tc>
      </w:tr>
      <w:tr>
        <w:tc>
          <w:tcPr>
            <w:tcW w:type="dxa" w:w="851"/>
          </w:tcPr>
          <w:p>
            <w:pPr>
              <w:spacing w:before="20" w:after="20"/>
            </w:pPr>
            <w:r>
              <w:rPr>
                <w:b w:val="0"/>
                <w:i w:val="0"/>
                <w:sz w:val="18"/>
              </w:rPr>
              <w:t>Tuesday</w:t>
            </w:r>
          </w:p>
        </w:tc>
        <w:tc>
          <w:tcPr>
            <w:tcW w:type="dxa" w:w="972"/>
          </w:tcPr>
          <w:p>
            <w:pPr>
              <w:spacing w:before="20" w:after="20"/>
            </w:pPr>
            <w:r>
              <w:rPr>
                <w:b w:val="0"/>
                <w:i w:val="0"/>
                <w:sz w:val="18"/>
              </w:rPr>
              <w:t>Mars (Tiw/Tyr)</w:t>
            </w:r>
          </w:p>
        </w:tc>
        <w:tc>
          <w:tcPr>
            <w:tcW w:type="dxa" w:w="949"/>
          </w:tcPr>
          <w:p>
            <w:pPr>
              <w:spacing w:before="20" w:after="20"/>
            </w:pPr>
            <w:r>
              <w:rPr>
                <w:b w:val="0"/>
                <w:i w:val="0"/>
                <w:sz w:val="18"/>
              </w:rPr>
              <w:t>Day 6 (man / dominion)</w:t>
            </w:r>
          </w:p>
        </w:tc>
        <w:tc>
          <w:tcPr>
            <w:tcW w:type="dxa" w:w="3600"/>
          </w:tcPr>
          <w:p>
            <w:pPr>
              <w:spacing w:before="20" w:after="20"/>
            </w:pPr>
            <w:r>
              <w:rPr>
                <w:b w:val="0"/>
                <w:i w:val="0"/>
                <w:sz w:val="18"/>
              </w:rPr>
              <w:t>Mars as the solid body above Venus in the column</w:t>
            </w:r>
          </w:p>
        </w:tc>
      </w:tr>
      <w:tr>
        <w:tc>
          <w:tcPr>
            <w:tcW w:type="dxa" w:w="851"/>
          </w:tcPr>
          <w:p>
            <w:pPr>
              <w:spacing w:before="20" w:after="20"/>
            </w:pPr>
            <w:r>
              <w:rPr>
                <w:b w:val="0"/>
                <w:i w:val="0"/>
                <w:sz w:val="18"/>
              </w:rPr>
              <w:t>Wednesday</w:t>
            </w:r>
          </w:p>
        </w:tc>
        <w:tc>
          <w:tcPr>
            <w:tcW w:type="dxa" w:w="972"/>
          </w:tcPr>
          <w:p>
            <w:pPr>
              <w:spacing w:before="20" w:after="20"/>
            </w:pPr>
            <w:r>
              <w:rPr>
                <w:b w:val="0"/>
                <w:i w:val="0"/>
                <w:sz w:val="18"/>
              </w:rPr>
              <w:t>Mercury (Woden)</w:t>
            </w:r>
          </w:p>
        </w:tc>
        <w:tc>
          <w:tcPr>
            <w:tcW w:type="dxa" w:w="949"/>
          </w:tcPr>
          <w:p>
            <w:pPr>
              <w:spacing w:before="20" w:after="20"/>
            </w:pPr>
            <w:r>
              <w:rPr>
                <w:b w:val="0"/>
                <w:i w:val="0"/>
                <w:sz w:val="18"/>
              </w:rPr>
              <w:t>—</w:t>
            </w:r>
          </w:p>
        </w:tc>
        <w:tc>
          <w:tcPr>
            <w:tcW w:type="dxa" w:w="3600"/>
          </w:tcPr>
          <w:p>
            <w:pPr>
              <w:spacing w:before="20" w:after="20"/>
            </w:pPr>
            <w:r>
              <w:rPr>
                <w:b w:val="0"/>
                <w:i w:val="0"/>
                <w:sz w:val="18"/>
              </w:rPr>
              <w:t>Mercury not part of the collinear column</w:t>
            </w:r>
          </w:p>
        </w:tc>
      </w:tr>
      <w:tr>
        <w:tc>
          <w:tcPr>
            <w:tcW w:type="dxa" w:w="851"/>
          </w:tcPr>
          <w:p>
            <w:pPr>
              <w:spacing w:before="20" w:after="20"/>
            </w:pPr>
            <w:r>
              <w:rPr>
                <w:b w:val="0"/>
                <w:i w:val="0"/>
                <w:sz w:val="18"/>
              </w:rPr>
              <w:t>Thursday</w:t>
            </w:r>
          </w:p>
        </w:tc>
        <w:tc>
          <w:tcPr>
            <w:tcW w:type="dxa" w:w="972"/>
          </w:tcPr>
          <w:p>
            <w:pPr>
              <w:spacing w:before="20" w:after="20"/>
            </w:pPr>
            <w:r>
              <w:rPr>
                <w:b w:val="0"/>
                <w:i w:val="0"/>
                <w:sz w:val="18"/>
              </w:rPr>
              <w:t>Jupiter (Thor)</w:t>
            </w:r>
          </w:p>
        </w:tc>
        <w:tc>
          <w:tcPr>
            <w:tcW w:type="dxa" w:w="949"/>
          </w:tcPr>
          <w:p>
            <w:pPr>
              <w:spacing w:before="20" w:after="20"/>
            </w:pPr>
            <w:r>
              <w:rPr>
                <w:b w:val="0"/>
                <w:i w:val="0"/>
                <w:sz w:val="18"/>
              </w:rPr>
              <w:t>—</w:t>
            </w:r>
          </w:p>
        </w:tc>
        <w:tc>
          <w:tcPr>
            <w:tcW w:type="dxa" w:w="3600"/>
          </w:tcPr>
          <w:p>
            <w:pPr>
              <w:spacing w:before="20" w:after="20"/>
            </w:pPr>
            <w:r>
              <w:rPr>
                <w:b w:val="0"/>
                <w:i w:val="0"/>
                <w:sz w:val="18"/>
              </w:rPr>
              <w:t>Jupiter displaced Saturn after 3147 BC</w:t>
            </w:r>
          </w:p>
        </w:tc>
      </w:tr>
      <w:tr>
        <w:tc>
          <w:tcPr>
            <w:tcW w:type="dxa" w:w="851"/>
          </w:tcPr>
          <w:p>
            <w:pPr>
              <w:spacing w:before="20" w:after="20"/>
            </w:pPr>
            <w:r>
              <w:rPr>
                <w:b w:val="0"/>
                <w:i w:val="0"/>
                <w:sz w:val="18"/>
              </w:rPr>
              <w:t>Friday</w:t>
            </w:r>
          </w:p>
        </w:tc>
        <w:tc>
          <w:tcPr>
            <w:tcW w:type="dxa" w:w="972"/>
          </w:tcPr>
          <w:p>
            <w:pPr>
              <w:spacing w:before="20" w:after="20"/>
            </w:pPr>
            <w:r>
              <w:rPr>
                <w:b w:val="0"/>
                <w:i w:val="0"/>
                <w:sz w:val="18"/>
              </w:rPr>
              <w:t>Venus (Frigg)</w:t>
            </w:r>
          </w:p>
        </w:tc>
        <w:tc>
          <w:tcPr>
            <w:tcW w:type="dxa" w:w="949"/>
          </w:tcPr>
          <w:p>
            <w:pPr>
              <w:spacing w:before="20" w:after="20"/>
            </w:pPr>
            <w:r>
              <w:rPr>
                <w:b w:val="0"/>
                <w:i w:val="0"/>
                <w:sz w:val="18"/>
              </w:rPr>
              <w:t>Day 5 (life / abundance)</w:t>
            </w:r>
          </w:p>
        </w:tc>
        <w:tc>
          <w:tcPr>
            <w:tcW w:type="dxa" w:w="3600"/>
          </w:tcPr>
          <w:p>
            <w:pPr>
              <w:spacing w:before="20" w:after="20"/>
            </w:pPr>
            <w:r>
              <w:rPr>
                <w:b w:val="0"/>
                <w:i w:val="0"/>
                <w:sz w:val="18"/>
              </w:rPr>
              <w:t>Venus as the plasmoid star in the column</w:t>
            </w:r>
          </w:p>
        </w:tc>
      </w:tr>
      <w:tr>
        <w:tc>
          <w:tcPr>
            <w:tcW w:type="dxa" w:w="851"/>
          </w:tcPr>
          <w:p>
            <w:pPr>
              <w:spacing w:before="20" w:after="20"/>
            </w:pPr>
            <w:r>
              <w:rPr>
                <w:b w:val="0"/>
                <w:i w:val="0"/>
                <w:sz w:val="18"/>
              </w:rPr>
            </w:r>
            <w:r>
              <w:rPr>
                <w:b/>
                <w:i w:val="0"/>
                <w:sz w:val="18"/>
              </w:rPr>
              <w:t>Saturday</w:t>
            </w:r>
            <w:r>
              <w:rPr>
                <w:b w:val="0"/>
                <w:i w:val="0"/>
                <w:sz w:val="18"/>
              </w:rPr>
            </w:r>
          </w:p>
        </w:tc>
        <w:tc>
          <w:tcPr>
            <w:tcW w:type="dxa" w:w="972"/>
          </w:tcPr>
          <w:p>
            <w:pPr>
              <w:spacing w:before="20" w:after="20"/>
            </w:pPr>
            <w:r>
              <w:rPr>
                <w:b w:val="0"/>
                <w:i w:val="0"/>
                <w:sz w:val="18"/>
              </w:rPr>
            </w:r>
            <w:r>
              <w:rPr>
                <w:b/>
                <w:i w:val="0"/>
                <w:sz w:val="18"/>
              </w:rPr>
              <w:t>Saturn (Kronos)</w:t>
            </w:r>
            <w:r>
              <w:rPr>
                <w:b w:val="0"/>
                <w:i w:val="0"/>
                <w:sz w:val="18"/>
              </w:rPr>
            </w:r>
          </w:p>
        </w:tc>
        <w:tc>
          <w:tcPr>
            <w:tcW w:type="dxa" w:w="949"/>
          </w:tcPr>
          <w:p>
            <w:pPr>
              <w:spacing w:before="20" w:after="20"/>
            </w:pPr>
            <w:r>
              <w:rPr>
                <w:b w:val="0"/>
                <w:i w:val="0"/>
                <w:sz w:val="18"/>
              </w:rPr>
            </w:r>
            <w:r>
              <w:rPr>
                <w:b/>
                <w:i w:val="0"/>
                <w:sz w:val="18"/>
              </w:rPr>
              <w:t>Day 7 (God rested)</w:t>
            </w:r>
            <w:r>
              <w:rPr>
                <w:b w:val="0"/>
                <w:i w:val="0"/>
                <w:sz w:val="18"/>
              </w:rPr>
            </w:r>
          </w:p>
        </w:tc>
        <w:tc>
          <w:tcPr>
            <w:tcW w:type="dxa" w:w="3600"/>
          </w:tcPr>
          <w:p>
            <w:pPr>
              <w:spacing w:before="20" w:after="20"/>
            </w:pPr>
            <w:r>
              <w:rPr>
                <w:b w:val="0"/>
                <w:i w:val="0"/>
                <w:sz w:val="18"/>
              </w:rPr>
            </w:r>
            <w:r>
              <w:rPr>
                <w:b/>
                <w:i w:val="0"/>
                <w:sz w:val="18"/>
              </w:rPr>
              <w:t>Saturn displaced — Sabbath — creation ends</w:t>
            </w:r>
            <w:r>
              <w:rPr>
                <w:b w:val="0"/>
                <w:i w:val="0"/>
                <w:sz w:val="18"/>
              </w:rPr>
            </w:r>
          </w:p>
        </w:tc>
      </w:tr>
    </w:tbl>
    <w:p/>
    <w:p>
      <w:r>
        <w:rPr>
          <w:b w:val="0"/>
          <w:i w:val="0"/>
        </w:rPr>
        <w:t xml:space="preserve">Sunday appears in the sequence not because our Sun was present during creation, but because it eventually </w:t>
      </w:r>
      <w:r>
        <w:rPr>
          <w:b/>
          <w:i w:val="0"/>
        </w:rPr>
        <w:t>replaced Saturn</w:t>
      </w:r>
      <w:r>
        <w:rPr>
          <w:b w:val="0"/>
          <w:i w:val="0"/>
        </w:rPr>
        <w:t xml:space="preserve"> as the dominant light-source after the Dark Ages ended (~670 BC). The monotheist edit placed the Sun into the Day 4 position retroactively, overwriting Saturn.</w:t>
      </w:r>
    </w:p>
    <w:p>
      <w:pPr>
        <w:pBdr>
          <w:bottom w:val="single" w:sz="6" w:space="1" w:color="CCCCCC"/>
        </w:pBdr>
      </w:pPr>
    </w:p>
    <w:p>
      <w:pPr>
        <w:pStyle w:val="Heading2"/>
      </w:pPr>
      <w:r>
        <w:t>Why Monotheists Compressed the Sequence</w:t>
      </w:r>
    </w:p>
    <w:p>
      <w:r>
        <w:rPr>
          <w:b w:val="0"/>
          <w:i w:val="0"/>
        </w:rPr>
        <w:t xml:space="preserve">The compression served a single purpose: </w:t>
      </w:r>
      <w:r>
        <w:rPr>
          <w:b/>
          <w:i w:val="0"/>
        </w:rPr>
        <w:t>to sever the memory that Saturn was the original God.</w:t>
      </w:r>
      <w:r>
        <w:rPr>
          <w:b w:val="0"/>
          <w:i w:val="0"/>
        </w:rPr>
      </w:r>
    </w:p>
    <w:p>
      <w:r>
        <w:rPr>
          <w:b w:val="0"/>
          <w:i w:val="0"/>
        </w:rPr>
        <w:t>If the "days" were understood as centuries, the sequence would demand knowledge of which body provided light during each epoch — and that body was Saturn, not our Sun. A religion built on a single solar deity required the Sun to be present from the beginning. By compressing the sequence to seven literal days, the reformers:</w:t>
      </w:r>
    </w:p>
    <w:p>
      <w:pPr>
        <w:pStyle w:val="ListNumber"/>
        <w:spacing w:before="20" w:after="20"/>
      </w:pPr>
      <w:r>
        <w:rPr>
          <w:b w:val="0"/>
          <w:i w:val="0"/>
          <w:sz w:val="19"/>
        </w:rPr>
        <w:t>Made the timescale humanly manageable (a week, not a millennium)</w:t>
      </w:r>
    </w:p>
    <w:p>
      <w:pPr>
        <w:pStyle w:val="ListNumber"/>
        <w:spacing w:before="20" w:after="20"/>
      </w:pPr>
      <w:r>
        <w:rPr>
          <w:b w:val="0"/>
          <w:i w:val="0"/>
          <w:sz w:val="19"/>
        </w:rPr>
        <w:t>Buried the multi-Sun reality beneath a single-God framework</w:t>
      </w:r>
    </w:p>
    <w:p>
      <w:pPr>
        <w:pStyle w:val="ListNumber"/>
        <w:spacing w:before="20" w:after="20"/>
      </w:pPr>
      <w:r>
        <w:rPr>
          <w:b w:val="0"/>
          <w:i w:val="0"/>
          <w:sz w:val="19"/>
        </w:rPr>
        <w:t>Preserved the seven-beat structure (they could not erase it — it was too deeply embedded)</w:t>
      </w:r>
    </w:p>
    <w:p>
      <w:pPr>
        <w:pStyle w:val="ListNumber"/>
        <w:spacing w:before="20" w:after="20"/>
      </w:pPr>
      <w:r>
        <w:rPr>
          <w:b w:val="0"/>
          <w:i w:val="0"/>
          <w:sz w:val="19"/>
        </w:rPr>
        <w:t xml:space="preserve">Introduced the contradiction — Days 1–3 have light but no Sun — </w:t>
      </w:r>
      <w:r>
        <w:rPr>
          <w:b/>
          <w:i w:val="0"/>
          <w:sz w:val="19"/>
        </w:rPr>
        <w:t>which they could not fix without revealing the original cosmology</w:t>
      </w:r>
      <w:r>
        <w:rPr>
          <w:b w:val="0"/>
          <w:i w:val="0"/>
          <w:sz w:val="19"/>
        </w:rPr>
      </w:r>
    </w:p>
    <w:p>
      <w:r>
        <w:rPr>
          <w:b w:val="0"/>
          <w:i w:val="0"/>
        </w:rPr>
        <w:t xml:space="preserve">The contradiction was not careless editing. It is a </w:t>
      </w:r>
      <w:r>
        <w:rPr>
          <w:b/>
          <w:i w:val="0"/>
        </w:rPr>
        <w:t>fossil</w:t>
      </w:r>
      <w:r>
        <w:rPr>
          <w:b w:val="0"/>
          <w:i w:val="0"/>
        </w:rPr>
        <w:t xml:space="preserve"> of the original multi-planetary sequence that survives because editors could not fully excise it without destroying the seven-day structure that gave the Sabbath its authority.</w:t>
      </w:r>
    </w:p>
    <w:p>
      <w:pPr>
        <w:pBdr>
          <w:bottom w:val="single" w:sz="6" w:space="1" w:color="CCCCCC"/>
        </w:pBdr>
      </w:pPr>
    </w:p>
    <w:p>
      <w:pPr>
        <w:pStyle w:val="Heading2"/>
      </w:pPr>
      <w:r>
        <w:t>Isaiah's Seven Days: A Separate Event</w:t>
      </w:r>
    </w:p>
    <w:p>
      <w:r>
        <w:rPr>
          <w:b w:val="0"/>
          <w:i w:val="0"/>
        </w:rPr>
        <w:t xml:space="preserve">It is important not to confuse the seven days of creation with a separate tradition about "seven days" that appears in </w:t>
      </w:r>
      <w:r>
        <w:rPr>
          <w:b/>
          <w:i w:val="0"/>
        </w:rPr>
        <w:t>Isaiah 30:26</w:t>
      </w:r>
      <w:r>
        <w:rPr>
          <w:b w:val="0"/>
          <w:i w:val="0"/>
        </w:rPr>
        <w:t xml:space="preserve"> and Jewish sources. Isaiah, in a prophetic vision of a coming cataclysm, writes:</w:t>
      </w:r>
    </w:p>
    <w:p>
      <w:pPr>
        <w:pStyle w:val="Quote"/>
      </w:pPr>
      <w:r>
        <w:rPr>
          <w:b w:val="0"/>
          <w:i/>
          <w:sz w:val="19"/>
        </w:rPr>
        <w:t>"Moreover the light of the moon shall be as the light of the sun, and the light of the sun shall be sevenfold, as the light of seven days…"</w:t>
      </w:r>
      <w:r>
        <w:rPr>
          <w:b w:val="0"/>
          <w:i w:val="0"/>
          <w:sz w:val="19"/>
        </w:rPr>
        <w:t xml:space="preserve"> — Isaiah 30:26 (KJV)</w:t>
      </w:r>
    </w:p>
    <w:p>
      <w:r>
        <w:rPr>
          <w:b w:val="0"/>
          <w:i w:val="0"/>
        </w:rPr>
        <w:t xml:space="preserve">The Hebrew here can also be translated: </w:t>
      </w:r>
      <w:r>
        <w:rPr>
          <w:b w:val="0"/>
          <w:i/>
        </w:rPr>
        <w:t>"as if the light of seven days were joined in one"</w:t>
      </w:r>
      <w:r>
        <w:rPr>
          <w:b w:val="0"/>
          <w:i w:val="0"/>
        </w:rPr>
        <w:t xml:space="preserve"> (Knox translation). This does </w:t>
      </w:r>
      <w:r>
        <w:rPr>
          <w:b/>
          <w:i w:val="0"/>
        </w:rPr>
        <w:t>not</w:t>
      </w:r>
      <w:r>
        <w:rPr>
          <w:b w:val="0"/>
          <w:i w:val="0"/>
        </w:rPr>
        <w:t xml:space="preserve"> refer to the creation sequence. It refers to a catastrophic event when Earth's sky was flooded with light </w:t>
      </w:r>
      <w:r>
        <w:rPr>
          <w:b/>
          <w:i w:val="0"/>
        </w:rPr>
        <w:t>day and night</w:t>
      </w:r>
      <w:r>
        <w:rPr>
          <w:b w:val="0"/>
          <w:i w:val="0"/>
        </w:rPr>
        <w:t xml:space="preserve"> — an event Velikovsky and Cook associate with the </w:t>
      </w:r>
      <w:r>
        <w:rPr>
          <w:b/>
          <w:i w:val="0"/>
        </w:rPr>
        <w:t>3147 BC collapse</w:t>
      </w:r>
      <w:r>
        <w:rPr>
          <w:b w:val="0"/>
          <w:i w:val="0"/>
        </w:rPr>
        <w:t xml:space="preserve"> of the Saturnian configuration, not with creation itself.</w:t>
      </w:r>
    </w:p>
    <w:p>
      <w:r>
        <w:rPr>
          <w:b w:val="0"/>
          <w:i w:val="0"/>
        </w:rPr>
        <w:t xml:space="preserve">Genesis 7:4 also references a </w:t>
      </w:r>
      <w:r>
        <w:rPr>
          <w:b/>
          <w:i w:val="0"/>
        </w:rPr>
        <w:t>seven-day delay</w:t>
      </w:r>
      <w:r>
        <w:rPr>
          <w:b w:val="0"/>
          <w:i w:val="0"/>
        </w:rPr>
        <w:t xml:space="preserve"> immediately before the Flood:</w:t>
      </w:r>
    </w:p>
    <w:p>
      <w:pPr>
        <w:pStyle w:val="Quote"/>
      </w:pPr>
      <w:r>
        <w:rPr>
          <w:b w:val="0"/>
          <w:i/>
          <w:sz w:val="19"/>
        </w:rPr>
        <w:t>"For yet seven days, and I will cause it to rain upon the earth forty days and forty nights…"</w:t>
      </w:r>
      <w:r>
        <w:rPr>
          <w:b w:val="0"/>
          <w:i w:val="0"/>
          <w:sz w:val="19"/>
        </w:rPr>
        <w:t xml:space="preserve"> — Genesis 7:4</w:t>
      </w:r>
    </w:p>
    <w:p>
      <w:r>
        <w:rPr>
          <w:b w:val="0"/>
          <w:i w:val="0"/>
        </w:rPr>
        <w:t xml:space="preserve">Jewish tradition preserves the detail that during these seven days before the Deluge, </w:t>
      </w:r>
      <w:r>
        <w:rPr>
          <w:b/>
          <w:i w:val="0"/>
        </w:rPr>
        <w:t>the sun rose in the west and set in the east</w:t>
      </w:r>
      <w:r>
        <w:rPr>
          <w:b w:val="0"/>
          <w:i w:val="0"/>
        </w:rPr>
        <w:t xml:space="preserve"> — a reversal of the natural order. As reported in the Thunderbolts article "Never the Twain Shall Meet":</w:t>
      </w:r>
    </w:p>
    <w:p>
      <w:pPr>
        <w:pStyle w:val="Quote"/>
      </w:pPr>
      <w:r>
        <w:rPr>
          <w:b w:val="0"/>
          <w:i/>
          <w:sz w:val="19"/>
        </w:rPr>
        <w:t>"More explicit is a Jewish statement that God 'reversed the order of nature, the sun rising in the west and setting in the east' during the 'seven days' immediately preceding the deluge."</w:t>
      </w:r>
    </w:p>
    <w:p>
      <w:r>
        <w:rPr>
          <w:b w:val="0"/>
          <w:i w:val="0"/>
        </w:rPr>
        <w:t xml:space="preserve">Velikovsky, Jan Sammer, and Jno Cook all point to Vedic, Talmudic, and Sumerian sources (including the </w:t>
      </w:r>
      <w:r>
        <w:rPr>
          <w:b w:val="0"/>
          <w:i/>
        </w:rPr>
        <w:t>Epic of Gilgamesh</w:t>
      </w:r>
      <w:r>
        <w:rPr>
          <w:b w:val="0"/>
          <w:i w:val="0"/>
        </w:rPr>
        <w:t xml:space="preserve">) that describe a period of intense light — "bright day and night for seven days" — immediately </w:t>
      </w:r>
      <w:r>
        <w:rPr>
          <w:b/>
          <w:i w:val="0"/>
        </w:rPr>
        <w:t>before</w:t>
      </w:r>
      <w:r>
        <w:rPr>
          <w:b w:val="0"/>
          <w:i w:val="0"/>
        </w:rPr>
        <w:t xml:space="preserve"> the catastrophic flood. This refers to the proximity of </w:t>
      </w:r>
      <w:r>
        <w:rPr>
          <w:b/>
          <w:i w:val="0"/>
        </w:rPr>
        <w:t>Venus or Mars on a close pass</w:t>
      </w:r>
      <w:r>
        <w:rPr>
          <w:b w:val="0"/>
          <w:i w:val="0"/>
        </w:rPr>
        <w:t>, not to the creation epoch.</w:t>
      </w:r>
    </w:p>
    <w:p>
      <w:r>
        <w:rPr>
          <w:b w:val="0"/>
          <w:i w:val="0"/>
        </w:rPr>
        <w:t xml:space="preserve">These "seven days before the flood" are a </w:t>
      </w:r>
      <w:r>
        <w:rPr>
          <w:b/>
          <w:i w:val="0"/>
        </w:rPr>
        <w:t>distinct cosmological event</w:t>
      </w:r>
      <w:r>
        <w:rPr>
          <w:b w:val="0"/>
          <w:i w:val="0"/>
        </w:rPr>
        <w:t xml:space="preserve"> from the seven days of creation. One is a compression of the entire Saturnian epoch (4077–3147 BC); the other is a seven-day astronomical close-encounter immediately preceding the violent end of that epoch and the longer deluge cascade that follows.</w:t>
      </w:r>
    </w:p>
    <w:p>
      <w:r>
        <w:rPr>
          <w:b w:val="0"/>
          <w:i w:val="0"/>
        </w:rPr>
        <w:t>Sources:</w:t>
      </w:r>
    </w:p>
    <w:p>
      <w:pPr>
        <w:pStyle w:val="ListBullet"/>
        <w:spacing w:before="20" w:after="20"/>
      </w:pPr>
      <w:r>
        <w:rPr>
          <w:b w:val="0"/>
          <w:i w:val="0"/>
          <w:sz w:val="19"/>
        </w:rPr>
        <w:t xml:space="preserve">Jno Cook, </w:t>
      </w:r>
      <w:r>
        <w:rPr>
          <w:b w:val="0"/>
          <w:i/>
          <w:sz w:val="19"/>
        </w:rPr>
        <w:t>Recovering the Lost World</w:t>
      </w:r>
      <w:r>
        <w:rPr>
          <w:b w:val="0"/>
          <w:i w:val="0"/>
          <w:sz w:val="19"/>
        </w:rPr>
        <w:t xml:space="preserve">: </w:t>
      </w:r>
      <w:hyperlink r:id="rId230">
        <w:r>
          <w:rPr>
            <w:b w:val="0"/>
            <w:i w:val="0"/>
            <w:color w:val="B8860B"/>
            <w:sz w:val="19"/>
          </w:rPr>
          <w:t>Appendix B: Celestial Mechanics</w:t>
        </w:r>
      </w:hyperlink>
      <w:r>
        <w:rPr>
          <w:b w:val="0"/>
          <w:i w:val="0"/>
          <w:sz w:val="19"/>
        </w:rPr>
        <w:t xml:space="preserve"> — "the light of the moon shall be as the light of the sun, and the light of the sun shall be sevenfold, as the light of the seven days"</w:t>
      </w:r>
    </w:p>
    <w:p>
      <w:pPr>
        <w:pStyle w:val="ListBullet"/>
        <w:spacing w:before="20" w:after="20"/>
      </w:pPr>
      <w:r>
        <w:rPr>
          <w:b w:val="0"/>
          <w:i w:val="0"/>
          <w:sz w:val="19"/>
        </w:rPr>
        <w:t xml:space="preserve">Thunderbolts.info: </w:t>
      </w:r>
      <w:hyperlink r:id="rId231">
        <w:r>
          <w:rPr>
            <w:b w:val="0"/>
            <w:i w:val="0"/>
            <w:color w:val="B8860B"/>
            <w:sz w:val="19"/>
          </w:rPr>
          <w:t>Never the Twain Shall Meet</w:t>
        </w:r>
      </w:hyperlink>
      <w:r>
        <w:rPr>
          <w:b w:val="0"/>
          <w:i w:val="0"/>
          <w:sz w:val="19"/>
        </w:rPr>
        <w:t xml:space="preserve"> — Jewish tradition of reversed sun before the deluge</w:t>
      </w:r>
    </w:p>
    <w:p>
      <w:pPr>
        <w:pStyle w:val="ListBullet"/>
        <w:spacing w:before="20" w:after="20"/>
      </w:pPr>
      <w:hyperlink r:id="rId232">
        <w:r>
          <w:rPr>
            <w:b w:val="0"/>
            <w:i w:val="0"/>
            <w:color w:val="B8860B"/>
            <w:sz w:val="19"/>
          </w:rPr>
          <w:t>Genesis 7:4</w:t>
        </w:r>
      </w:hyperlink>
    </w:p>
    <w:p>
      <w:pPr>
        <w:pStyle w:val="ListBullet"/>
        <w:spacing w:before="20" w:after="20"/>
      </w:pPr>
      <w:hyperlink r:id="rId233">
        <w:r>
          <w:rPr>
            <w:b w:val="0"/>
            <w:i w:val="0"/>
            <w:color w:val="B8860B"/>
            <w:sz w:val="19"/>
          </w:rPr>
          <w:t>Isaiah 30:26</w:t>
        </w:r>
      </w:hyperlink>
    </w:p>
    <w:p>
      <w:pPr>
        <w:pBdr>
          <w:bottom w:val="single" w:sz="6" w:space="1" w:color="CCCCCC"/>
        </w:pBdr>
      </w:pPr>
    </w:p>
    <w:p>
      <w:pPr>
        <w:pStyle w:val="Heading2"/>
      </w:pPr>
      <w:r>
        <w:t>Cross-References</w:t>
      </w:r>
    </w:p>
    <w:p>
      <w:pPr>
        <w:pStyle w:val="ListBullet"/>
        <w:spacing w:before="20" w:after="20"/>
      </w:pPr>
      <w:hyperlink r:id="rId222">
        <w:r>
          <w:rPr>
            <w:b w:val="0"/>
            <w:i w:val="0"/>
            <w:color w:val="B8860B"/>
            <w:sz w:val="19"/>
          </w:rPr>
          <w:t>Proto-Saturn joins the Sun's orbit and lights up</w:t>
        </w:r>
      </w:hyperlink>
      <w:r>
        <w:rPr>
          <w:b w:val="0"/>
          <w:i w:val="0"/>
          <w:sz w:val="19"/>
        </w:rPr>
        <w:t xml:space="preserve"> — Day 1 event</w:t>
      </w:r>
    </w:p>
    <w:p>
      <w:pPr>
        <w:pStyle w:val="ListBullet"/>
        <w:spacing w:before="20" w:after="20"/>
      </w:pPr>
      <w:hyperlink r:id="rId181">
        <w:r>
          <w:rPr>
            <w:b w:val="0"/>
            <w:i w:val="0"/>
            <w:color w:val="B8860B"/>
            <w:sz w:val="19"/>
          </w:rPr>
          <w:t>The 225-Day Year</w:t>
        </w:r>
      </w:hyperlink>
      <w:r>
        <w:rPr>
          <w:b w:val="0"/>
          <w:i w:val="0"/>
          <w:sz w:val="19"/>
        </w:rPr>
        <w:t xml:space="preserve"> — Kronos as the original timekeeping body</w:t>
      </w:r>
    </w:p>
    <w:p>
      <w:pPr>
        <w:pStyle w:val="ListBullet"/>
        <w:spacing w:before="20" w:after="20"/>
      </w:pPr>
      <w:hyperlink r:id="rId223">
        <w:r>
          <w:rPr>
            <w:b w:val="0"/>
            <w:i w:val="0"/>
            <w:color w:val="B8860B"/>
            <w:sz w:val="19"/>
          </w:rPr>
          <w:t>Saturn's Collinear Planetary Configuration — The Tree of Life</w:t>
        </w:r>
      </w:hyperlink>
      <w:r>
        <w:rPr>
          <w:b w:val="0"/>
          <w:i w:val="0"/>
          <w:sz w:val="19"/>
        </w:rPr>
        <w:t xml:space="preserve"> — Day 3 stable configuration</w:t>
      </w:r>
    </w:p>
    <w:p>
      <w:pPr>
        <w:pStyle w:val="ListBullet"/>
        <w:spacing w:before="20" w:after="20"/>
      </w:pPr>
      <w:hyperlink r:id="rId224">
        <w:r>
          <w:rPr>
            <w:b w:val="0"/>
            <w:i w:val="0"/>
            <w:color w:val="B8860B"/>
            <w:sz w:val="19"/>
          </w:rPr>
          <w:t>The Absu layers surrounded the Planets</w:t>
        </w:r>
      </w:hyperlink>
      <w:r>
        <w:rPr>
          <w:b w:val="0"/>
          <w:i w:val="0"/>
          <w:sz w:val="19"/>
        </w:rPr>
        <w:t xml:space="preserve"> — Day 2 firmament</w:t>
      </w:r>
    </w:p>
    <w:p>
      <w:pPr>
        <w:pStyle w:val="ListBullet"/>
        <w:spacing w:before="20" w:after="20"/>
      </w:pPr>
      <w:hyperlink r:id="rId225">
        <w:r>
          <w:rPr>
            <w:b w:val="0"/>
            <w:i w:val="0"/>
            <w:color w:val="B8860B"/>
            <w:sz w:val="19"/>
          </w:rPr>
          <w:t>Northern Hemisphere Configuration</w:t>
        </w:r>
      </w:hyperlink>
      <w:r>
        <w:rPr>
          <w:b w:val="0"/>
          <w:i w:val="0"/>
          <w:sz w:val="19"/>
        </w:rPr>
        <w:t xml:space="preserve"> — Day 4 and Day 6 visuals</w:t>
      </w:r>
    </w:p>
    <w:p>
      <w:pPr>
        <w:pStyle w:val="ListBullet"/>
        <w:spacing w:before="20" w:after="20"/>
      </w:pPr>
      <w:hyperlink r:id="rId226">
        <w:r>
          <w:rPr>
            <w:b w:val="0"/>
            <w:i w:val="0"/>
            <w:color w:val="B8860B"/>
            <w:sz w:val="19"/>
          </w:rPr>
          <w:t>Southern Hemisphere Configuration</w:t>
        </w:r>
      </w:hyperlink>
      <w:r>
        <w:rPr>
          <w:b w:val="0"/>
          <w:i w:val="0"/>
          <w:sz w:val="19"/>
        </w:rPr>
        <w:t xml:space="preserve"> — Day 4 southern sky</w:t>
      </w:r>
    </w:p>
    <w:p>
      <w:pPr>
        <w:pStyle w:val="ListBullet"/>
        <w:spacing w:before="20" w:after="20"/>
      </w:pPr>
      <w:hyperlink r:id="rId37">
        <w:r>
          <w:rPr>
            <w:b w:val="0"/>
            <w:i w:val="0"/>
            <w:color w:val="B8860B"/>
            <w:sz w:val="19"/>
          </w:rPr>
          <w:t>Atlantis and the Tree of Knowledge</w:t>
        </w:r>
      </w:hyperlink>
      <w:r>
        <w:rPr>
          <w:b w:val="0"/>
          <w:i w:val="0"/>
          <w:sz w:val="19"/>
        </w:rPr>
        <w:t xml:space="preserve"> — Day 6 civilisation apex</w:t>
      </w:r>
    </w:p>
    <w:p>
      <w:pPr>
        <w:pStyle w:val="ListBullet"/>
        <w:spacing w:before="20" w:after="20"/>
      </w:pPr>
      <w:hyperlink r:id="rId228">
        <w:r>
          <w:rPr>
            <w:b w:val="0"/>
            <w:i w:val="0"/>
            <w:color w:val="B8860B"/>
            <w:sz w:val="19"/>
          </w:rPr>
          <w:t>The Golden Age Ends Violently</w:t>
        </w:r>
      </w:hyperlink>
      <w:r>
        <w:rPr>
          <w:b w:val="0"/>
          <w:i w:val="0"/>
          <w:sz w:val="19"/>
        </w:rPr>
        <w:t xml:space="preserve"> — Day 7 catastrophe</w:t>
      </w:r>
    </w:p>
    <w:p>
      <w:pPr>
        <w:pStyle w:val="ListBullet"/>
        <w:spacing w:before="20" w:after="20"/>
      </w:pPr>
      <w:hyperlink r:id="rId229">
        <w:r>
          <w:rPr>
            <w:b w:val="0"/>
            <w:i w:val="0"/>
            <w:color w:val="B8860B"/>
            <w:sz w:val="19"/>
          </w:rPr>
          <w:t>The Dark Ages</w:t>
        </w:r>
      </w:hyperlink>
      <w:r>
        <w:rPr>
          <w:b w:val="0"/>
          <w:i w:val="0"/>
          <w:sz w:val="19"/>
        </w:rPr>
        <w:t xml:space="preserve"> — post-creation planetary chain</w:t>
      </w:r>
    </w:p>
    <w:p>
      <w:pPr>
        <w:pBdr>
          <w:bottom w:val="single" w:sz="6" w:space="1" w:color="CCCCCC"/>
        </w:pBdr>
      </w:pPr>
    </w:p>
    <w:p>
      <w:pPr>
        <w:pStyle w:val="Heading2"/>
      </w:pPr>
      <w:r>
        <w:t>Sources</w:t>
      </w:r>
    </w:p>
    <w:p>
      <w:pPr>
        <w:pStyle w:val="ListBullet"/>
        <w:spacing w:before="20" w:after="20"/>
      </w:pPr>
      <w:r>
        <w:rPr>
          <w:b w:val="0"/>
          <w:i w:val="0"/>
          <w:sz w:val="19"/>
        </w:rPr>
        <w:t xml:space="preserve">Jno Cook, </w:t>
      </w:r>
      <w:r>
        <w:rPr>
          <w:b w:val="0"/>
          <w:i/>
          <w:sz w:val="19"/>
        </w:rPr>
        <w:t>Recovering the Lost World</w:t>
      </w:r>
      <w:r>
        <w:rPr>
          <w:b w:val="0"/>
          <w:i w:val="0"/>
          <w:sz w:val="19"/>
        </w:rPr>
        <w:t xml:space="preserve">: </w:t>
      </w:r>
      <w:hyperlink r:id="rId234">
        <w:r>
          <w:rPr>
            <w:b w:val="0"/>
            <w:i w:val="0"/>
            <w:color w:val="B8860B"/>
            <w:sz w:val="19"/>
          </w:rPr>
          <w:t>Chapter 13: The Creation</w:t>
        </w:r>
      </w:hyperlink>
      <w:r>
        <w:rPr>
          <w:b w:val="0"/>
          <w:i w:val="0"/>
          <w:sz w:val="19"/>
        </w:rPr>
        <w:t xml:space="preserve"> — detailed account of the 4077 BC nova event, the Cosmic Egg, and the "Great Honker" sound</w:t>
      </w:r>
    </w:p>
    <w:p>
      <w:pPr>
        <w:pStyle w:val="ListBullet"/>
        <w:spacing w:before="20" w:after="20"/>
      </w:pPr>
      <w:r>
        <w:rPr>
          <w:b w:val="0"/>
          <w:i w:val="0"/>
          <w:sz w:val="19"/>
        </w:rPr>
        <w:t xml:space="preserve">Jno Cook, </w:t>
      </w:r>
      <w:r>
        <w:rPr>
          <w:b w:val="0"/>
          <w:i/>
          <w:sz w:val="19"/>
        </w:rPr>
        <w:t>Recovering the Lost World</w:t>
      </w:r>
      <w:r>
        <w:rPr>
          <w:b w:val="0"/>
          <w:i w:val="0"/>
          <w:sz w:val="19"/>
        </w:rPr>
        <w:t xml:space="preserve">: </w:t>
      </w:r>
      <w:hyperlink r:id="rId235">
        <w:r>
          <w:rPr>
            <w:b w:val="0"/>
            <w:i w:val="0"/>
            <w:color w:val="B8860B"/>
            <w:sz w:val="19"/>
          </w:rPr>
          <w:t>Chapter 14: The Start of Time</w:t>
        </w:r>
      </w:hyperlink>
      <w:r>
        <w:rPr>
          <w:b w:val="0"/>
          <w:i w:val="0"/>
          <w:sz w:val="19"/>
        </w:rPr>
        <w:t xml:space="preserve"> — Kronos as the original timekeeping body</w:t>
      </w:r>
    </w:p>
    <w:p>
      <w:pPr>
        <w:pStyle w:val="ListBullet"/>
        <w:spacing w:before="20" w:after="20"/>
      </w:pPr>
      <w:r>
        <w:rPr>
          <w:b w:val="0"/>
          <w:i w:val="0"/>
          <w:sz w:val="19"/>
        </w:rPr>
        <w:t xml:space="preserve">Jno Cook, </w:t>
      </w:r>
      <w:r>
        <w:rPr>
          <w:b w:val="0"/>
          <w:i/>
          <w:sz w:val="19"/>
        </w:rPr>
        <w:t>Recovering the Lost World</w:t>
      </w:r>
      <w:r>
        <w:rPr>
          <w:b w:val="0"/>
          <w:i w:val="0"/>
          <w:sz w:val="19"/>
        </w:rPr>
        <w:t xml:space="preserve">: </w:t>
      </w:r>
      <w:hyperlink r:id="rId236">
        <w:r>
          <w:rPr>
            <w:b w:val="0"/>
            <w:i w:val="0"/>
            <w:color w:val="B8860B"/>
            <w:sz w:val="19"/>
          </w:rPr>
          <w:t>Chapter 3: The Osiris Mystery</w:t>
        </w:r>
      </w:hyperlink>
      <w:r>
        <w:rPr>
          <w:b w:val="0"/>
          <w:i w:val="0"/>
          <w:sz w:val="19"/>
        </w:rPr>
        <w:t xml:space="preserve"> — waters above and waters below; firmament as plasma boundary</w:t>
      </w:r>
    </w:p>
    <w:p>
      <w:pPr>
        <w:pStyle w:val="ListBullet"/>
        <w:spacing w:before="20" w:after="20"/>
      </w:pPr>
      <w:r>
        <w:rPr>
          <w:b w:val="0"/>
          <w:i w:val="0"/>
          <w:sz w:val="19"/>
        </w:rPr>
        <w:t xml:space="preserve">Jno Cook, </w:t>
      </w:r>
      <w:r>
        <w:rPr>
          <w:b w:val="0"/>
          <w:i/>
          <w:sz w:val="19"/>
        </w:rPr>
        <w:t>Recovering the Lost World</w:t>
      </w:r>
      <w:r>
        <w:rPr>
          <w:b w:val="0"/>
          <w:i w:val="0"/>
          <w:sz w:val="19"/>
        </w:rPr>
        <w:t xml:space="preserve">: </w:t>
      </w:r>
      <w:hyperlink r:id="rId230">
        <w:r>
          <w:rPr>
            <w:b w:val="0"/>
            <w:i w:val="0"/>
            <w:color w:val="B8860B"/>
            <w:sz w:val="19"/>
          </w:rPr>
          <w:t>Appendix B: Celestial Mechanics</w:t>
        </w:r>
      </w:hyperlink>
      <w:r>
        <w:rPr>
          <w:b w:val="0"/>
          <w:i w:val="0"/>
          <w:sz w:val="19"/>
        </w:rPr>
        <w:t xml:space="preserve"> — Isaiah's "seven days joined in one" and the 3147 BC flood</w:t>
      </w:r>
    </w:p>
    <w:p>
      <w:pPr>
        <w:pStyle w:val="ListBullet"/>
        <w:spacing w:before="20" w:after="20"/>
      </w:pPr>
      <w:r>
        <w:rPr>
          <w:b w:val="0"/>
          <w:i w:val="0"/>
          <w:sz w:val="19"/>
        </w:rPr>
        <w:t xml:space="preserve">David Talbott, </w:t>
      </w:r>
      <w:r>
        <w:rPr>
          <w:b w:val="0"/>
          <w:i/>
          <w:sz w:val="19"/>
        </w:rPr>
        <w:t>The Saturn Myth</w:t>
      </w:r>
      <w:r>
        <w:rPr>
          <w:b w:val="0"/>
          <w:i w:val="0"/>
          <w:sz w:val="19"/>
        </w:rPr>
        <w:t xml:space="preserve"> (1980) — the egg-splitting motif and polar configuration</w:t>
      </w:r>
    </w:p>
    <w:p>
      <w:pPr>
        <w:pStyle w:val="ListBullet"/>
        <w:spacing w:before="20" w:after="20"/>
      </w:pPr>
      <w:r>
        <w:rPr>
          <w:b w:val="0"/>
          <w:i w:val="0"/>
          <w:sz w:val="19"/>
        </w:rPr>
        <w:t xml:space="preserve">Dwardu Cardona, </w:t>
      </w:r>
      <w:r>
        <w:rPr>
          <w:b w:val="0"/>
          <w:i/>
          <w:sz w:val="19"/>
        </w:rPr>
        <w:t>God Star</w:t>
      </w:r>
      <w:r>
        <w:rPr>
          <w:b w:val="0"/>
          <w:i w:val="0"/>
          <w:sz w:val="19"/>
        </w:rPr>
        <w:t xml:space="preserve"> (2006) — multi-source reconstruction of creation myths</w:t>
      </w:r>
    </w:p>
    <w:p>
      <w:pPr>
        <w:pStyle w:val="ListBullet"/>
        <w:spacing w:before="20" w:after="20"/>
      </w:pPr>
      <w:r>
        <w:rPr>
          <w:b w:val="0"/>
          <w:i w:val="0"/>
          <w:sz w:val="19"/>
        </w:rPr>
        <w:t xml:space="preserve">Thunderbolts.info: </w:t>
      </w:r>
      <w:hyperlink r:id="rId231">
        <w:r>
          <w:rPr>
            <w:b w:val="0"/>
            <w:i w:val="0"/>
            <w:color w:val="B8860B"/>
            <w:sz w:val="19"/>
          </w:rPr>
          <w:t>Never the Twain Shall Meet</w:t>
        </w:r>
      </w:hyperlink>
      <w:r>
        <w:rPr>
          <w:b w:val="0"/>
          <w:i w:val="0"/>
          <w:sz w:val="19"/>
        </w:rPr>
        <w:t xml:space="preserve"> — Jewish tradition of reversed sun during seven days before the deluge</w:t>
      </w:r>
    </w:p>
    <w:p>
      <w:pPr>
        <w:pStyle w:val="ListBullet"/>
        <w:spacing w:before="20" w:after="20"/>
      </w:pPr>
      <w:hyperlink r:id="rId237">
        <w:r>
          <w:rPr>
            <w:b w:val="0"/>
            <w:i w:val="0"/>
            <w:color w:val="B8860B"/>
            <w:sz w:val="19"/>
          </w:rPr>
          <w:t>Genesis 1–2, KJV</w:t>
        </w:r>
      </w:hyperlink>
    </w:p>
    <w:p>
      <w:pPr>
        <w:pStyle w:val="ListBullet"/>
        <w:spacing w:before="20" w:after="20"/>
      </w:pPr>
      <w:hyperlink r:id="rId232">
        <w:r>
          <w:rPr>
            <w:b w:val="0"/>
            <w:i w:val="0"/>
            <w:color w:val="B8860B"/>
            <w:sz w:val="19"/>
          </w:rPr>
          <w:t>Genesis 7:4, KJV</w:t>
        </w:r>
      </w:hyperlink>
      <w:r>
        <w:rPr>
          <w:b w:val="0"/>
          <w:i w:val="0"/>
          <w:sz w:val="19"/>
        </w:rPr>
        <w:t xml:space="preserve"> — seven-day delay before the Flood</w:t>
      </w:r>
    </w:p>
    <w:p>
      <w:pPr>
        <w:pStyle w:val="ListBullet"/>
        <w:spacing w:before="20" w:after="20"/>
      </w:pPr>
      <w:hyperlink r:id="rId233">
        <w:r>
          <w:rPr>
            <w:b w:val="0"/>
            <w:i w:val="0"/>
            <w:color w:val="B8860B"/>
            <w:sz w:val="19"/>
          </w:rPr>
          <w:t>Isaiah 30:26, KJV</w:t>
        </w:r>
      </w:hyperlink>
      <w:r>
        <w:rPr>
          <w:b w:val="0"/>
          <w:i w:val="0"/>
          <w:sz w:val="19"/>
        </w:rPr>
        <w:t xml:space="preserve"> — "light of seven days joined in one"</w:t>
      </w:r>
    </w:p>
    <w:p>
      <w:pPr>
        <w:pStyle w:val="ListBullet"/>
        <w:spacing w:before="20" w:after="20"/>
      </w:pPr>
      <w:hyperlink r:id="rId221">
        <w:r>
          <w:rPr>
            <w:b w:val="0"/>
            <w:i w:val="0"/>
            <w:color w:val="B8860B"/>
            <w:sz w:val="19"/>
          </w:rPr>
          <w:t>Cronus / Kronos — Wikipedia</w:t>
        </w:r>
      </w:hyperlink>
    </w:p>
    <w:p>
      <w:pPr>
        <w:pStyle w:val="ListBullet"/>
        <w:spacing w:before="20" w:after="20"/>
      </w:pPr>
      <w:hyperlink r:id="rId238">
        <w:r>
          <w:rPr>
            <w:b w:val="0"/>
            <w:i w:val="0"/>
            <w:color w:val="B8860B"/>
            <w:sz w:val="19"/>
          </w:rPr>
          <w:t>Week — Wikipedia: Origin of the seven-day week</w:t>
        </w:r>
      </w:hyperlink>
    </w:p>
    <w:p/>
    <w:p>
      <w:pPr>
        <w:sectPr>
          <w:headerReference w:type="default" r:id="rId218"/>
          <w:footerReference w:type="default" r:id="rId219"/>
          <w:pgSz w:w="8640" w:h="12960"/>
          <w:pgMar w:top="1020" w:right="1134" w:bottom="1134" w:left="1134" w:header="720" w:footer="720" w:gutter="0"/>
          <w:cols w:space="720"/>
          <w:titlePg/>
          <w:docGrid w:linePitch="360"/>
        </w:sectPr>
      </w:pPr>
    </w:p>
    <w:p>
      <w:pPr>
        <w:pStyle w:val="Heading2"/>
      </w:pPr>
      <w:r>
        <w:rPr>
          <w:b/>
        </w:rPr>
        <w:t>Chapter 20: Controlled Opposition: Managed Disclosure and Gatekeeping (Extended)</w:t>
      </w:r>
    </w:p>
    <w:p>
      <w:pPr>
        <w:pStyle w:val="Quote"/>
      </w:pPr>
      <w:r>
        <w:rPr>
          <w:b w:val="0"/>
          <w:i/>
          <w:sz w:val="19"/>
        </w:rPr>
        <w:t>"The best way to control the opposition is to lead it ourselves."</w:t>
      </w:r>
      <w:r>
        <w:rPr>
          <w:b w:val="0"/>
          <w:i w:val="0"/>
          <w:sz w:val="19"/>
        </w:rPr>
        <w:t xml:space="preserve"> </w:t>
      </w:r>
      <w:r>
        <w:rPr>
          <w:b w:val="0"/>
          <w:i w:val="0"/>
          <w:sz w:val="19"/>
        </w:rPr>
        <w:t>— Widely attributed to Vladimir Lenin (unverified; see below)</w:t>
      </w:r>
    </w:p>
    <w:p>
      <w:pPr>
        <w:pStyle w:val="Heading2"/>
      </w:pPr>
      <w:r>
        <w:t>The Concept</w:t>
      </w:r>
    </w:p>
    <w:p>
      <w:r>
        <w:rPr>
          <w:b w:val="0"/>
          <w:i w:val="0"/>
        </w:rPr>
        <w:t xml:space="preserve">Controlled opposition is a strategy in which a power structure creates, funds, or infiltrates its own opposition movements. The goal is not to suppress dissent outright — which risks creating martyrs — but to </w:t>
      </w:r>
      <w:r>
        <w:rPr>
          <w:b/>
          <w:i w:val="0"/>
        </w:rPr>
        <w:t>channel dissent into safe, pre-approved boundaries</w:t>
      </w:r>
      <w:r>
        <w:rPr>
          <w:b w:val="0"/>
          <w:i w:val="0"/>
        </w:rPr>
        <w:t>. Forbidden ideas are allowed to surface, but only under management. Investigators are permitted to approach the truth, but never to arrive at it.</w:t>
      </w:r>
    </w:p>
    <w:p>
      <w:r>
        <w:rPr>
          <w:b w:val="0"/>
          <w:i w:val="0"/>
        </w:rPr>
        <w:t xml:space="preserve">The modern term traces to the Russian revolutionary period. Lenin's Bolsheviks were intimately familiar with the Okhrana (Tsarist secret police) method of creating controlled workers' organisations — the </w:t>
      </w:r>
      <w:r>
        <w:rPr>
          <w:b/>
          <w:i w:val="0"/>
        </w:rPr>
        <w:t>"police socialism"</w:t>
      </w:r>
      <w:r>
        <w:rPr>
          <w:b w:val="0"/>
          <w:i w:val="0"/>
        </w:rPr>
        <w:t xml:space="preserve"> of Sergei Zubatov, in which the secret police funded and directed workers' unions to prevent genuine revolutionary organisation. The famous quote attributed to Lenin has </w:t>
      </w:r>
      <w:r>
        <w:rPr>
          <w:b/>
          <w:i w:val="0"/>
        </w:rPr>
        <w:t>never been located in his verified writings</w:t>
      </w:r>
      <w:r>
        <w:rPr>
          <w:b w:val="0"/>
          <w:i w:val="0"/>
        </w:rPr>
        <w:t>, but the concept was standard practice — first by the Tsarist police, then by the Bolsheviks, and subsequently by every intelligence apparatus of the 20th and 21st centuries.</w:t>
      </w:r>
    </w:p>
    <w:p>
      <w:pPr>
        <w:pStyle w:val="Heading2"/>
      </w:pPr>
      <w:r>
        <w:t>The Pattern</w:t>
      </w:r>
    </w:p>
    <w:p>
      <w:pPr>
        <w:pStyle w:val="ListNumber"/>
        <w:spacing w:before="20" w:after="20"/>
      </w:pPr>
      <w:r>
        <w:rPr>
          <w:b w:val="0"/>
          <w:i w:val="0"/>
          <w:sz w:val="19"/>
        </w:rPr>
      </w:r>
      <w:r>
        <w:rPr>
          <w:b/>
          <w:i w:val="0"/>
          <w:sz w:val="19"/>
        </w:rPr>
        <w:t>Attract genuine seekers.</w:t>
      </w:r>
      <w:r>
        <w:rPr>
          <w:b w:val="0"/>
          <w:i w:val="0"/>
          <w:sz w:val="19"/>
        </w:rPr>
        <w:t xml:space="preserve"> The operation publishes real, verifiable material — enough to build credibility with researchers who sense the mainstream narrative is incomplete.</w:t>
      </w:r>
    </w:p>
    <w:p>
      <w:pPr>
        <w:pStyle w:val="ListNumber"/>
        <w:spacing w:before="20" w:after="20"/>
      </w:pPr>
      <w:r>
        <w:rPr>
          <w:b w:val="0"/>
          <w:i w:val="0"/>
          <w:sz w:val="19"/>
        </w:rPr>
      </w:r>
      <w:r>
        <w:rPr>
          <w:b/>
          <w:i w:val="0"/>
          <w:sz w:val="19"/>
        </w:rPr>
        <w:t>Establish authority.</w:t>
      </w:r>
      <w:r>
        <w:rPr>
          <w:b w:val="0"/>
          <w:i w:val="0"/>
          <w:sz w:val="19"/>
        </w:rPr>
        <w:t xml:space="preserve"> Key figures become the "go-to" names in their field. They give conferences, publish journals, produce documentaries.</w:t>
      </w:r>
    </w:p>
    <w:p>
      <w:pPr>
        <w:pStyle w:val="ListNumber"/>
        <w:spacing w:before="20" w:after="20"/>
      </w:pPr>
      <w:r>
        <w:rPr>
          <w:b w:val="0"/>
          <w:i w:val="0"/>
          <w:sz w:val="19"/>
        </w:rPr>
      </w:r>
      <w:r>
        <w:rPr>
          <w:b/>
          <w:i w:val="0"/>
          <w:sz w:val="19"/>
        </w:rPr>
        <w:t>Draw a boundary.</w:t>
      </w:r>
      <w:r>
        <w:rPr>
          <w:b w:val="0"/>
          <w:i w:val="0"/>
          <w:sz w:val="19"/>
        </w:rPr>
        <w:t xml:space="preserve"> The operation permits inquiry </w:t>
      </w:r>
      <w:r>
        <w:rPr>
          <w:b w:val="0"/>
          <w:i/>
          <w:sz w:val="19"/>
        </w:rPr>
        <w:t>up to a point</w:t>
      </w:r>
      <w:r>
        <w:rPr>
          <w:b w:val="0"/>
          <w:i w:val="0"/>
          <w:sz w:val="19"/>
        </w:rPr>
        <w:t xml:space="preserve"> — then enforces a hard stop. Certain connections are never made, certain sources are never cited, certain dates are never questioned.</w:t>
      </w:r>
    </w:p>
    <w:p>
      <w:pPr>
        <w:pStyle w:val="ListNumber"/>
        <w:spacing w:before="20" w:after="20"/>
      </w:pPr>
      <w:r>
        <w:rPr>
          <w:b w:val="0"/>
          <w:i w:val="0"/>
          <w:sz w:val="19"/>
        </w:rPr>
      </w:r>
      <w:r>
        <w:rPr>
          <w:b/>
          <w:i w:val="0"/>
          <w:sz w:val="19"/>
        </w:rPr>
        <w:t>Suppress internal dissent.</w:t>
      </w:r>
      <w:r>
        <w:rPr>
          <w:b w:val="0"/>
          <w:i w:val="0"/>
          <w:sz w:val="19"/>
        </w:rPr>
        <w:t xml:space="preserve"> When insiders challenge the boundary, their contributions are delayed, edited, or deleted. Forum threads vanish. Collaborators are quietly excluded.</w:t>
      </w:r>
    </w:p>
    <w:p>
      <w:pPr>
        <w:pStyle w:val="ListNumber"/>
        <w:spacing w:before="20" w:after="20"/>
      </w:pPr>
      <w:r>
        <w:rPr>
          <w:b w:val="0"/>
          <w:i w:val="0"/>
          <w:sz w:val="19"/>
        </w:rPr>
      </w:r>
      <w:r>
        <w:rPr>
          <w:b/>
          <w:i w:val="0"/>
          <w:sz w:val="19"/>
        </w:rPr>
        <w:t>Absorb and neutralise.</w:t>
      </w:r>
      <w:r>
        <w:rPr>
          <w:b w:val="0"/>
          <w:i w:val="0"/>
          <w:sz w:val="19"/>
        </w:rPr>
        <w:t xml:space="preserve"> Genuine researchers who might have discovered the full picture are drawn into the controlled framework and spend years advancing a </w:t>
      </w:r>
      <w:r>
        <w:rPr>
          <w:b/>
          <w:i w:val="0"/>
          <w:sz w:val="19"/>
        </w:rPr>
        <w:t>partial</w:t>
      </w:r>
      <w:r>
        <w:rPr>
          <w:b w:val="0"/>
          <w:i w:val="0"/>
          <w:sz w:val="19"/>
        </w:rPr>
        <w:t xml:space="preserve"> narrative that can never threaten the power structure.</w:t>
      </w:r>
    </w:p>
    <w:p>
      <w:r>
        <w:rPr>
          <w:b w:val="0"/>
          <w:i w:val="0"/>
        </w:rPr>
        <w:t xml:space="preserve">This pattern operates across multiple domains simultaneously: through </w:t>
      </w:r>
      <w:r>
        <w:rPr>
          <w:b/>
          <w:i w:val="0"/>
        </w:rPr>
        <w:t>organisations</w:t>
      </w:r>
      <w:r>
        <w:rPr>
          <w:b w:val="0"/>
          <w:i w:val="0"/>
        </w:rPr>
        <w:t xml:space="preserve"> that manage inquiry (case study below), through </w:t>
      </w:r>
      <w:r>
        <w:rPr>
          <w:b/>
          <w:i w:val="0"/>
        </w:rPr>
        <w:t>genre classification</w:t>
      </w:r>
      <w:r>
        <w:rPr>
          <w:b w:val="0"/>
          <w:i w:val="0"/>
        </w:rPr>
        <w:t xml:space="preserve"> that determines which ideas are taken seriously, and through </w:t>
      </w:r>
      <w:r>
        <w:rPr>
          <w:b/>
          <w:i w:val="0"/>
        </w:rPr>
        <w:t>platform control</w:t>
      </w:r>
      <w:r>
        <w:rPr>
          <w:b w:val="0"/>
          <w:i w:val="0"/>
        </w:rPr>
        <w:t xml:space="preserve"> that determines who can communicate.</w:t>
      </w:r>
    </w:p>
    <w:p>
      <w:pPr>
        <w:pStyle w:val="Heading2"/>
      </w:pPr>
      <w:r>
        <w:t>Genre Reclassification as Managed Disclosure</w:t>
      </w:r>
    </w:p>
    <w:p>
      <w:r>
        <w:rPr>
          <w:b w:val="0"/>
          <w:i w:val="0"/>
        </w:rPr>
        <w:t xml:space="preserve">One of the subtlest forms of managed disclosure is not organisational but </w:t>
      </w:r>
      <w:r>
        <w:rPr>
          <w:b/>
          <w:i w:val="0"/>
        </w:rPr>
        <w:t>categorical</w:t>
      </w:r>
      <w:r>
        <w:rPr>
          <w:b w:val="0"/>
          <w:i w:val="0"/>
        </w:rPr>
        <w:t xml:space="preserve">: you do not suppress a body of knowledge by banning it — you reclassify it into a genre that signals </w:t>
      </w:r>
      <w:r>
        <w:rPr>
          <w:b w:val="0"/>
          <w:i/>
        </w:rPr>
        <w:t>not to be taken seriously</w:t>
      </w:r>
      <w:r>
        <w:rPr>
          <w:b w:val="0"/>
          <w:i w:val="0"/>
        </w:rPr>
        <w:t>.</w:t>
      </w:r>
    </w:p>
    <w:p>
      <w:r>
        <w:rPr>
          <w:b w:val="0"/>
          <w:i w:val="0"/>
        </w:rPr>
        <w:t xml:space="preserve">"Science fiction" did not exist until Gernsback's </w:t>
      </w:r>
      <w:r>
        <w:rPr>
          <w:b w:val="0"/>
          <w:i/>
        </w:rPr>
        <w:t>Amazing Stories</w:t>
      </w:r>
      <w:r>
        <w:rPr>
          <w:b w:val="0"/>
          <w:i w:val="0"/>
        </w:rPr>
        <w:t xml:space="preserve"> (1926); "sci-fi" not until 1954. Pre-Gernsback works (Greg, Lasswitz, Wells) were general fiction. Mainstream publishers entered SF in 1951.</w:t>
      </w:r>
    </w:p>
    <w:p>
      <w:r>
        <w:rPr>
          <w:b w:val="0"/>
          <w:i w:val="0"/>
        </w:rPr>
      </w:r>
      <w:r>
        <w:rPr>
          <w:b/>
          <w:i w:val="0"/>
        </w:rPr>
        <w:t>Author's thesis:</w:t>
      </w:r>
      <w:r>
        <w:rPr>
          <w:b w:val="0"/>
          <w:i w:val="0"/>
        </w:rPr>
        <w:t xml:space="preserve"> The creation of a genre called "science fiction" performed a retroactive reclassification of existing literature. Works written and read as speculative accounts of real phenomena — planetary observations, technological possibilities, cosmological models — were re-shelved as fantasies about imaginary ones. The books did not change. The category changed around them. Once the label existed, it carried a signal: </w:t>
      </w:r>
      <w:r>
        <w:rPr>
          <w:b w:val="0"/>
          <w:i/>
        </w:rPr>
        <w:t>this is entertainment, not evidence</w:t>
      </w:r>
      <w:r>
        <w:rPr>
          <w:b w:val="0"/>
          <w:i w:val="0"/>
        </w:rPr>
        <w:t>. Any researcher who later cited these works as containing real knowledge was told they were confusing fiction with reality — the precise reversal of the original situation, where fiction reflected what was understood to be reality.</w:t>
      </w:r>
    </w:p>
    <w:p>
      <w:r>
        <w:rPr>
          <w:b w:val="0"/>
          <w:i w:val="0"/>
        </w:rPr>
        <w:t xml:space="preserve">This mechanism is most visible in the case of </w:t>
      </w:r>
      <w:hyperlink r:id="rId62">
        <w:r>
          <w:rPr>
            <w:b w:val="0"/>
            <w:i w:val="0"/>
            <w:color w:val="B8860B"/>
          </w:rPr>
          <w:t>Mars literature</w:t>
        </w:r>
      </w:hyperlink>
      <w:r>
        <w:rPr>
          <w:b w:val="0"/>
          <w:i w:val="0"/>
        </w:rPr>
        <w:t>, where 300+ years of consistent testimony — from telescopic observation through literary encoding to pulp preservation — was buried under a genre label that converted all of it into entertainment. But it applies equally to any domain where suppressed knowledge was published as fiction before the genre existed to quarantine it.</w:t>
      </w:r>
    </w:p>
    <w:p>
      <w:pPr>
        <w:pStyle w:val="Heading2"/>
      </w:pPr>
      <w:r>
        <w:t>Case Study: The Thunderbolts Project</w:t>
      </w:r>
    </w:p>
    <w:p>
      <w:r>
        <w:rPr>
          <w:b w:val="0"/>
          <w:i w:val="0"/>
        </w:rPr>
        <w:t xml:space="preserve">The Thunderbolts Project (thunderbolts.info), founded by David Talbott and Wallace Thornhill, is the most prominent organisation promoting Electric Universe theory and </w:t>
      </w:r>
      <w:hyperlink r:id="rId241">
        <w:r>
          <w:rPr>
            <w:b w:val="0"/>
            <w:i w:val="0"/>
            <w:color w:val="B8860B"/>
          </w:rPr>
          <w:t>Saturnian cosmology</w:t>
        </w:r>
      </w:hyperlink>
      <w:r>
        <w:rPr>
          <w:b w:val="0"/>
          <w:i w:val="0"/>
        </w:rPr>
        <w:t>. For many independent researchers, it is the gateway into catastrophist studies. It is also, in the assessment of multiple researchers including Jno Cook, a textbook case of managed disclosure.</w:t>
      </w:r>
    </w:p>
    <w:p>
      <w:r>
        <w:rPr>
          <w:b w:val="0"/>
          <w:i w:val="0"/>
        </w:rPr>
        <w:t xml:space="preserve">The Thunderbolts group correctly identifies Saturn as Earth's former primary celestial body, the Polar Configuration, and plasma physics. But they systematically exclude the most dangerous connections: they </w:t>
      </w:r>
      <w:r>
        <w:rPr>
          <w:b/>
          <w:i w:val="0"/>
        </w:rPr>
        <w:t>stop at 3147 BC</w:t>
      </w:r>
      <w:r>
        <w:rPr>
          <w:b w:val="0"/>
          <w:i w:val="0"/>
        </w:rPr>
        <w:t xml:space="preserve"> (avoiding links to Biblical chronology and Fomenko's New Chronology), </w:t>
      </w:r>
      <w:r>
        <w:rPr>
          <w:b/>
          <w:i w:val="0"/>
        </w:rPr>
        <w:t>avoid the Bible entirely</w:t>
      </w:r>
      <w:r>
        <w:rPr>
          <w:b w:val="0"/>
          <w:i w:val="0"/>
        </w:rPr>
        <w:t xml:space="preserve">, misidentify key planets in the Polar Configuration, and </w:t>
      </w:r>
      <w:r>
        <w:rPr>
          <w:b/>
          <w:i w:val="0"/>
        </w:rPr>
        <w:t>delete forum challenges</w:t>
      </w:r>
      <w:r>
        <w:rPr>
          <w:b w:val="0"/>
          <w:i w:val="0"/>
        </w:rPr>
        <w:t xml:space="preserve"> when critics approach the boundary. Velikovsky himself warned Talbott in a 1975 letter that he was removing essential elements.</w:t>
      </w:r>
    </w:p>
    <w:p>
      <w:r>
        <w:rPr>
          <w:b w:val="0"/>
          <w:i w:val="0"/>
        </w:rPr>
        <w:t xml:space="preserve">For the full evidentiary record, see </w:t>
      </w:r>
      <w:hyperlink r:id="rId14">
        <w:r>
          <w:rPr>
            <w:b w:val="0"/>
            <w:i w:val="0"/>
            <w:color w:val="B8860B"/>
          </w:rPr>
          <w:t>The Thunderbolts Project: A Case Study in Managed Disclosure</w:t>
        </w:r>
      </w:hyperlink>
      <w:r>
        <w:rPr>
          <w:b w:val="0"/>
          <w:i w:val="0"/>
        </w:rPr>
        <w:t>.</w:t>
      </w:r>
    </w:p>
    <w:p>
      <w:pPr>
        <w:pStyle w:val="Heading2"/>
      </w:pPr>
      <w:r>
        <w:t>Personal Experiences</w:t>
      </w:r>
    </w:p>
    <w:p>
      <w:r>
        <w:rPr>
          <w:b w:val="0"/>
          <w:i w:val="0"/>
        </w:rPr>
        <w:t>Pattern at individual level: operatives approach with insider knowledge, build trust, then demand removal of topics or connections; on refusal, shift to ridicule. Platform monopolies enforce via removal — the author's Discord ban illustrates.</w:t>
      </w:r>
    </w:p>
    <w:p>
      <w:r>
        <w:rPr>
          <w:b w:val="0"/>
          <w:i w:val="0"/>
        </w:rPr>
      </w:r>
      <w:r>
        <w:rPr>
          <w:b/>
          <w:i w:val="0"/>
        </w:rPr>
        <w:t>The broader pattern:</w:t>
      </w:r>
      <w:r>
        <w:rPr>
          <w:b w:val="0"/>
          <w:i w:val="0"/>
        </w:rPr>
        <w:t xml:space="preserve"> Roman tolerance of cults, Medieval Church absorption of pagan festivals, Okhrana "police socialism" (1890s–1917), </w:t>
      </w:r>
      <w:hyperlink r:id="rId49">
        <w:r>
          <w:rPr>
            <w:b w:val="0"/>
            <w:i w:val="0"/>
            <w:color w:val="B8860B"/>
          </w:rPr>
          <w:t>Mockingbird</w:t>
        </w:r>
      </w:hyperlink>
      <w:r>
        <w:rPr>
          <w:b w:val="0"/>
          <w:i w:val="0"/>
        </w:rPr>
        <w:t xml:space="preserve">, genre reclassification (1926–50s), </w:t>
      </w:r>
      <w:hyperlink r:id="rId60">
        <w:r>
          <w:rPr>
            <w:b w:val="0"/>
            <w:i w:val="0"/>
            <w:color w:val="B8860B"/>
          </w:rPr>
          <w:t>false flags</w:t>
        </w:r>
      </w:hyperlink>
      <w:r>
        <w:rPr>
          <w:b w:val="0"/>
          <w:i w:val="0"/>
        </w:rPr>
        <w:t xml:space="preserve">. You suppress by surrounding information with a controlled version of itself. For full timeline: </w:t>
      </w:r>
      <w:hyperlink r:id="rId14">
        <w:r>
          <w:rPr>
            <w:b w:val="0"/>
            <w:i w:val="0"/>
            <w:color w:val="B8860B"/>
          </w:rPr>
          <w:t>Thunderbolts Case Study</w:t>
        </w:r>
      </w:hyperlink>
      <w:r>
        <w:rPr>
          <w:b w:val="0"/>
          <w:i w:val="0"/>
        </w:rPr>
        <w:t>.</w:t>
      </w:r>
    </w:p>
    <w:p>
      <w:pPr>
        <w:pStyle w:val="Heading2"/>
      </w:pPr>
      <w:r>
        <w:t>Cross-References</w:t>
      </w:r>
    </w:p>
    <w:p>
      <w:pPr>
        <w:pStyle w:val="ListBullet"/>
        <w:spacing w:before="20" w:after="20"/>
      </w:pPr>
      <w:hyperlink r:id="rId62">
        <w:r>
          <w:rPr>
            <w:b w:val="0"/>
            <w:i w:val="0"/>
            <w:color w:val="B8860B"/>
            <w:sz w:val="19"/>
          </w:rPr>
          <w:t>Mars Literature as Reclassified Nonfiction</w:t>
        </w:r>
      </w:hyperlink>
      <w:r>
        <w:rPr>
          <w:b w:val="0"/>
          <w:i w:val="0"/>
          <w:sz w:val="19"/>
        </w:rPr>
        <w:t xml:space="preserve"> — the primary case study in genre reclassification</w:t>
      </w:r>
    </w:p>
    <w:p>
      <w:pPr>
        <w:pStyle w:val="ListBullet"/>
        <w:spacing w:before="20" w:after="20"/>
      </w:pPr>
      <w:hyperlink r:id="rId46">
        <w:r>
          <w:rPr>
            <w:b w:val="0"/>
            <w:i w:val="0"/>
            <w:color w:val="B8860B"/>
            <w:sz w:val="19"/>
          </w:rPr>
          <w:t>20th Century Predictive Programming: Literature</w:t>
        </w:r>
      </w:hyperlink>
      <w:r>
        <w:rPr>
          <w:b w:val="0"/>
          <w:i w:val="0"/>
          <w:sz w:val="19"/>
        </w:rPr>
        <w:t xml:space="preserve"> — encoding real events as fiction</w:t>
      </w:r>
    </w:p>
    <w:p>
      <w:pPr>
        <w:pStyle w:val="ListBullet"/>
        <w:spacing w:before="20" w:after="20"/>
      </w:pPr>
      <w:hyperlink r:id="rId80">
        <w:r>
          <w:rPr>
            <w:b w:val="0"/>
            <w:i w:val="0"/>
            <w:color w:val="B8860B"/>
            <w:sz w:val="19"/>
          </w:rPr>
          <w:t>Censorship and Book Burning</w:t>
        </w:r>
      </w:hyperlink>
      <w:r>
        <w:rPr>
          <w:b w:val="0"/>
          <w:i w:val="0"/>
          <w:sz w:val="19"/>
        </w:rPr>
        <w:t xml:space="preserve"> — the direct suppression counterpart</w:t>
      </w:r>
    </w:p>
    <w:p>
      <w:pPr>
        <w:pStyle w:val="ListBullet"/>
        <w:spacing w:before="20" w:after="20"/>
      </w:pPr>
      <w:hyperlink r:id="rId49">
        <w:r>
          <w:rPr>
            <w:b w:val="0"/>
            <w:i w:val="0"/>
            <w:color w:val="B8860B"/>
            <w:sz w:val="19"/>
          </w:rPr>
          <w:t>Operation Mockingbird</w:t>
        </w:r>
      </w:hyperlink>
      <w:r>
        <w:rPr>
          <w:b w:val="0"/>
          <w:i w:val="0"/>
          <w:sz w:val="19"/>
        </w:rPr>
        <w:t xml:space="preserve"> — the institutional framework</w:t>
      </w:r>
    </w:p>
    <w:p>
      <w:pPr>
        <w:pStyle w:val="ListBullet"/>
        <w:spacing w:before="20" w:after="20"/>
      </w:pPr>
      <w:hyperlink r:id="rId14">
        <w:r>
          <w:rPr>
            <w:b w:val="0"/>
            <w:i w:val="0"/>
            <w:color w:val="B8860B"/>
            <w:sz w:val="19"/>
          </w:rPr>
          <w:t>The Thunderbolts Project</w:t>
        </w:r>
      </w:hyperlink>
      <w:r>
        <w:rPr>
          <w:b w:val="0"/>
          <w:i w:val="0"/>
          <w:sz w:val="19"/>
        </w:rPr>
        <w:t xml:space="preserve"> — full managed-disclosure case study</w:t>
      </w:r>
    </w:p>
    <w:p>
      <w:pPr>
        <w:pStyle w:val="Heading2"/>
      </w:pPr>
      <w:r>
        <w:t>Sources</w:t>
      </w:r>
    </w:p>
    <w:p>
      <w:pPr>
        <w:pStyle w:val="ListBullet"/>
        <w:spacing w:before="20" w:after="20"/>
      </w:pPr>
      <w:r>
        <w:rPr>
          <w:b w:val="0"/>
          <w:i w:val="0"/>
          <w:sz w:val="19"/>
        </w:rPr>
        <w:t xml:space="preserve">Jno Cook, </w:t>
      </w:r>
      <w:r>
        <w:rPr>
          <w:b w:val="0"/>
          <w:i/>
          <w:sz w:val="19"/>
        </w:rPr>
        <w:t>Recovering the Lost World: A Saturnian Cosmology</w:t>
      </w:r>
      <w:r>
        <w:rPr>
          <w:b w:val="0"/>
          <w:i w:val="0"/>
          <w:sz w:val="19"/>
        </w:rPr>
        <w:t xml:space="preserve"> (2001–2026), saturniancosmology.org</w:t>
      </w:r>
    </w:p>
    <w:p>
      <w:pPr>
        <w:pStyle w:val="ListBullet"/>
        <w:spacing w:before="20" w:after="20"/>
      </w:pPr>
      <w:r>
        <w:rPr>
          <w:b w:val="0"/>
          <w:i w:val="0"/>
          <w:sz w:val="19"/>
        </w:rPr>
        <w:t>C. Leroy Ellenberger, documented by James J. Lippard, "David N. Talbott: Hoist, Clueless &amp; 'Nihilated," talk.origins (1994)</w:t>
      </w:r>
    </w:p>
    <w:p>
      <w:pPr>
        <w:pStyle w:val="ListBullet"/>
        <w:spacing w:before="20" w:after="20"/>
      </w:pPr>
      <w:r>
        <w:rPr>
          <w:b w:val="0"/>
          <w:i w:val="0"/>
          <w:sz w:val="19"/>
        </w:rPr>
        <w:t>Immanuel Velikovsky, letter to David Talbott, January 29, 1975 — Velikovsky Archive (varchive.org/cor/1975.htm)</w:t>
      </w:r>
    </w:p>
    <w:p>
      <w:pPr>
        <w:pStyle w:val="ListBullet"/>
        <w:spacing w:before="20" w:after="20"/>
      </w:pPr>
      <w:r>
        <w:rPr>
          <w:b w:val="0"/>
          <w:i w:val="0"/>
          <w:sz w:val="19"/>
        </w:rPr>
        <w:t xml:space="preserve">Lenin, </w:t>
      </w:r>
      <w:r>
        <w:rPr>
          <w:b w:val="0"/>
          <w:i/>
          <w:sz w:val="19"/>
        </w:rPr>
        <w:t>What Is to Be Done?</w:t>
      </w:r>
      <w:r>
        <w:rPr>
          <w:b w:val="0"/>
          <w:i w:val="0"/>
          <w:sz w:val="19"/>
        </w:rPr>
        <w:t xml:space="preserve"> (1902), ch. 4, re: Zubatov and police socialism</w:t>
      </w:r>
    </w:p>
    <w:p/>
    <w:p>
      <w:pPr>
        <w:sectPr>
          <w:headerReference w:type="default" r:id="rId239"/>
          <w:footerReference w:type="default" r:id="rId240"/>
          <w:pgSz w:w="8640" w:h="12960"/>
          <w:pgMar w:top="1020" w:right="1134" w:bottom="1134" w:left="1134" w:header="720" w:footer="720" w:gutter="0"/>
          <w:cols w:space="720"/>
          <w:titlePg/>
          <w:docGrid w:linePitch="360"/>
        </w:sectPr>
      </w:pPr>
    </w:p>
    <w:p>
      <w:pPr>
        <w:pStyle w:val="Heading2"/>
      </w:pPr>
      <w:r>
        <w:rPr>
          <w:b/>
        </w:rPr>
        <w:t>Chapter 21: Historical Antibodies: Pattern Analysis (Extended)</w:t>
      </w:r>
    </w:p>
    <w:p>
      <w:r>
        <w:rPr>
          <w:b w:val="0"/>
          <w:i w:val="0"/>
        </w:rPr>
        <w:t xml:space="preserve">Antibodies = independent agents who preserved suppressed knowledge or exposed covert operations through personal courage and ingenuity. Not </w:t>
      </w:r>
      <w:hyperlink r:id="rId69">
        <w:r>
          <w:rPr>
            <w:b w:val="0"/>
            <w:i w:val="0"/>
            <w:color w:val="B8860B"/>
          </w:rPr>
          <w:t>controlled opposition</w:t>
        </w:r>
      </w:hyperlink>
      <w:r>
        <w:rPr>
          <w:b w:val="0"/>
          <w:i w:val="0"/>
        </w:rPr>
        <w:t>. The Pyramidal Empire has created its own antibodies — individuals who acted before the machinery caught up.</w:t>
      </w:r>
    </w:p>
    <w:p>
      <w:r>
        <w:rPr>
          <w:b w:val="0"/>
          <w:i w:val="0"/>
        </w:rPr>
        <w:t>There may be millions — or billions — of such people across history. Priority number one for the Deep State has always been to ensure that nobody finds out when such behavior occurs, because resistance is contagious. If one person stands and others see it, the behavior spreads. So we don't know who most of them are. Their names were never recorded, or the records were destroyed, or the stories were rewritten to make them villains. But I believe these people represent the vast majority of humans — on Earth and, if the Saturnian cosmology is correct, on other planets too. The few profiled here are simply the ones whose shields held long enough for the evidence to survive.</w:t>
      </w:r>
    </w:p>
    <w:p>
      <w:r>
        <w:rPr>
          <w:b w:val="0"/>
          <w:i w:val="0"/>
        </w:rPr>
        <w:t xml:space="preserve">The defining characteristic of an antibody is </w:t>
      </w:r>
      <w:r>
        <w:rPr>
          <w:b/>
          <w:i w:val="0"/>
        </w:rPr>
        <w:t>asymmetry</w:t>
      </w:r>
      <w:r>
        <w:rPr>
          <w:b w:val="0"/>
          <w:i w:val="0"/>
        </w:rPr>
        <w:t xml:space="preserve">: a single person, acting alone, permanently alters the information landscape in ways that billion-dollar institutions cannot reverse. The controlled-opposition apparatus (see </w:t>
      </w:r>
      <w:hyperlink r:id="rId69">
        <w:r>
          <w:rPr>
            <w:b w:val="0"/>
            <w:i w:val="0"/>
            <w:color w:val="B8860B"/>
          </w:rPr>
          <w:t>Managed Disclosure</w:t>
        </w:r>
      </w:hyperlink>
      <w:r>
        <w:rPr>
          <w:b w:val="0"/>
          <w:i w:val="0"/>
        </w:rPr>
        <w:t>) exists precisely because antibodies keep appearing and cannot be predicted.</w:t>
      </w:r>
    </w:p>
    <w:p>
      <w:pPr>
        <w:pStyle w:val="Heading2"/>
      </w:pPr>
      <w:r>
        <w:t>The Antibodies</w:t>
      </w:r>
    </w:p>
    <w:p>
      <w:r>
        <w:rPr>
          <w:b w:val="0"/>
          <w:i w:val="0"/>
        </w:rPr>
      </w:r>
      <w:r>
        <w:rPr>
          <w:b/>
          <w:i w:val="0"/>
        </w:rPr>
        <w:t>C.S. Lewis</w:t>
      </w:r>
      <w:r>
        <w:rPr>
          <w:b w:val="0"/>
          <w:i w:val="0"/>
        </w:rPr>
        <w:t xml:space="preserve"> — Christian apologist who encoded the pre-Copernican planetary cosmology (each planet governed by an Intelligence) in </w:t>
      </w:r>
      <w:r>
        <w:rPr>
          <w:b w:val="0"/>
          <w:i/>
        </w:rPr>
        <w:t>The Discarded Image</w:t>
      </w:r>
      <w:r>
        <w:rPr>
          <w:b w:val="0"/>
          <w:i w:val="0"/>
        </w:rPr>
        <w:t xml:space="preserve">, </w:t>
      </w:r>
      <w:r>
        <w:rPr>
          <w:b w:val="0"/>
          <w:i/>
        </w:rPr>
        <w:t>Space Trilogy</w:t>
      </w:r>
      <w:r>
        <w:rPr>
          <w:b w:val="0"/>
          <w:i w:val="0"/>
        </w:rPr>
        <w:t xml:space="preserve">, and </w:t>
      </w:r>
      <w:r>
        <w:rPr>
          <w:b w:val="0"/>
          <w:i/>
        </w:rPr>
        <w:t>Narnia</w:t>
      </w:r>
      <w:r>
        <w:rPr>
          <w:b w:val="0"/>
          <w:i w:val="0"/>
        </w:rPr>
        <w:t xml:space="preserve"> (each book keyed to a planet per Ward's </w:t>
      </w:r>
      <w:r>
        <w:rPr>
          <w:b w:val="0"/>
          <w:i/>
        </w:rPr>
        <w:t>Planet Narnia</w:t>
      </w:r>
      <w:r>
        <w:rPr>
          <w:b w:val="0"/>
          <w:i w:val="0"/>
        </w:rPr>
        <w:t>). Shield: beloved children's author.</w:t>
      </w:r>
    </w:p>
    <w:p>
      <w:r>
        <w:rPr>
          <w:b w:val="0"/>
          <w:i w:val="0"/>
        </w:rPr>
      </w:r>
      <w:r>
        <w:rPr>
          <w:b/>
          <w:i w:val="0"/>
        </w:rPr>
        <w:t>Daniel Ellsberg</w:t>
      </w:r>
      <w:r>
        <w:rPr>
          <w:b w:val="0"/>
          <w:i w:val="0"/>
        </w:rPr>
        <w:t xml:space="preserve"> — Pentagon/RAND analyst who knew the Gulf of Tonkin second attack never happened; leaked the Pentagon Papers (1971); spent 52 years exposing government lies. Shield: First Amendment.</w:t>
      </w:r>
    </w:p>
    <w:p>
      <w:r>
        <w:rPr>
          <w:b w:val="0"/>
          <w:i w:val="0"/>
        </w:rPr>
      </w:r>
      <w:r>
        <w:rPr>
          <w:b/>
          <w:i w:val="0"/>
        </w:rPr>
        <w:t>Giordano Bruno</w:t>
      </w:r>
      <w:r>
        <w:rPr>
          <w:b w:val="0"/>
          <w:i w:val="0"/>
        </w:rPr>
        <w:t xml:space="preserve"> — Proposed infinite inhabited worlds, stars as distant suns; burned at the stake in Rome (1600) for refusing to recant. No shield.</w:t>
      </w:r>
    </w:p>
    <w:p>
      <w:r>
        <w:rPr>
          <w:b w:val="0"/>
          <w:i w:val="0"/>
        </w:rPr>
      </w:r>
      <w:r>
        <w:rPr>
          <w:b/>
          <w:i w:val="0"/>
        </w:rPr>
        <w:t>Smedley Butler</w:t>
      </w:r>
      <w:r>
        <w:rPr>
          <w:b w:val="0"/>
          <w:i w:val="0"/>
        </w:rPr>
        <w:t xml:space="preserve"> — Most decorated Marine; testified to the Business Plot (Wall Street fascist coup against FDR); published </w:t>
      </w:r>
      <w:r>
        <w:rPr>
          <w:b w:val="0"/>
          <w:i/>
        </w:rPr>
        <w:t>War Is a Racket</w:t>
      </w:r>
      <w:r>
        <w:rPr>
          <w:b w:val="0"/>
          <w:i w:val="0"/>
        </w:rPr>
        <w:t xml:space="preserve"> (1935). Shield: service record.</w:t>
      </w:r>
    </w:p>
    <w:p>
      <w:r>
        <w:rPr>
          <w:b w:val="0"/>
          <w:i w:val="0"/>
        </w:rPr>
      </w:r>
      <w:r>
        <w:rPr>
          <w:b/>
          <w:i w:val="0"/>
        </w:rPr>
        <w:t>Nikola Tesla</w:t>
      </w:r>
      <w:r>
        <w:rPr>
          <w:b w:val="0"/>
          <w:i w:val="0"/>
        </w:rPr>
        <w:t xml:space="preserve"> — Wardenclyffe Tower for free wireless power; Morgan withdrew funding ("where do we put the meter?"); papers seized at death. Shield: patents.</w:t>
      </w:r>
    </w:p>
    <w:p>
      <w:r>
        <w:rPr>
          <w:b w:val="0"/>
          <w:i w:val="0"/>
        </w:rPr>
      </w:r>
      <w:r>
        <w:rPr>
          <w:b/>
          <w:i w:val="0"/>
        </w:rPr>
        <w:t>Immanuel Velikovsky</w:t>
      </w:r>
      <w:r>
        <w:rPr>
          <w:b w:val="0"/>
          <w:i w:val="0"/>
        </w:rPr>
        <w:t xml:space="preserve"> — </w:t>
      </w:r>
      <w:r>
        <w:rPr>
          <w:b w:val="0"/>
          <w:i/>
        </w:rPr>
        <w:t>Worlds in Collision</w:t>
      </w:r>
      <w:r>
        <w:rPr>
          <w:b w:val="0"/>
          <w:i w:val="0"/>
        </w:rPr>
        <w:t xml:space="preserve"> (1950); Harvard-organized publisher boycott; commercial success outran suppression. Shield: bestseller.</w:t>
      </w:r>
    </w:p>
    <w:p>
      <w:r>
        <w:rPr>
          <w:b w:val="0"/>
          <w:i w:val="0"/>
        </w:rPr>
      </w:r>
      <w:r>
        <w:rPr>
          <w:b/>
          <w:i w:val="0"/>
        </w:rPr>
        <w:t>Mordechai Vanunu</w:t>
      </w:r>
      <w:r>
        <w:rPr>
          <w:b w:val="0"/>
          <w:i w:val="0"/>
        </w:rPr>
        <w:t xml:space="preserve"> — Exposed Israel's secret nuclear program (1986); kidnapped, 18 years prison, 11 in solitary. No shield.</w:t>
      </w:r>
    </w:p>
    <w:p>
      <w:r>
        <w:rPr>
          <w:b w:val="0"/>
          <w:i w:val="0"/>
        </w:rPr>
      </w:r>
      <w:r>
        <w:rPr>
          <w:b/>
          <w:i w:val="0"/>
        </w:rPr>
        <w:t>Gary Webb</w:t>
      </w:r>
      <w:r>
        <w:rPr>
          <w:b w:val="0"/>
          <w:i w:val="0"/>
        </w:rPr>
        <w:t xml:space="preserve"> — "Dark Alliance" (1996) on CIA–Contra–cocaine pipeline; career destroyed; found dead, two gunshots to head, ruled suicide. Shield: press credentials.</w:t>
      </w:r>
    </w:p>
    <w:p>
      <w:r>
        <w:rPr>
          <w:b w:val="0"/>
          <w:i w:val="0"/>
        </w:rPr>
      </w:r>
      <w:r>
        <w:rPr>
          <w:b/>
          <w:i w:val="0"/>
        </w:rPr>
        <w:t>Galen Windsor</w:t>
      </w:r>
      <w:r>
        <w:rPr>
          <w:b w:val="0"/>
          <w:i w:val="0"/>
        </w:rPr>
        <w:t xml:space="preserve"> — Hanford nuclear handler who ate radioactive material on camera to demonstrate the manufactured "nuclear waste crisis"; lived to 82. Shield: fuel-handler license.</w:t>
      </w:r>
    </w:p>
    <w:p>
      <w:r>
        <w:rPr>
          <w:b w:val="0"/>
          <w:i w:val="0"/>
        </w:rPr>
      </w:r>
      <w:r>
        <w:rPr>
          <w:b/>
          <w:i w:val="0"/>
        </w:rPr>
        <w:t>William Cooper</w:t>
      </w:r>
      <w:r>
        <w:rPr>
          <w:b w:val="0"/>
          <w:i w:val="0"/>
        </w:rPr>
        <w:t xml:space="preserve"> — Naval Intelligence; predicted 9/11 and bin Laden blame (June 2001); shot dead by sheriff's deputies (Nov 2001). Shield: military credentials.</w:t>
      </w:r>
    </w:p>
    <w:p>
      <w:r>
        <w:rPr>
          <w:b w:val="0"/>
          <w:i w:val="0"/>
        </w:rPr>
        <w:t xml:space="preserve">For the full evidentiary record, see </w:t>
      </w:r>
      <w:hyperlink r:id="rId17">
        <w:r>
          <w:rPr>
            <w:b w:val="0"/>
            <w:i w:val="0"/>
            <w:color w:val="B8860B"/>
          </w:rPr>
          <w:t>Historical Antibodies: Detailed Profiles</w:t>
        </w:r>
      </w:hyperlink>
      <w:r>
        <w:rPr>
          <w:b w:val="0"/>
          <w:i w:val="0"/>
        </w:rPr>
        <w:t>.</w:t>
      </w:r>
    </w:p>
    <w:p>
      <w:r>
        <w:rPr>
          <w:b w:val="0"/>
          <w:i w:val="0"/>
        </w:rPr>
      </w:r>
      <w:r>
        <w:rPr>
          <w:b/>
          <w:i w:val="0"/>
        </w:rPr>
        <w:t>Tolkien note.</w:t>
      </w:r>
      <w:r>
        <w:rPr>
          <w:b w:val="0"/>
          <w:i w:val="0"/>
        </w:rPr>
        <w:t xml:space="preserve"> Lewis's close friend J.R.R. Tolkien is often placed in the same category; this timeline covers him in </w:t>
      </w:r>
      <w:hyperlink r:id="rId46">
        <w:r>
          <w:rPr>
            <w:b w:val="0"/>
            <w:i w:val="0"/>
            <w:color w:val="B8860B"/>
          </w:rPr>
          <w:t>Predictive Programming: Literature</w:t>
        </w:r>
      </w:hyperlink>
      <w:r>
        <w:rPr>
          <w:b w:val="0"/>
          <w:i w:val="0"/>
        </w:rPr>
        <w:t xml:space="preserve">. Tolkien may have been </w:t>
      </w:r>
      <w:r>
        <w:rPr>
          <w:b/>
          <w:i w:val="0"/>
        </w:rPr>
        <w:t>controlled opposition</w:t>
      </w:r>
      <w:r>
        <w:rPr>
          <w:b w:val="0"/>
          <w:i w:val="0"/>
        </w:rPr>
        <w:t xml:space="preserve"> — the scale of the Elvish languages strains belief as one man's work; Fomenko argues the same for Shakespeare (collective workshops). Until evidence emerges, Tolkien remains in the predictive-programming article.</w:t>
      </w:r>
    </w:p>
    <w:p>
      <w:pPr>
        <w:pStyle w:val="Heading2"/>
      </w:pPr>
      <w:r>
        <w:t>The Pattern</w:t>
      </w:r>
    </w:p>
    <w:p>
      <w:r>
        <w:rPr>
          <w:b w:val="0"/>
          <w:i w:val="0"/>
        </w:rPr>
        <w:t>The more direct the exposure, the more severe the response. Lewis survived because his encoding was invisible. Bruno and Cooper died because they spoke plainly. The Pyramidal Empire can manage controlled opposition; it cannot predict when someone inside will decide the truth matters more than career, freedom, or life.</w:t>
      </w:r>
    </w:p>
    <w:p>
      <w:pPr>
        <w:pStyle w:val="Heading2"/>
      </w:pPr>
      <w:r>
        <w:t>Cross-References</w:t>
      </w:r>
    </w:p>
    <w:p>
      <w:pPr>
        <w:pStyle w:val="ListBullet"/>
        <w:spacing w:before="20" w:after="20"/>
      </w:pPr>
      <w:hyperlink r:id="rId69">
        <w:r>
          <w:rPr>
            <w:b w:val="0"/>
            <w:i w:val="0"/>
            <w:color w:val="B8860B"/>
            <w:sz w:val="19"/>
          </w:rPr>
          <w:t>Controlled Opposition: Managed Disclosure</w:t>
        </w:r>
      </w:hyperlink>
      <w:r>
        <w:rPr>
          <w:b w:val="0"/>
          <w:i w:val="0"/>
          <w:sz w:val="19"/>
        </w:rPr>
        <w:t xml:space="preserve"> — the system that antibodies circumvent</w:t>
      </w:r>
    </w:p>
    <w:p>
      <w:pPr>
        <w:pStyle w:val="ListBullet"/>
        <w:spacing w:before="20" w:after="20"/>
      </w:pPr>
      <w:hyperlink r:id="rId46">
        <w:r>
          <w:rPr>
            <w:b w:val="0"/>
            <w:i w:val="0"/>
            <w:color w:val="B8860B"/>
            <w:sz w:val="19"/>
          </w:rPr>
          <w:t>20th Century Predictive Programming: Literature</w:t>
        </w:r>
      </w:hyperlink>
      <w:r>
        <w:rPr>
          <w:b w:val="0"/>
          <w:i w:val="0"/>
          <w:sz w:val="19"/>
        </w:rPr>
        <w:t xml:space="preserve"> — the institutional context Lewis and possibly Tolkien operated within</w:t>
      </w:r>
    </w:p>
    <w:p>
      <w:pPr>
        <w:pStyle w:val="ListBullet"/>
        <w:spacing w:before="20" w:after="20"/>
      </w:pPr>
      <w:hyperlink r:id="rId244">
        <w:r>
          <w:rPr>
            <w:b w:val="0"/>
            <w:i w:val="0"/>
            <w:color w:val="B8860B"/>
            <w:sz w:val="19"/>
          </w:rPr>
          <w:t>Shakespeare Encodes the Horde</w:t>
        </w:r>
      </w:hyperlink>
      <w:r>
        <w:rPr>
          <w:b w:val="0"/>
          <w:i w:val="0"/>
          <w:sz w:val="19"/>
        </w:rPr>
        <w:t xml:space="preserve"> — Fomenko's collective-pseudonym thesis, the structural parallel for the Tolkien question</w:t>
      </w:r>
    </w:p>
    <w:p>
      <w:pPr>
        <w:pStyle w:val="ListBullet"/>
        <w:spacing w:before="20" w:after="20"/>
      </w:pPr>
      <w:hyperlink r:id="rId80">
        <w:r>
          <w:rPr>
            <w:b w:val="0"/>
            <w:i w:val="0"/>
            <w:color w:val="B8860B"/>
            <w:sz w:val="19"/>
          </w:rPr>
          <w:t>Censorship and Book Burning</w:t>
        </w:r>
      </w:hyperlink>
      <w:r>
        <w:rPr>
          <w:b w:val="0"/>
          <w:i w:val="0"/>
          <w:sz w:val="19"/>
        </w:rPr>
        <w:t xml:space="preserve"> — what antibodies act against</w:t>
      </w:r>
    </w:p>
    <w:p>
      <w:pPr>
        <w:pStyle w:val="ListBullet"/>
        <w:spacing w:before="20" w:after="20"/>
      </w:pPr>
      <w:hyperlink r:id="rId60">
        <w:r>
          <w:rPr>
            <w:b w:val="0"/>
            <w:i w:val="0"/>
            <w:color w:val="B8860B"/>
            <w:sz w:val="19"/>
          </w:rPr>
          <w:t>False Flags</w:t>
        </w:r>
      </w:hyperlink>
      <w:r>
        <w:rPr>
          <w:b w:val="0"/>
          <w:i w:val="0"/>
          <w:sz w:val="19"/>
        </w:rPr>
        <w:t xml:space="preserve"> — manufactured events that antibodies expose</w:t>
      </w:r>
    </w:p>
    <w:p>
      <w:pPr>
        <w:pStyle w:val="ListBullet"/>
        <w:spacing w:before="20" w:after="20"/>
      </w:pPr>
      <w:hyperlink r:id="rId17">
        <w:r>
          <w:rPr>
            <w:b w:val="0"/>
            <w:i w:val="0"/>
            <w:color w:val="B8860B"/>
            <w:sz w:val="19"/>
          </w:rPr>
          <w:t>Historical Antibodies: Detailed Profiles</w:t>
        </w:r>
      </w:hyperlink>
      <w:r>
        <w:rPr>
          <w:b w:val="0"/>
          <w:i w:val="0"/>
          <w:sz w:val="19"/>
        </w:rPr>
        <w:t xml:space="preserve"> — appendix with full evidentiary record</w:t>
      </w:r>
    </w:p>
    <w:p/>
    <w:p>
      <w:pPr>
        <w:sectPr>
          <w:headerReference w:type="default" r:id="rId242"/>
          <w:footerReference w:type="default" r:id="rId243"/>
          <w:pgSz w:w="8640" w:h="12960"/>
          <w:pgMar w:top="1020" w:right="1134" w:bottom="1134" w:left="1134" w:header="720" w:footer="720" w:gutter="0"/>
          <w:cols w:space="720"/>
          <w:titlePg/>
          <w:docGrid w:linePitch="360"/>
        </w:sectPr>
      </w:pPr>
    </w:p>
    <w:p>
      <w:pPr>
        <w:pStyle w:val="Heading2"/>
      </w:pPr>
      <w:r>
        <w:rPr>
          <w:b/>
        </w:rPr>
        <w:t>Chapter 22: False Flags: Architecture of Manufactured War (Extended)</w:t>
      </w:r>
    </w:p>
    <w:p>
      <w:pPr>
        <w:pStyle w:val="Quote"/>
      </w:pPr>
      <w:r>
        <w:rPr>
          <w:b w:val="0"/>
          <w:i/>
          <w:sz w:val="19"/>
        </w:rPr>
        <w:t>"In politics, nothing happens by accident. If it happens, you can bet it was planned that way."</w:t>
      </w:r>
      <w:r>
        <w:rPr>
          <w:b w:val="0"/>
          <w:i w:val="0"/>
          <w:sz w:val="19"/>
        </w:rPr>
        <w:t xml:space="preserve"> </w:t>
      </w:r>
      <w:r>
        <w:rPr>
          <w:b w:val="0"/>
          <w:i w:val="0"/>
          <w:sz w:val="19"/>
        </w:rPr>
        <w:t>— Franklin Delano Roosevelt</w:t>
      </w:r>
    </w:p>
    <w:p>
      <w:r>
        <w:rPr>
          <w:b w:val="0"/>
          <w:i w:val="0"/>
        </w:rPr>
        <w:t xml:space="preserve">A </w:t>
      </w:r>
      <w:r>
        <w:rPr>
          <w:b/>
          <w:i w:val="0"/>
        </w:rPr>
        <w:t>false flag</w:t>
      </w:r>
      <w:r>
        <w:rPr>
          <w:b w:val="0"/>
          <w:i w:val="0"/>
        </w:rPr>
        <w:t xml:space="preserve"> is a military or political operation designed to appear as if carried out by someone other than its actual perpetrators. The name comes from the naval practice of flying another nation's flag to approach an enemy ship undetected. In the 20th and 21st centuries, false flags became the </w:t>
      </w:r>
      <w:r>
        <w:rPr>
          <w:b/>
          <w:i w:val="0"/>
        </w:rPr>
        <w:t>primary mechanism</w:t>
      </w:r>
      <w:r>
        <w:rPr>
          <w:b w:val="0"/>
          <w:i w:val="0"/>
        </w:rPr>
        <w:t xml:space="preserve"> by which the Deep State manufactured public consent for wars, domestic surveillance, and regime change — transforming reluctant democracies into all-out war machines overnight.</w:t>
      </w:r>
    </w:p>
    <w:p>
      <w:r>
        <w:rPr>
          <w:b w:val="0"/>
          <w:i w:val="0"/>
        </w:rPr>
        <w:t xml:space="preserve">The pattern is always the same: </w:t>
      </w:r>
      <w:r>
        <w:rPr>
          <w:b/>
          <w:i w:val="0"/>
        </w:rPr>
        <w:t>a spectacular attack occurs, blame is assigned within hours, and pre-drafted legislation or military plans are executed before the public can think.</w:t>
      </w:r>
      <w:r>
        <w:rPr>
          <w:b w:val="0"/>
          <w:i w:val="0"/>
        </w:rPr>
        <w:t xml:space="preserve"> The Gulf of Tonkin. The sinking of the Lusitania. The Reichstag Fire. But none of these compare — in scale, in premeditation, or in consequences — to Pearl Harbor.</w:t>
      </w:r>
    </w:p>
    <w:p>
      <w:pPr>
        <w:pStyle w:val="Heading2"/>
      </w:pPr>
      <w:r>
        <w:t>Pearl Harbor</w:t>
      </w:r>
    </w:p>
    <w:p>
      <w:r>
        <w:rPr>
          <w:b w:val="0"/>
          <w:i w:val="0"/>
        </w:rPr>
        <w:t xml:space="preserve">The </w:t>
      </w:r>
      <w:hyperlink r:id="rId86">
        <w:r>
          <w:rPr>
            <w:b w:val="0"/>
            <w:i w:val="0"/>
            <w:color w:val="B8860B"/>
          </w:rPr>
          <w:t>McCollum Memo</w:t>
        </w:r>
      </w:hyperlink>
      <w:r>
        <w:rPr>
          <w:b w:val="0"/>
          <w:i w:val="0"/>
        </w:rPr>
        <w:t xml:space="preserve"> (Oct 1940) outlined eight provocations to force Japan into war; all were implemented. FDR relocated the Pacific Fleet to indefensible Pearl Harbor; carriers were at sea, obsolete battleships remained. The U.S. had broken Japan's </w:t>
      </w:r>
      <w:hyperlink r:id="rId247">
        <w:r>
          <w:rPr>
            <w:b w:val="0"/>
            <w:i w:val="0"/>
            <w:color w:val="B8860B"/>
          </w:rPr>
          <w:t>Purple code</w:t>
        </w:r>
      </w:hyperlink>
      <w:r>
        <w:rPr>
          <w:b w:val="0"/>
          <w:i w:val="0"/>
        </w:rPr>
        <w:t xml:space="preserve">; Yamamoto's strike order (Nov 24) was never forwarded to Hawaiian commanders. Stimson's diary: </w:t>
      </w:r>
      <w:r>
        <w:rPr>
          <w:b w:val="0"/>
          <w:i/>
        </w:rPr>
        <w:t>"make sure the Japanese be the ones"</w:t>
      </w:r>
      <w:r>
        <w:rPr>
          <w:b w:val="0"/>
          <w:i w:val="0"/>
        </w:rPr>
        <w:t xml:space="preserve"> to fire first. Kimmel and Short were scapegoated; no court-martial (would have exposed withheld intelligence). Pearl Harbor was damage control: Hitler was failing at Moscow; the Deep State needed America in to stop Soviet expansion and rescue assets via </w:t>
      </w:r>
      <w:hyperlink r:id="rId248">
        <w:r>
          <w:rPr>
            <w:b w:val="0"/>
            <w:i w:val="0"/>
            <w:color w:val="B8860B"/>
          </w:rPr>
          <w:t>Operation Paperclip</w:t>
        </w:r>
      </w:hyperlink>
      <w:r>
        <w:rPr>
          <w:b w:val="0"/>
          <w:i w:val="0"/>
        </w:rPr>
        <w:t xml:space="preserve">. The nuclear bombings functioned to terrify Russia; evidence suggests conventional or DU-enhanced means. See </w:t>
      </w:r>
      <w:hyperlink r:id="rId18">
        <w:r>
          <w:rPr>
            <w:b w:val="0"/>
            <w:i w:val="0"/>
            <w:color w:val="B8860B"/>
          </w:rPr>
          <w:t>Appendix: False Flags Investigation</w:t>
        </w:r>
      </w:hyperlink>
      <w:r>
        <w:rPr>
          <w:b w:val="0"/>
          <w:i w:val="0"/>
        </w:rPr>
        <w:t xml:space="preserve"> for full dossier.</w:t>
      </w:r>
    </w:p>
    <w:p>
      <w:pPr>
        <w:pStyle w:val="Heading2"/>
      </w:pPr>
      <w:r>
        <w:t>Other Case Studies</w:t>
      </w:r>
    </w:p>
    <w:p>
      <w:r>
        <w:rPr>
          <w:b w:val="0"/>
          <w:i w:val="0"/>
        </w:rPr>
      </w:r>
      <w:r>
        <w:rPr>
          <w:b/>
          <w:i w:val="0"/>
        </w:rPr>
        <w:t>Battle of LA (Feb 1942):</w:t>
      </w:r>
      <w:r>
        <w:rPr>
          <w:b w:val="0"/>
          <w:i w:val="0"/>
        </w:rPr>
        <w:t xml:space="preserve"> 1,400+ anti-aircraft rounds; no bombs, no wreckage; Japan confirmed no aircraft; object survived. </w:t>
      </w:r>
      <w:r>
        <w:rPr>
          <w:b/>
          <w:i w:val="0"/>
        </w:rPr>
        <w:t>German exodus:</w:t>
      </w:r>
      <w:r>
        <w:rPr>
          <w:b w:val="0"/>
          <w:i w:val="0"/>
        </w:rPr>
        <w:t xml:space="preserve"> Advanced U-boat/aerospace tech evacuated to Antarctica and possibly </w:t>
      </w:r>
      <w:hyperlink r:id="rId93">
        <w:r>
          <w:rPr>
            <w:b w:val="0"/>
            <w:i w:val="0"/>
            <w:color w:val="B8860B"/>
          </w:rPr>
          <w:t>Mars</w:t>
        </w:r>
      </w:hyperlink>
      <w:r>
        <w:rPr>
          <w:b w:val="0"/>
          <w:i w:val="0"/>
        </w:rPr>
        <w:t xml:space="preserve">. </w:t>
      </w:r>
      <w:r>
        <w:rPr>
          <w:b/>
          <w:i w:val="0"/>
        </w:rPr>
        <w:t>Israel:</w:t>
      </w:r>
      <w:r>
        <w:rPr>
          <w:b w:val="0"/>
          <w:i w:val="0"/>
        </w:rPr>
        <w:t xml:space="preserve"> King David Hotel, Lavon Affair, Munich Olympics — template of manufactured conflict; Hamas/ISIS as controlled opposition. </w:t>
      </w:r>
      <w:r>
        <w:rPr>
          <w:b/>
          <w:i w:val="0"/>
        </w:rPr>
        <w:t>9/11:</w:t>
      </w:r>
      <w:r>
        <w:rPr>
          <w:b w:val="0"/>
          <w:i w:val="0"/>
        </w:rPr>
        <w:t xml:space="preserve"> Broke the Deep State's slow-burn Holy War plan; Building 7 destroyed; may have been a false flag </w:t>
      </w:r>
      <w:r>
        <w:rPr>
          <w:b w:val="0"/>
          <w:i/>
        </w:rPr>
        <w:t>against</w:t>
      </w:r>
      <w:r>
        <w:rPr>
          <w:b w:val="0"/>
          <w:i w:val="0"/>
        </w:rPr>
        <w:t xml:space="preserve"> the Deep State. Full analysis in </w:t>
      </w:r>
      <w:hyperlink r:id="rId18">
        <w:r>
          <w:rPr>
            <w:b w:val="0"/>
            <w:i w:val="0"/>
            <w:color w:val="B8860B"/>
          </w:rPr>
          <w:t>Appendix: False Flags Investigation</w:t>
        </w:r>
      </w:hyperlink>
      <w:r>
        <w:rPr>
          <w:b w:val="0"/>
          <w:i w:val="0"/>
        </w:rPr>
        <w:t>.</w:t>
      </w:r>
    </w:p>
    <w:p>
      <w:pPr>
        <w:pStyle w:val="Heading2"/>
      </w:pPr>
      <w:r>
        <w:t>The Pattern</w:t>
      </w:r>
    </w:p>
    <w:p>
      <w:r>
        <w:rPr>
          <w:b w:val="0"/>
          <w:i w:val="0"/>
        </w:rPr>
        <w:t>Every major false flag follows the same architecture:</w:t>
      </w:r>
    </w:p>
    <w:p>
      <w:pPr>
        <w:pStyle w:val="ListNumber"/>
        <w:spacing w:before="20" w:after="20"/>
      </w:pPr>
      <w:r>
        <w:rPr>
          <w:b w:val="0"/>
          <w:i w:val="0"/>
          <w:sz w:val="19"/>
        </w:rPr>
      </w:r>
      <w:r>
        <w:rPr>
          <w:b/>
          <w:i w:val="0"/>
          <w:sz w:val="19"/>
        </w:rPr>
        <w:t>A spectacular, emotionally overwhelming event</w:t>
      </w:r>
      <w:r>
        <w:rPr>
          <w:b w:val="0"/>
          <w:i w:val="0"/>
          <w:sz w:val="19"/>
        </w:rPr>
        <w:t xml:space="preserve"> occurs</w:t>
      </w:r>
    </w:p>
    <w:p>
      <w:pPr>
        <w:pStyle w:val="ListNumber"/>
        <w:spacing w:before="20" w:after="20"/>
      </w:pPr>
      <w:r>
        <w:rPr>
          <w:b w:val="0"/>
          <w:i w:val="0"/>
          <w:sz w:val="19"/>
        </w:rPr>
      </w:r>
      <w:r>
        <w:rPr>
          <w:b/>
          <w:i w:val="0"/>
          <w:sz w:val="19"/>
        </w:rPr>
        <w:t>Blame is assigned within hours</w:t>
      </w:r>
      <w:r>
        <w:rPr>
          <w:b w:val="0"/>
          <w:i w:val="0"/>
          <w:sz w:val="19"/>
        </w:rPr>
        <w:t>, before investigation is possible</w:t>
      </w:r>
    </w:p>
    <w:p>
      <w:pPr>
        <w:pStyle w:val="ListNumber"/>
        <w:spacing w:before="20" w:after="20"/>
      </w:pPr>
      <w:r>
        <w:rPr>
          <w:b w:val="0"/>
          <w:i w:val="0"/>
          <w:sz w:val="19"/>
        </w:rPr>
      </w:r>
      <w:r>
        <w:rPr>
          <w:b/>
          <w:i w:val="0"/>
          <w:sz w:val="19"/>
        </w:rPr>
        <w:t>Pre-drafted responses</w:t>
      </w:r>
      <w:r>
        <w:rPr>
          <w:b w:val="0"/>
          <w:i w:val="0"/>
          <w:sz w:val="19"/>
        </w:rPr>
        <w:t xml:space="preserve"> (legislation, military plans) are executed immediately</w:t>
      </w:r>
    </w:p>
    <w:p>
      <w:pPr>
        <w:pStyle w:val="ListNumber"/>
        <w:spacing w:before="20" w:after="20"/>
      </w:pPr>
      <w:r>
        <w:rPr>
          <w:b w:val="0"/>
          <w:i w:val="0"/>
          <w:sz w:val="19"/>
        </w:rPr>
      </w:r>
      <w:r>
        <w:rPr>
          <w:b/>
          <w:i w:val="0"/>
          <w:sz w:val="19"/>
        </w:rPr>
        <w:t>Dissent is labelled as disrespect</w:t>
      </w:r>
      <w:r>
        <w:rPr>
          <w:b w:val="0"/>
          <w:i w:val="0"/>
          <w:sz w:val="19"/>
        </w:rPr>
        <w:t xml:space="preserve"> to victims</w:t>
      </w:r>
    </w:p>
    <w:p>
      <w:pPr>
        <w:pStyle w:val="ListNumber"/>
        <w:spacing w:before="20" w:after="20"/>
      </w:pPr>
      <w:r>
        <w:rPr>
          <w:b w:val="0"/>
          <w:i w:val="0"/>
          <w:sz w:val="19"/>
        </w:rPr>
      </w:r>
      <w:r>
        <w:rPr>
          <w:b/>
          <w:i w:val="0"/>
          <w:sz w:val="19"/>
        </w:rPr>
        <w:t>The actual perpetrators</w:t>
      </w:r>
      <w:r>
        <w:rPr>
          <w:b w:val="0"/>
          <w:i w:val="0"/>
          <w:sz w:val="19"/>
        </w:rPr>
        <w:t xml:space="preserve"> are never meaningfully investigated</w:t>
      </w:r>
    </w:p>
    <w:p>
      <w:r>
        <w:rPr>
          <w:b w:val="0"/>
          <w:i w:val="0"/>
        </w:rPr>
        <w:t>This pattern connects the sinking of the USS Maine (1898) to the Reichstag Fire (1933) to Pearl Harbor (1941) to the Gulf of Tonkin (1964) to 9/11 (2001) to the present day. The technology changes; the method does not.</w:t>
      </w:r>
    </w:p>
    <w:p>
      <w:r>
        <w:rPr>
          <w:b w:val="0"/>
          <w:i w:val="0"/>
        </w:rPr>
        <w:t xml:space="preserve">For the detailed investigation dossier — including sourced evidence for Pearl Harbor advance knowledge, the nuclear narrative, and the full catalogue of 20th-century false flags — see the </w:t>
      </w:r>
      <w:hyperlink r:id="rId18">
        <w:r>
          <w:rPr>
            <w:b w:val="0"/>
            <w:i w:val="0"/>
            <w:color w:val="B8860B"/>
          </w:rPr>
          <w:t>Appendix: False Flags Investigation</w:t>
        </w:r>
      </w:hyperlink>
      <w:r>
        <w:rPr>
          <w:b w:val="0"/>
          <w:i w:val="0"/>
        </w:rPr>
        <w:t>.</w:t>
      </w:r>
    </w:p>
    <w:p>
      <w:pPr>
        <w:pStyle w:val="Heading2"/>
      </w:pPr>
      <w:r>
        <w:t>References</w:t>
      </w:r>
    </w:p>
    <w:p>
      <w:pPr>
        <w:pStyle w:val="ListBullet"/>
        <w:spacing w:before="20" w:after="20"/>
      </w:pPr>
      <w:r>
        <w:rPr>
          <w:b w:val="0"/>
          <w:i w:val="0"/>
          <w:sz w:val="19"/>
        </w:rPr>
        <w:t xml:space="preserve">McCollum Memo (1940), declassified 1994. </w:t>
      </w:r>
      <w:hyperlink r:id="rId86">
        <w:r>
          <w:rPr>
            <w:b w:val="0"/>
            <w:i w:val="0"/>
            <w:color w:val="B8860B"/>
            <w:sz w:val="19"/>
          </w:rPr>
          <w:t>National Archives</w:t>
        </w:r>
      </w:hyperlink>
    </w:p>
    <w:p>
      <w:pPr>
        <w:pStyle w:val="ListBullet"/>
        <w:spacing w:before="20" w:after="20"/>
      </w:pPr>
      <w:r>
        <w:rPr>
          <w:b w:val="0"/>
          <w:i w:val="0"/>
          <w:sz w:val="19"/>
        </w:rPr>
        <w:t xml:space="preserve">Robert Stinnett, </w:t>
      </w:r>
      <w:r>
        <w:rPr>
          <w:b w:val="0"/>
          <w:i/>
          <w:sz w:val="19"/>
        </w:rPr>
        <w:t>Day of Deceit: The Truth about FDR and Pearl Harbor</w:t>
      </w:r>
      <w:r>
        <w:rPr>
          <w:b w:val="0"/>
          <w:i w:val="0"/>
          <w:sz w:val="19"/>
        </w:rPr>
        <w:t xml:space="preserve"> (2000)</w:t>
      </w:r>
    </w:p>
    <w:p>
      <w:pPr>
        <w:pStyle w:val="ListBullet"/>
        <w:spacing w:before="20" w:after="20"/>
      </w:pPr>
      <w:r>
        <w:rPr>
          <w:b w:val="0"/>
          <w:i w:val="0"/>
          <w:sz w:val="19"/>
        </w:rPr>
        <w:t xml:space="preserve">James Perloff, </w:t>
      </w:r>
      <w:hyperlink r:id="rId96">
        <w:r>
          <w:rPr>
            <w:b w:val="0"/>
            <w:i w:val="0"/>
            <w:color w:val="B8860B"/>
            <w:sz w:val="19"/>
          </w:rPr>
          <w:t>"Pearl Harbor: Roosevelt's 9/11"</w:t>
        </w:r>
      </w:hyperlink>
      <w:r>
        <w:rPr>
          <w:b w:val="0"/>
          <w:i w:val="0"/>
          <w:sz w:val="19"/>
        </w:rPr>
        <w:t xml:space="preserve"> (2014)</w:t>
      </w:r>
    </w:p>
    <w:p>
      <w:pPr>
        <w:pStyle w:val="ListBullet"/>
        <w:spacing w:before="20" w:after="20"/>
      </w:pPr>
      <w:r>
        <w:rPr>
          <w:b w:val="0"/>
          <w:i w:val="0"/>
          <w:sz w:val="19"/>
        </w:rPr>
        <w:t xml:space="preserve">Henry Stimson diary. </w:t>
      </w:r>
      <w:hyperlink r:id="rId249">
        <w:r>
          <w:rPr>
            <w:b w:val="0"/>
            <w:i w:val="0"/>
            <w:color w:val="B8860B"/>
            <w:sz w:val="19"/>
          </w:rPr>
          <w:t>Wikipedia</w:t>
        </w:r>
      </w:hyperlink>
    </w:p>
    <w:p>
      <w:pPr>
        <w:pStyle w:val="ListBullet"/>
        <w:spacing w:before="20" w:after="20"/>
      </w:pPr>
      <w:hyperlink r:id="rId87">
        <w:r>
          <w:rPr>
            <w:b w:val="0"/>
            <w:i w:val="0"/>
            <w:color w:val="B8860B"/>
            <w:sz w:val="19"/>
          </w:rPr>
          <w:t>Pearl Harbor advance-knowledge conspiracy theory</w:t>
        </w:r>
      </w:hyperlink>
      <w:r>
        <w:rPr>
          <w:b w:val="0"/>
          <w:i w:val="0"/>
          <w:sz w:val="19"/>
        </w:rPr>
        <w:t>, Wikipedia</w:t>
      </w:r>
    </w:p>
    <w:p>
      <w:pPr>
        <w:pStyle w:val="ListBullet"/>
        <w:spacing w:before="20" w:after="20"/>
      </w:pPr>
      <w:hyperlink r:id="rId99">
        <w:r>
          <w:rPr>
            <w:b w:val="0"/>
            <w:i w:val="0"/>
            <w:color w:val="B8860B"/>
            <w:sz w:val="19"/>
          </w:rPr>
          <w:t>Battle of Los Angeles</w:t>
        </w:r>
      </w:hyperlink>
      <w:r>
        <w:rPr>
          <w:b w:val="0"/>
          <w:i w:val="0"/>
          <w:sz w:val="19"/>
        </w:rPr>
        <w:t>, Wikipedia</w:t>
      </w:r>
    </w:p>
    <w:p>
      <w:pPr>
        <w:pStyle w:val="ListBullet"/>
        <w:spacing w:before="20" w:after="20"/>
      </w:pPr>
      <w:hyperlink r:id="rId98">
        <w:r>
          <w:rPr>
            <w:b w:val="0"/>
            <w:i w:val="0"/>
            <w:color w:val="B8860B"/>
            <w:sz w:val="19"/>
          </w:rPr>
          <w:t>The Encyclopedia of False Flag Staged Operations</w:t>
        </w:r>
      </w:hyperlink>
    </w:p>
    <w:p>
      <w:pPr>
        <w:pStyle w:val="ListBullet"/>
        <w:spacing w:before="20" w:after="20"/>
      </w:pPr>
      <w:hyperlink r:id="rId97">
        <w:r>
          <w:rPr>
            <w:b w:val="0"/>
            <w:i w:val="0"/>
            <w:color w:val="B8860B"/>
            <w:sz w:val="19"/>
          </w:rPr>
          <w:t>FalseFlag.info: Pearl Harbor</w:t>
        </w:r>
      </w:hyperlink>
    </w:p>
    <w:p>
      <w:pPr>
        <w:pStyle w:val="ListBullet"/>
        <w:spacing w:before="20" w:after="20"/>
      </w:pPr>
      <w:r>
        <w:rPr>
          <w:b w:val="0"/>
          <w:i w:val="0"/>
          <w:sz w:val="19"/>
        </w:rPr>
        <w:t xml:space="preserve">George Victor, </w:t>
      </w:r>
      <w:r>
        <w:rPr>
          <w:b w:val="0"/>
          <w:i/>
          <w:sz w:val="19"/>
        </w:rPr>
        <w:t>The Pearl Harbor Myth: Rethinking the Unthinkable</w:t>
      </w:r>
      <w:r>
        <w:rPr>
          <w:b w:val="0"/>
          <w:i w:val="0"/>
          <w:sz w:val="19"/>
        </w:rPr>
        <w:t xml:space="preserve"> (2007)</w:t>
      </w:r>
    </w:p>
    <w:p/>
    <w:p>
      <w:pPr>
        <w:sectPr>
          <w:headerReference w:type="default" r:id="rId245"/>
          <w:footerReference w:type="default" r:id="rId246"/>
          <w:pgSz w:w="8640" w:h="12960"/>
          <w:pgMar w:top="1020" w:right="1134" w:bottom="1134" w:left="1134" w:header="720" w:footer="720" w:gutter="0"/>
          <w:cols w:space="720"/>
          <w:titlePg/>
          <w:docGrid w:linePitch="360"/>
        </w:sectPr>
      </w:pPr>
    </w:p>
    <w:p>
      <w:pPr>
        <w:pStyle w:val="Heading2"/>
      </w:pPr>
      <w:r>
        <w:rPr>
          <w:b/>
        </w:rPr>
        <w:t>Chapter 23: Building the New Chronology (Extended)</w:t>
      </w:r>
    </w:p>
    <w:p>
      <w:r>
        <w:rPr>
          <w:b w:val="0"/>
          <w:i w:val="0"/>
        </w:rPr>
        <w:t>The case that Scaligerian chronology is fabrication was built over four centuries by independent scholars using different methods, arriving at the same conclusion: the conventional ancient timeline is internally inconsistent, astronomically incorrect, and structurally dependent on circular reasoning.</w:t>
      </w:r>
    </w:p>
    <w:p>
      <w:pPr>
        <w:jc w:val="center"/>
      </w:pPr>
      <w:r>
        <w:drawing>
          <wp:inline xmlns:a="http://schemas.openxmlformats.org/drawingml/2006/main" xmlns:pic="http://schemas.openxmlformats.org/drawingml/2006/picture">
            <wp:extent cx="3657600" cy="2438400"/>
            <wp:docPr id="3" name="Picture 3"/>
            <wp:cNvGraphicFramePr>
              <a:graphicFrameLocks noChangeAspect="1"/>
            </wp:cNvGraphicFramePr>
            <a:graphic>
              <a:graphicData uri="http://schemas.openxmlformats.org/drawingml/2006/picture">
                <pic:pic>
                  <pic:nvPicPr>
                    <pic:cNvPr id="0" name="image.jpg"/>
                    <pic:cNvPicPr/>
                  </pic:nvPicPr>
                  <pic:blipFill>
                    <a:blip r:embed="rId252"/>
                    <a:stretch>
                      <a:fillRect/>
                    </a:stretch>
                  </pic:blipFill>
                  <pic:spPr>
                    <a:xfrm>
                      <a:off x="0" y="0"/>
                      <a:ext cx="3657600" cy="2438400"/>
                    </a:xfrm>
                    <a:prstGeom prst="rect"/>
                  </pic:spPr>
                </pic:pic>
              </a:graphicData>
            </a:graphic>
          </wp:inline>
        </w:drawing>
      </w:r>
    </w:p>
    <w:p>
      <w:pPr>
        <w:pStyle w:val="Caption"/>
      </w:pPr>
      <w:r>
        <w:t>Building the New Chronology</w:t>
      </w:r>
    </w:p>
    <w:p>
      <w:pPr>
        <w:pBdr>
          <w:bottom w:val="single" w:sz="6" w:space="1" w:color="CCCCCC"/>
        </w:pBdr>
      </w:pPr>
    </w:p>
    <w:p>
      <w:pPr>
        <w:pStyle w:val="Heading2"/>
      </w:pPr>
      <w:r>
        <w:t>The Critics of Scaliger</w:t>
      </w:r>
    </w:p>
    <w:p>
      <w:r>
        <w:rPr>
          <w:b w:val="0"/>
          <w:i w:val="0"/>
        </w:rPr>
      </w:r>
      <w:r>
        <w:rPr>
          <w:b/>
          <w:i w:val="0"/>
        </w:rPr>
        <w:t>De Arcilla (16th c.)</w:t>
      </w:r>
      <w:r>
        <w:rPr>
          <w:b w:val="0"/>
          <w:i w:val="0"/>
        </w:rPr>
        <w:t xml:space="preserve"> — Spanish scholar who identified contradictions in classical sources within a generation of Scaliger's </w:t>
      </w:r>
      <w:r>
        <w:rPr>
          <w:b w:val="0"/>
          <w:i/>
        </w:rPr>
        <w:t>Opus de Emendatione Temporum</w:t>
      </w:r>
      <w:r>
        <w:rPr>
          <w:b w:val="0"/>
          <w:i w:val="0"/>
        </w:rPr>
        <w:t xml:space="preserve"> (1583). Opposition began immediately.</w:t>
      </w:r>
    </w:p>
    <w:p>
      <w:r>
        <w:rPr>
          <w:b w:val="0"/>
          <w:i w:val="0"/>
        </w:rPr>
      </w:r>
      <w:r>
        <w:rPr>
          <w:b/>
          <w:i w:val="0"/>
        </w:rPr>
        <w:t>Isaac Newton (1643–1727)</w:t>
      </w:r>
      <w:r>
        <w:rPr>
          <w:b w:val="0"/>
          <w:i w:val="0"/>
        </w:rPr>
        <w:t xml:space="preserve"> — Used precession of the equinoxes to date the Argonaut myth to </w:t>
      </w:r>
      <w:r>
        <w:rPr>
          <w:b/>
          <w:i w:val="0"/>
        </w:rPr>
        <w:t>936 BCE</w:t>
      </w:r>
      <w:r>
        <w:rPr>
          <w:b w:val="0"/>
          <w:i w:val="0"/>
        </w:rPr>
        <w:t xml:space="preserve"> — 300–400 years later than conventional ~1250 BCE. Established the precedent: </w:t>
      </w:r>
      <w:r>
        <w:rPr>
          <w:b/>
          <w:i w:val="0"/>
        </w:rPr>
        <w:t>mythological events can be dated by the sky they describe</w:t>
      </w:r>
      <w:r>
        <w:rPr>
          <w:b w:val="0"/>
          <w:i w:val="0"/>
        </w:rPr>
        <w:t>.</w:t>
      </w:r>
    </w:p>
    <w:p>
      <w:r>
        <w:rPr>
          <w:b w:val="0"/>
          <w:i w:val="0"/>
        </w:rPr>
      </w:r>
      <w:r>
        <w:rPr>
          <w:b/>
          <w:i w:val="0"/>
        </w:rPr>
        <w:t>Jean Hardouin (1646–1729)</w:t>
      </w:r>
      <w:r>
        <w:rPr>
          <w:b w:val="0"/>
          <w:i w:val="0"/>
        </w:rPr>
        <w:t xml:space="preserve"> — French Jesuit who argued nearly all classical Greek and Roman literature was forged by Benedictine monks in the 13th–14th centuries. Identified anachronisms and cross-referencing errors proving medieval authorship. Condemned by superiors.</w:t>
      </w:r>
    </w:p>
    <w:p>
      <w:r>
        <w:rPr>
          <w:b w:val="0"/>
          <w:i w:val="0"/>
        </w:rPr>
      </w:r>
      <w:r>
        <w:rPr>
          <w:b/>
          <w:i w:val="0"/>
        </w:rPr>
        <w:t>Petr Krekshin (1684–1763)</w:t>
      </w:r>
      <w:r>
        <w:rPr>
          <w:b w:val="0"/>
          <w:i w:val="0"/>
        </w:rPr>
        <w:t xml:space="preserve"> — Russian court historian who documented contradictions between Russian primary chronicles and the Scaligerian timeline being imposed during Petrine modernization.</w:t>
      </w:r>
    </w:p>
    <w:p>
      <w:r>
        <w:rPr>
          <w:b w:val="0"/>
          <w:i w:val="0"/>
        </w:rPr>
      </w:r>
      <w:r>
        <w:rPr>
          <w:b/>
          <w:i w:val="0"/>
        </w:rPr>
        <w:t>Robert Baldauf (1867–1907)</w:t>
      </w:r>
      <w:r>
        <w:rPr>
          <w:b w:val="0"/>
          <w:i w:val="0"/>
        </w:rPr>
        <w:t xml:space="preserve"> — Showed "ancient" texts contained vocabulary only current in the 13th–15th centuries. Core argument: classical philology depended on circular self-referencing — texts dated by comparison to other undated texts.</w:t>
      </w:r>
    </w:p>
    <w:p>
      <w:r>
        <w:rPr>
          <w:b w:val="0"/>
          <w:i w:val="0"/>
        </w:rPr>
      </w:r>
      <w:r>
        <w:rPr>
          <w:b/>
          <w:i w:val="0"/>
        </w:rPr>
        <w:t>Edwin Johnson (1842–1901)</w:t>
      </w:r>
      <w:r>
        <w:rPr>
          <w:b w:val="0"/>
          <w:i w:val="0"/>
        </w:rPr>
        <w:t xml:space="preserve"> — Argued early Christian history was largely fictional — Church Fathers are literary constructions, the canon assembled later than claimed, monastic scriptoria manufactured "ancient" history.</w:t>
      </w:r>
    </w:p>
    <w:p>
      <w:r>
        <w:rPr>
          <w:b w:val="0"/>
          <w:i w:val="0"/>
        </w:rPr>
      </w:r>
      <w:r>
        <w:rPr>
          <w:b/>
          <w:i w:val="0"/>
        </w:rPr>
        <w:t>N.A. Morozov (1854–1946)</w:t>
      </w:r>
      <w:r>
        <w:rPr>
          <w:b w:val="0"/>
          <w:i w:val="0"/>
        </w:rPr>
        <w:t xml:space="preserve"> — Russian revolutionary-scientist who spent 25 years in tsarist prisons doing exhaustive astronomical research. His seven-volume </w:t>
      </w:r>
      <w:r>
        <w:rPr>
          <w:b w:val="0"/>
          <w:i/>
        </w:rPr>
        <w:t>Christ</w:t>
      </w:r>
      <w:r>
        <w:rPr>
          <w:b w:val="0"/>
          <w:i w:val="0"/>
        </w:rPr>
        <w:t xml:space="preserve"> (1924–1932) argued every ancient eclipse contradicts Scaligerian dating by 1,000–1,800 years, Mediterranean "history" before the 3rd–4th centuries CE is retroactive medieval projection, and ancient zodiacs consistently yield medieval dates. Suppressed by the Soviet establishment despite private acknowledgment by Kolmogorov.</w:t>
      </w:r>
    </w:p>
    <w:p>
      <w:r>
        <w:rPr>
          <w:b w:val="0"/>
          <w:i w:val="0"/>
        </w:rPr>
      </w:r>
      <w:r>
        <w:rPr>
          <w:b/>
          <w:i w:val="0"/>
        </w:rPr>
        <w:t>Wilhelm Kammeyer (1889–1959)</w:t>
      </w:r>
      <w:r>
        <w:rPr>
          <w:b w:val="0"/>
          <w:i w:val="0"/>
        </w:rPr>
        <w:t xml:space="preserve"> — Applied forensic document analysis to medieval charters, finding a systematic majority before the 12th century are </w:t>
      </w:r>
      <w:r>
        <w:rPr>
          <w:b/>
          <w:i w:val="0"/>
        </w:rPr>
        <w:t>forgeries</w:t>
      </w:r>
      <w:r>
        <w:rPr>
          <w:b w:val="0"/>
          <w:i w:val="0"/>
        </w:rPr>
        <w:t xml:space="preserve"> — centrally coordinated, constructing documentary pasts for institutions lacking genuine roots.</w:t>
      </w:r>
    </w:p>
    <w:p>
      <w:pPr>
        <w:pBdr>
          <w:bottom w:val="single" w:sz="6" w:space="1" w:color="CCCCCC"/>
        </w:pBdr>
      </w:pPr>
    </w:p>
    <w:p>
      <w:pPr>
        <w:pStyle w:val="Heading2"/>
      </w:pPr>
      <w:r>
        <w:t>Anatoly Fomenko (1945–present)</w:t>
      </w:r>
    </w:p>
    <w:p>
      <w:r>
        <w:rPr>
          <w:b w:val="0"/>
          <w:i w:val="0"/>
        </w:rPr>
        <w:t xml:space="preserve">In 1973, Fomenko (Moscow State University) noticed Robert Newton's article on anomalous lunar acceleration and began researching redacted eclipse dating. By 1981, the </w:t>
      </w:r>
      <w:hyperlink r:id="rId253">
        <w:r>
          <w:rPr>
            <w:b w:val="0"/>
            <w:i w:val="0"/>
            <w:color w:val="B8860B"/>
          </w:rPr>
          <w:t>New Chronology</w:t>
        </w:r>
      </w:hyperlink>
      <w:r>
        <w:rPr>
          <w:b w:val="0"/>
          <w:i w:val="0"/>
        </w:rPr>
        <w:t xml:space="preserve"> project was underway. Fomenko developed </w:t>
      </w:r>
      <w:r>
        <w:rPr>
          <w:b/>
          <w:i w:val="0"/>
        </w:rPr>
        <w:t>three quantitative methods</w:t>
      </w:r>
      <w:r>
        <w:rPr>
          <w:b w:val="0"/>
          <w:i w:val="0"/>
        </w:rPr>
        <w:t>:</w:t>
      </w:r>
    </w:p>
    <w:p>
      <w:pPr>
        <w:pStyle w:val="ListNumber"/>
        <w:spacing w:before="20" w:after="20"/>
      </w:pPr>
      <w:r>
        <w:rPr>
          <w:b w:val="0"/>
          <w:i w:val="0"/>
          <w:sz w:val="19"/>
        </w:rPr>
      </w:r>
      <w:r>
        <w:rPr>
          <w:b/>
          <w:i w:val="0"/>
          <w:sz w:val="19"/>
        </w:rPr>
        <w:t>Frequency analysis of proper names</w:t>
      </w:r>
      <w:r>
        <w:rPr>
          <w:b w:val="0"/>
          <w:i w:val="0"/>
          <w:sz w:val="19"/>
        </w:rPr>
        <w:t xml:space="preserve"> — duplicate distributions indicate duplicate chronicles</w:t>
      </w:r>
    </w:p>
    <w:p>
      <w:pPr>
        <w:pStyle w:val="ListNumber"/>
        <w:spacing w:before="20" w:after="20"/>
      </w:pPr>
      <w:r>
        <w:rPr>
          <w:b w:val="0"/>
          <w:i w:val="0"/>
          <w:sz w:val="19"/>
        </w:rPr>
      </w:r>
      <w:r>
        <w:rPr>
          <w:b/>
          <w:i w:val="0"/>
          <w:sz w:val="19"/>
        </w:rPr>
        <w:t>Numerical dynasty encoding</w:t>
      </w:r>
      <w:r>
        <w:rPr>
          <w:b w:val="0"/>
          <w:i w:val="0"/>
          <w:sz w:val="19"/>
        </w:rPr>
        <w:t xml:space="preserve"> — identical reign-length vectors indicate copying</w:t>
      </w:r>
    </w:p>
    <w:p>
      <w:pPr>
        <w:pStyle w:val="ListNumber"/>
        <w:spacing w:before="20" w:after="20"/>
      </w:pPr>
      <w:r>
        <w:rPr>
          <w:b w:val="0"/>
          <w:i w:val="0"/>
          <w:sz w:val="19"/>
        </w:rPr>
      </w:r>
      <w:r>
        <w:rPr>
          <w:b/>
          <w:i w:val="0"/>
          <w:sz w:val="19"/>
        </w:rPr>
        <w:t>Astronomical eclipse verification</w:t>
      </w:r>
      <w:r>
        <w:rPr>
          <w:b w:val="0"/>
          <w:i w:val="0"/>
          <w:sz w:val="19"/>
        </w:rPr>
        <w:t xml:space="preserve"> — back-calculated eclipses consistently fall in medieval period, not classical antiquity</w:t>
      </w:r>
    </w:p>
    <w:p>
      <w:pPr>
        <w:pStyle w:val="Quote"/>
      </w:pPr>
      <w:r>
        <w:rPr>
          <w:b w:val="0"/>
          <w:i w:val="0"/>
          <w:sz w:val="19"/>
        </w:rPr>
        <w:t>"A. T. Fomenko had discovered three important chronological shifts, of roughly 333 years, 1053, and 1800 years respectively... It turned out that 'the Scaligerian textbook' was compiled from four copies of one and the same brief chronicle."</w:t>
      </w:r>
    </w:p>
    <w:p>
      <w:r>
        <w:rPr>
          <w:b w:val="0"/>
          <w:i w:val="0"/>
        </w:rPr>
        <w:t xml:space="preserve">The 1,053-year shift is directly relevant to the Blip. See the </w:t>
      </w:r>
      <w:hyperlink r:id="rId110">
        <w:r>
          <w:rPr>
            <w:b w:val="0"/>
            <w:i w:val="0"/>
            <w:color w:val="B8860B"/>
          </w:rPr>
          <w:t>Fomenko profile</w:t>
        </w:r>
      </w:hyperlink>
      <w:r>
        <w:rPr>
          <w:b w:val="0"/>
          <w:i w:val="0"/>
        </w:rPr>
        <w:t>.</w:t>
      </w:r>
    </w:p>
    <w:p>
      <w:pPr>
        <w:pBdr>
          <w:bottom w:val="single" w:sz="6" w:space="1" w:color="CCCCCC"/>
        </w:pBdr>
      </w:pPr>
    </w:p>
    <w:p>
      <w:pPr>
        <w:pStyle w:val="Heading2"/>
      </w:pPr>
      <w:r>
        <w:t>Convergence</w:t>
      </w:r>
    </w:p>
    <w:p>
      <w:r>
        <w:rPr>
          <w:b w:val="0"/>
          <w:i w:val="0"/>
        </w:rPr>
        <w:t xml:space="preserve">Eight scholars, four centuries, four countries, five methods (astronomical dating, textual criticism, document forensics, statistical analysis, linguistic anachronism) — all pointing to the same conclusion: </w:t>
      </w:r>
      <w:r>
        <w:rPr>
          <w:b/>
          <w:i w:val="0"/>
        </w:rPr>
        <w:t>the Scaligerian first-millennium CE timeline is constructed chronology assembled from displaced copies of medieval sources</w:t>
      </w:r>
      <w:r>
        <w:rPr>
          <w:b w:val="0"/>
          <w:i w:val="0"/>
        </w:rPr>
        <w:t>. The Blip is what this convergence implies.</w:t>
      </w:r>
    </w:p>
    <w:p>
      <w:r>
        <w:rPr>
          <w:b w:val="0"/>
          <w:i w:val="0"/>
        </w:rPr>
        <w:t xml:space="preserve">For gap-size comparison, see </w:t>
      </w:r>
      <w:hyperlink r:id="rId136">
        <w:r>
          <w:rPr>
            <w:b w:val="0"/>
            <w:i w:val="0"/>
            <w:color w:val="B8860B"/>
          </w:rPr>
          <w:t>Other Challenges to Chronology</w:t>
        </w:r>
      </w:hyperlink>
      <w:r>
        <w:rPr>
          <w:b w:val="0"/>
          <w:i w:val="0"/>
        </w:rPr>
        <w:t>.</w:t>
      </w:r>
    </w:p>
    <w:p/>
    <w:p>
      <w:pPr>
        <w:sectPr>
          <w:headerReference w:type="default" r:id="rId250"/>
          <w:footerReference w:type="default" r:id="rId251"/>
          <w:pgSz w:w="8640" w:h="12960"/>
          <w:pgMar w:top="1020" w:right="1134" w:bottom="1134" w:left="1134" w:header="720" w:footer="720" w:gutter="0"/>
          <w:cols w:space="720"/>
          <w:titlePg/>
          <w:docGrid w:linePitch="360"/>
        </w:sectPr>
      </w:pPr>
    </w:p>
    <w:p>
      <w:pPr>
        <w:pStyle w:val="Heading2"/>
      </w:pPr>
      <w:r>
        <w:rPr>
          <w:b/>
        </w:rPr>
        <w:t>Chapter 24: Censorship and Book Burning: From Alexandria to the Internet (Extended)</w:t>
      </w:r>
    </w:p>
    <w:p>
      <w:pPr>
        <w:pStyle w:val="Heading2"/>
      </w:pPr>
      <w:r>
        <w:t>The Constant</w:t>
      </w:r>
    </w:p>
    <w:p>
      <w:r>
        <w:rPr>
          <w:b w:val="0"/>
          <w:i w:val="0"/>
        </w:rPr>
        <w:t xml:space="preserve">There is one activity that every regime, every conquering army, and every new orthodoxy has performed without exception: </w:t>
      </w:r>
      <w:r>
        <w:rPr>
          <w:b/>
          <w:i w:val="0"/>
        </w:rPr>
        <w:t>the destruction of the previous era's records</w:t>
      </w:r>
      <w:r>
        <w:rPr>
          <w:b w:val="0"/>
          <w:i w:val="0"/>
        </w:rPr>
        <w:t>. The method changes — fire, edict, index, algorithm — but the function never varies. Whoever controls the past controls the present.</w:t>
      </w:r>
    </w:p>
    <w:p>
      <w:r>
        <w:rPr>
          <w:b w:val="0"/>
          <w:i w:val="0"/>
        </w:rPr>
        <w:t>This article traces the pattern of deliberate record destruction from antiquity to the digital age, with emphasis on the understudied 20th century campaigns that shaped the historical record we inherit today.</w:t>
      </w:r>
    </w:p>
    <w:p>
      <w:pPr>
        <w:pStyle w:val="Heading2"/>
      </w:pPr>
      <w:r>
        <w:t>The Historical Record</w:t>
      </w:r>
    </w:p>
    <w:p>
      <w:r>
        <w:rPr>
          <w:b w:val="0"/>
          <w:i w:val="0"/>
        </w:rPr>
        <w:t>The pattern of deliberate record destruction stretches from antiquity to the present. Key episodes include:</w:t>
      </w:r>
    </w:p>
    <w:p>
      <w:pPr>
        <w:pStyle w:val="ListBullet"/>
        <w:spacing w:before="20" w:after="20"/>
      </w:pPr>
      <w:r>
        <w:rPr>
          <w:b w:val="0"/>
          <w:i w:val="0"/>
          <w:sz w:val="19"/>
        </w:rPr>
      </w:r>
      <w:r>
        <w:rPr>
          <w:b/>
          <w:i w:val="0"/>
          <w:sz w:val="19"/>
        </w:rPr>
        <w:t>The Library of Alexandria</w:t>
      </w:r>
      <w:r>
        <w:rPr>
          <w:b w:val="0"/>
          <w:i w:val="0"/>
          <w:sz w:val="19"/>
        </w:rPr>
        <w:t xml:space="preserve"> — repeatedly targeted across centuries by multiple factions (Caesar, Theophilus, Caliph Omar); under Fomenko's analysis, these may represent a single event duplicated across phantom centuries</w:t>
      </w:r>
    </w:p>
    <w:p>
      <w:pPr>
        <w:pStyle w:val="ListBullet"/>
        <w:spacing w:before="20" w:after="20"/>
      </w:pPr>
      <w:r>
        <w:rPr>
          <w:b w:val="0"/>
          <w:i w:val="0"/>
          <w:sz w:val="19"/>
        </w:rPr>
      </w:r>
      <w:r>
        <w:rPr>
          <w:b/>
          <w:i w:val="0"/>
          <w:sz w:val="19"/>
        </w:rPr>
        <w:t>Qin Shi Huang</w:t>
      </w:r>
      <w:r>
        <w:rPr>
          <w:b w:val="0"/>
          <w:i w:val="0"/>
          <w:sz w:val="19"/>
        </w:rPr>
        <w:t xml:space="preserve"> (213 BC, Scaligerian) — burned all books except agriculture, medicine, and divination; buried scholars alive</w:t>
      </w:r>
    </w:p>
    <w:p>
      <w:pPr>
        <w:pStyle w:val="ListBullet"/>
        <w:spacing w:before="20" w:after="20"/>
      </w:pPr>
      <w:r>
        <w:rPr>
          <w:b w:val="0"/>
          <w:i w:val="0"/>
          <w:sz w:val="19"/>
        </w:rPr>
      </w:r>
      <w:r>
        <w:rPr>
          <w:b/>
          <w:i w:val="0"/>
          <w:sz w:val="19"/>
        </w:rPr>
        <w:t>Roman Imperial censorship</w:t>
      </w:r>
      <w:r>
        <w:rPr>
          <w:b w:val="0"/>
          <w:i w:val="0"/>
          <w:sz w:val="19"/>
        </w:rPr>
        <w:t xml:space="preserve"> — destruction of Etruscan, Druidic, and Sibylline records</w:t>
      </w:r>
    </w:p>
    <w:p>
      <w:pPr>
        <w:pStyle w:val="ListBullet"/>
        <w:spacing w:before="20" w:after="20"/>
      </w:pPr>
      <w:r>
        <w:rPr>
          <w:b w:val="0"/>
          <w:i w:val="0"/>
          <w:sz w:val="19"/>
        </w:rPr>
      </w:r>
      <w:r>
        <w:rPr>
          <w:b/>
          <w:i w:val="0"/>
          <w:sz w:val="19"/>
        </w:rPr>
        <w:t>Christianisation campaigns</w:t>
      </w:r>
      <w:r>
        <w:rPr>
          <w:b w:val="0"/>
          <w:i w:val="0"/>
          <w:sz w:val="19"/>
        </w:rPr>
        <w:t xml:space="preserve"> — monastic "preservation" meant selective copying; Bishop de Landa burned all but four Mayan codices (1562); the Index Librorum Prohibitorum ran from 1559 to 1966</w:t>
      </w:r>
    </w:p>
    <w:p>
      <w:pPr>
        <w:pStyle w:val="ListBullet"/>
        <w:spacing w:before="20" w:after="20"/>
      </w:pPr>
      <w:r>
        <w:rPr>
          <w:b w:val="0"/>
          <w:i w:val="0"/>
          <w:sz w:val="19"/>
        </w:rPr>
      </w:r>
      <w:r>
        <w:rPr>
          <w:b/>
          <w:i w:val="0"/>
          <w:sz w:val="19"/>
        </w:rPr>
        <w:t>Scaliger and Petavius</w:t>
      </w:r>
      <w:r>
        <w:rPr>
          <w:b w:val="0"/>
          <w:i w:val="0"/>
          <w:sz w:val="19"/>
        </w:rPr>
        <w:t xml:space="preserve"> (16th–17th c.) — constructed the fraudulent chronological framework, enforced through institutional authority; records that contradicted it were reinterpreted rather than destroyed</w:t>
      </w:r>
    </w:p>
    <w:p>
      <w:pPr>
        <w:pStyle w:val="ListBullet"/>
        <w:spacing w:before="20" w:after="20"/>
      </w:pPr>
      <w:r>
        <w:rPr>
          <w:b w:val="0"/>
          <w:i w:val="0"/>
          <w:sz w:val="19"/>
        </w:rPr>
      </w:r>
      <w:r>
        <w:rPr>
          <w:b/>
          <w:i w:val="0"/>
          <w:sz w:val="19"/>
        </w:rPr>
        <w:t>Bolshevik Revolution</w:t>
      </w:r>
      <w:r>
        <w:rPr>
          <w:b w:val="0"/>
          <w:i w:val="0"/>
          <w:sz w:val="19"/>
        </w:rPr>
        <w:t xml:space="preserve"> (1917) — destroyed Tsarist archives, eliminated the intellectual class, rewrote encyclopedias in real time</w:t>
      </w:r>
    </w:p>
    <w:p>
      <w:pPr>
        <w:pStyle w:val="ListBullet"/>
        <w:spacing w:before="20" w:after="20"/>
      </w:pPr>
      <w:r>
        <w:rPr>
          <w:b w:val="0"/>
          <w:i w:val="0"/>
          <w:sz w:val="19"/>
        </w:rPr>
      </w:r>
      <w:r>
        <w:rPr>
          <w:b/>
          <w:i w:val="0"/>
          <w:sz w:val="19"/>
        </w:rPr>
        <w:t>Nazi book burning</w:t>
      </w:r>
      <w:r>
        <w:rPr>
          <w:b w:val="0"/>
          <w:i w:val="0"/>
          <w:sz w:val="19"/>
        </w:rPr>
        <w:t xml:space="preserve"> (1933) — 25,000 books burned in Berlin alone; the regime secretly preserved seized material for its own use</w:t>
      </w:r>
    </w:p>
    <w:p>
      <w:pPr>
        <w:pStyle w:val="ListBullet"/>
        <w:spacing w:before="20" w:after="20"/>
      </w:pPr>
      <w:r>
        <w:rPr>
          <w:b w:val="0"/>
          <w:i w:val="0"/>
          <w:sz w:val="19"/>
        </w:rPr>
      </w:r>
      <w:r>
        <w:rPr>
          <w:b/>
          <w:i w:val="0"/>
          <w:sz w:val="19"/>
        </w:rPr>
        <w:t>Allied bombing</w:t>
      </w:r>
      <w:r>
        <w:rPr>
          <w:b w:val="0"/>
          <w:i w:val="0"/>
          <w:sz w:val="19"/>
        </w:rPr>
        <w:t xml:space="preserve"> (1943–45) — destroyed vast German historical archives stretching back centuries</w:t>
      </w:r>
    </w:p>
    <w:p>
      <w:pPr>
        <w:pStyle w:val="ListBullet"/>
        <w:spacing w:before="20" w:after="20"/>
      </w:pPr>
      <w:r>
        <w:rPr>
          <w:b w:val="0"/>
          <w:i w:val="0"/>
          <w:sz w:val="19"/>
        </w:rPr>
      </w:r>
      <w:r>
        <w:rPr>
          <w:b/>
          <w:i w:val="0"/>
          <w:sz w:val="19"/>
        </w:rPr>
        <w:t>Operation Paperclip</w:t>
      </w:r>
      <w:r>
        <w:rPr>
          <w:b w:val="0"/>
          <w:i w:val="0"/>
          <w:sz w:val="19"/>
        </w:rPr>
        <w:t xml:space="preserve"> (1945) — American and Soviet seizure of German records; much remains classified</w:t>
      </w:r>
    </w:p>
    <w:p>
      <w:pPr>
        <w:pStyle w:val="ListBullet"/>
        <w:spacing w:before="20" w:after="20"/>
      </w:pPr>
      <w:r>
        <w:rPr>
          <w:b w:val="0"/>
          <w:i w:val="0"/>
          <w:sz w:val="19"/>
        </w:rPr>
      </w:r>
      <w:r>
        <w:rPr>
          <w:b/>
          <w:i w:val="0"/>
          <w:sz w:val="19"/>
        </w:rPr>
        <w:t>Chinese Cultural Revolution</w:t>
      </w:r>
      <w:r>
        <w:rPr>
          <w:b w:val="0"/>
          <w:i w:val="0"/>
          <w:sz w:val="19"/>
        </w:rPr>
        <w:t xml:space="preserve"> (1966–76) — systematic destruction of temples, classical texts, genealogical records under the "Four Olds" campaign</w:t>
      </w:r>
    </w:p>
    <w:p>
      <w:pPr>
        <w:pStyle w:val="ListBullet"/>
        <w:spacing w:before="20" w:after="20"/>
      </w:pPr>
      <w:r>
        <w:rPr>
          <w:b w:val="0"/>
          <w:i w:val="0"/>
          <w:sz w:val="19"/>
        </w:rPr>
      </w:r>
      <w:r>
        <w:rPr>
          <w:b/>
          <w:i w:val="0"/>
          <w:sz w:val="19"/>
        </w:rPr>
        <w:t>Operation Mockingbird</w:t>
      </w:r>
      <w:r>
        <w:rPr>
          <w:b w:val="0"/>
          <w:i w:val="0"/>
          <w:sz w:val="19"/>
        </w:rPr>
        <w:t xml:space="preserve"> (1948–75+) — shifted from destroying records to controlling the narrative surrounding them</w:t>
      </w:r>
    </w:p>
    <w:p>
      <w:r>
        <w:rPr>
          <w:b w:val="0"/>
          <w:i w:val="0"/>
        </w:rPr>
        <w:t xml:space="preserve">For detailed episodes and 21st century digital censorship (platform monopoly, memory holes): </w:t>
      </w:r>
      <w:hyperlink r:id="rId16">
        <w:r>
          <w:rPr>
            <w:b w:val="0"/>
            <w:i w:val="0"/>
            <w:color w:val="B8860B"/>
          </w:rPr>
          <w:t>Censorship: The Historical Record</w:t>
        </w:r>
      </w:hyperlink>
      <w:r>
        <w:rPr>
          <w:b w:val="0"/>
          <w:i w:val="0"/>
        </w:rPr>
        <w:t>.</w:t>
      </w:r>
    </w:p>
    <w:p>
      <w:pPr>
        <w:pStyle w:val="Heading2"/>
      </w:pPr>
      <w:r>
        <w:t>The Investigator's Response</w:t>
      </w:r>
    </w:p>
    <w:p>
      <w:r>
        <w:rPr>
          <w:b w:val="0"/>
          <w:i w:val="0"/>
        </w:rPr>
        <w:t>Given this millennia-long pattern, the investigator must assume:</w:t>
      </w:r>
    </w:p>
    <w:p>
      <w:pPr>
        <w:pStyle w:val="ListNumber"/>
        <w:spacing w:before="20" w:after="20"/>
      </w:pPr>
      <w:r>
        <w:rPr>
          <w:b w:val="0"/>
          <w:i w:val="0"/>
          <w:sz w:val="19"/>
        </w:rPr>
      </w:r>
      <w:r>
        <w:rPr>
          <w:b/>
          <w:i w:val="0"/>
          <w:sz w:val="19"/>
        </w:rPr>
        <w:t>Every surviving record has been filtered.</w:t>
      </w:r>
      <w:r>
        <w:rPr>
          <w:b w:val="0"/>
          <w:i w:val="0"/>
          <w:sz w:val="19"/>
        </w:rPr>
        <w:t xml:space="preserve"> What we have is what the victors permitted us to have.</w:t>
      </w:r>
    </w:p>
    <w:p>
      <w:pPr>
        <w:pStyle w:val="ListNumber"/>
        <w:spacing w:before="20" w:after="20"/>
      </w:pPr>
      <w:r>
        <w:rPr>
          <w:b w:val="0"/>
          <w:i w:val="0"/>
          <w:sz w:val="19"/>
        </w:rPr>
      </w:r>
      <w:r>
        <w:rPr>
          <w:b/>
          <w:i w:val="0"/>
          <w:sz w:val="19"/>
        </w:rPr>
        <w:t>Absence of evidence is not evidence of absence.</w:t>
      </w:r>
      <w:r>
        <w:rPr>
          <w:b w:val="0"/>
          <w:i w:val="0"/>
          <w:sz w:val="19"/>
        </w:rPr>
        <w:t xml:space="preserve"> The gap in the record may be the most important datum.</w:t>
      </w:r>
    </w:p>
    <w:p>
      <w:pPr>
        <w:pStyle w:val="ListNumber"/>
        <w:spacing w:before="20" w:after="20"/>
      </w:pPr>
      <w:r>
        <w:rPr>
          <w:b w:val="0"/>
          <w:i w:val="0"/>
          <w:sz w:val="19"/>
        </w:rPr>
      </w:r>
      <w:r>
        <w:rPr>
          <w:b/>
          <w:i w:val="0"/>
          <w:sz w:val="19"/>
        </w:rPr>
        <w:t>Redundancy is survival.</w:t>
      </w:r>
      <w:r>
        <w:rPr>
          <w:b w:val="0"/>
          <w:i w:val="0"/>
          <w:sz w:val="19"/>
        </w:rPr>
        <w:t xml:space="preserve"> Information preserved in multiple traditions, across multiple continents, is harder to erase. This is why mythological analysis — comparing traditions from Mesoamerica, Mesopotamia, Egypt, India, and China — is essential.</w:t>
      </w:r>
    </w:p>
    <w:p>
      <w:pPr>
        <w:pStyle w:val="ListNumber"/>
        <w:spacing w:before="20" w:after="20"/>
      </w:pPr>
      <w:r>
        <w:rPr>
          <w:b w:val="0"/>
          <w:i w:val="0"/>
          <w:sz w:val="19"/>
        </w:rPr>
      </w:r>
      <w:r>
        <w:rPr>
          <w:b/>
          <w:i w:val="0"/>
          <w:sz w:val="19"/>
        </w:rPr>
        <w:t>The internet is not permanent.</w:t>
      </w:r>
      <w:r>
        <w:rPr>
          <w:b w:val="0"/>
          <w:i w:val="0"/>
          <w:sz w:val="19"/>
        </w:rPr>
        <w:t xml:space="preserve"> Critical sources should be archived locally. The wget archive that supports this timeline project exists precisely because websites vanish.</w:t>
      </w:r>
    </w:p>
    <w:p>
      <w:pPr>
        <w:pStyle w:val="Heading2"/>
      </w:pPr>
      <w:r>
        <w:t>Cross-References</w:t>
      </w:r>
    </w:p>
    <w:p>
      <w:pPr>
        <w:pStyle w:val="ListBullet"/>
        <w:spacing w:before="20" w:after="20"/>
      </w:pPr>
      <w:hyperlink r:id="rId76">
        <w:r>
          <w:rPr>
            <w:b w:val="0"/>
            <w:i w:val="0"/>
            <w:color w:val="B8860B"/>
            <w:sz w:val="19"/>
          </w:rPr>
          <w:t>14.03.00 — Soviet Historiography</w:t>
        </w:r>
      </w:hyperlink>
    </w:p>
    <w:p>
      <w:pPr>
        <w:pStyle w:val="ListBullet"/>
        <w:spacing w:before="20" w:after="20"/>
      </w:pPr>
      <w:hyperlink r:id="rId256">
        <w:r>
          <w:rPr>
            <w:b w:val="0"/>
            <w:i w:val="0"/>
            <w:color w:val="B8860B"/>
            <w:sz w:val="19"/>
          </w:rPr>
          <w:t>14.02.00 — The Russian Intellectual Emigration</w:t>
        </w:r>
      </w:hyperlink>
    </w:p>
    <w:p>
      <w:pPr>
        <w:pStyle w:val="ListBullet"/>
        <w:spacing w:before="20" w:after="20"/>
      </w:pPr>
      <w:hyperlink r:id="rId49">
        <w:r>
          <w:rPr>
            <w:b w:val="0"/>
            <w:i w:val="0"/>
            <w:color w:val="B8860B"/>
            <w:sz w:val="19"/>
          </w:rPr>
          <w:t>14.06.00 — Operation Mockingbird</w:t>
        </w:r>
      </w:hyperlink>
    </w:p>
    <w:p>
      <w:pPr>
        <w:pStyle w:val="ListBullet"/>
        <w:spacing w:before="20" w:after="20"/>
      </w:pPr>
      <w:hyperlink r:id="rId69">
        <w:r>
          <w:rPr>
            <w:b w:val="0"/>
            <w:i w:val="0"/>
            <w:color w:val="B8860B"/>
            <w:sz w:val="19"/>
          </w:rPr>
          <w:t>Controlled Opposition: Managed Disclosure</w:t>
        </w:r>
      </w:hyperlink>
    </w:p>
    <w:p>
      <w:pPr>
        <w:pStyle w:val="ListBullet"/>
        <w:spacing w:before="20" w:after="20"/>
      </w:pPr>
      <w:hyperlink r:id="rId16">
        <w:r>
          <w:rPr>
            <w:b w:val="0"/>
            <w:i w:val="0"/>
            <w:color w:val="B8860B"/>
            <w:sz w:val="19"/>
          </w:rPr>
          <w:t>Censorship: The Historical Record</w:t>
        </w:r>
      </w:hyperlink>
      <w:r>
        <w:rPr>
          <w:b w:val="0"/>
          <w:i w:val="0"/>
          <w:sz w:val="19"/>
        </w:rPr>
        <w:t xml:space="preserve"> — full historical detail in Appendix</w:t>
      </w:r>
    </w:p>
    <w:p>
      <w:pPr>
        <w:pStyle w:val="Heading2"/>
      </w:pPr>
      <w:r>
        <w:t>Sources</w:t>
      </w:r>
    </w:p>
    <w:p>
      <w:pPr>
        <w:pStyle w:val="ListBullet"/>
        <w:spacing w:before="20" w:after="20"/>
      </w:pPr>
      <w:r>
        <w:rPr>
          <w:b w:val="0"/>
          <w:i w:val="0"/>
          <w:sz w:val="19"/>
        </w:rPr>
        <w:t xml:space="preserve">Fomenko, Anatoly, </w:t>
      </w:r>
      <w:r>
        <w:rPr>
          <w:b w:val="0"/>
          <w:i/>
          <w:sz w:val="19"/>
        </w:rPr>
        <w:t>History: Fiction or Science?</w:t>
      </w:r>
      <w:r>
        <w:rPr>
          <w:b w:val="0"/>
          <w:i w:val="0"/>
          <w:sz w:val="19"/>
        </w:rPr>
        <w:t xml:space="preserve"> — on Scaliger/Petavius chronological construction</w:t>
      </w:r>
    </w:p>
    <w:p>
      <w:pPr>
        <w:pStyle w:val="ListBullet"/>
        <w:spacing w:before="20" w:after="20"/>
      </w:pPr>
      <w:r>
        <w:rPr>
          <w:b w:val="0"/>
          <w:i w:val="0"/>
          <w:sz w:val="19"/>
        </w:rPr>
        <w:t xml:space="preserve">Orwell, George, </w:t>
      </w:r>
      <w:r>
        <w:rPr>
          <w:b w:val="0"/>
          <w:i/>
          <w:sz w:val="19"/>
        </w:rPr>
        <w:t>Nineteen Eighty-Four</w:t>
      </w:r>
      <w:r>
        <w:rPr>
          <w:b w:val="0"/>
          <w:i w:val="0"/>
          <w:sz w:val="19"/>
        </w:rPr>
        <w:t xml:space="preserve"> (1949) — "memory hole" concept drawn from Soviet practice</w:t>
      </w:r>
    </w:p>
    <w:p>
      <w:pPr>
        <w:pStyle w:val="ListBullet"/>
        <w:spacing w:before="20" w:after="20"/>
      </w:pPr>
      <w:r>
        <w:rPr>
          <w:b w:val="0"/>
          <w:i w:val="0"/>
          <w:sz w:val="19"/>
        </w:rPr>
        <w:t xml:space="preserve">See also: </w:t>
      </w:r>
      <w:hyperlink r:id="rId16">
        <w:r>
          <w:rPr>
            <w:b w:val="0"/>
            <w:i w:val="0"/>
            <w:color w:val="B8860B"/>
            <w:sz w:val="19"/>
          </w:rPr>
          <w:t>Censorship: The Historical Record</w:t>
        </w:r>
      </w:hyperlink>
      <w:r>
        <w:rPr>
          <w:b w:val="0"/>
          <w:i w:val="0"/>
          <w:sz w:val="19"/>
        </w:rPr>
        <w:t xml:space="preserve"> for full historical sources</w:t>
      </w:r>
    </w:p>
    <w:p/>
    <w:p>
      <w:pPr>
        <w:sectPr>
          <w:headerReference w:type="default" r:id="rId254"/>
          <w:footerReference w:type="default" r:id="rId255"/>
          <w:pgSz w:w="8640" w:h="12960"/>
          <w:pgMar w:top="1020" w:right="1134" w:bottom="1134" w:left="1134" w:header="720" w:footer="720" w:gutter="0"/>
          <w:cols w:space="720"/>
          <w:titlePg/>
          <w:docGrid w:linePitch="360"/>
        </w:sectPr>
      </w:pPr>
    </w:p>
    <w:p>
      <w:pPr>
        <w:pStyle w:val="Heading2"/>
      </w:pPr>
      <w:r>
        <w:rPr>
          <w:b/>
        </w:rPr>
        <w:t>Chapter 25: Jesuit Operations: Conversion, Catholicism, and the New World (Extended)</w:t>
      </w:r>
    </w:p>
    <w:p>
      <w:r>
        <w:rPr>
          <w:b w:val="0"/>
          <w:i w:val="0"/>
        </w:rPr>
        <w:t xml:space="preserve">The Jesuits — the </w:t>
      </w:r>
      <w:hyperlink r:id="rId259">
        <w:r>
          <w:rPr>
            <w:b w:val="0"/>
            <w:i w:val="0"/>
            <w:color w:val="B8860B"/>
          </w:rPr>
          <w:t>Secret Society of Jesus</w:t>
        </w:r>
      </w:hyperlink>
      <w:r>
        <w:rPr>
          <w:b w:val="0"/>
          <w:i w:val="0"/>
        </w:rPr>
        <w:t xml:space="preserve"> — were the primary instrument for spreading reformed monotheism globally: convert indigenous populations, redact Christianity into Rome-controlled Catholicism, and extend the Crusade into the New World. Theological machinery analysed in </w:t>
      </w:r>
      <w:hyperlink r:id="rId260">
        <w:r>
          <w:rPr>
            <w:b w:val="0"/>
            <w:i w:val="0"/>
            <w:color w:val="B8860B"/>
          </w:rPr>
          <w:t>Deep State redacts Christianity</w:t>
        </w:r>
      </w:hyperlink>
      <w:r>
        <w:rPr>
          <w:b w:val="0"/>
          <w:i w:val="0"/>
        </w:rPr>
        <w:t>.</w:t>
      </w:r>
    </w:p>
    <w:p>
      <w:pPr>
        <w:pStyle w:val="Heading2"/>
      </w:pPr>
      <w:r>
        <w:t>The Founding</w:t>
      </w:r>
    </w:p>
    <w:p>
      <w:r>
        <w:rPr>
          <w:b w:val="0"/>
          <w:i w:val="0"/>
        </w:rPr>
        <w:t xml:space="preserve">The Society of Jesus was established in 1534 by </w:t>
      </w:r>
      <w:hyperlink r:id="rId261">
        <w:r>
          <w:rPr>
            <w:b w:val="0"/>
            <w:i w:val="0"/>
            <w:color w:val="B8860B"/>
          </w:rPr>
          <w:t>Ignatius of Loyola</w:t>
        </w:r>
      </w:hyperlink>
      <w:r>
        <w:rPr>
          <w:b w:val="0"/>
          <w:i w:val="0"/>
        </w:rPr>
        <w:t xml:space="preserve"> with papal approval in 1540. Unlike monastic orders, it was </w:t>
      </w:r>
      <w:r>
        <w:rPr>
          <w:b w:val="0"/>
          <w:i/>
        </w:rPr>
        <w:t>operational</w:t>
      </w:r>
      <w:r>
        <w:rPr>
          <w:b w:val="0"/>
          <w:i w:val="0"/>
        </w:rPr>
        <w:t xml:space="preserve">: mobile, linguistically trained, organized along quasi-military lines. Ignatius's </w:t>
      </w:r>
      <w:hyperlink r:id="rId262">
        <w:r>
          <w:rPr>
            <w:b w:val="0"/>
            <w:i w:val="0"/>
            <w:color w:val="B8860B"/>
          </w:rPr>
          <w:t>Spiritual Exercises</w:t>
        </w:r>
      </w:hyperlink>
      <w:r>
        <w:rPr>
          <w:b w:val="0"/>
          <w:i w:val="0"/>
        </w:rPr>
        <w:t xml:space="preserve"> produced operatives who were intellectually rigorous, culturally adaptive, and willing to die.</w:t>
      </w:r>
    </w:p>
    <w:p>
      <w:r>
        <w:rPr>
          <w:b w:val="0"/>
          <w:i w:val="0"/>
        </w:rPr>
        <w:t>The Jesuits deserve respect despite serving purposes they often did not understand. Unlike Protestant chronologists who fabricated timelines, Jesuits genuinely documented what they found — languages, histories, cosmologies, astronomical knowledge — even when it contradicted Catholic narrative. This makes the Jesuit archive one of the most valuable sources for reconstructing pre-colonial world history.</w:t>
      </w:r>
    </w:p>
    <w:p>
      <w:pPr>
        <w:pStyle w:val="Heading2"/>
      </w:pPr>
      <w:r>
        <w:t>The Methodology</w:t>
      </w:r>
    </w:p>
    <w:p>
      <w:pPr>
        <w:pStyle w:val="ListNumber"/>
        <w:spacing w:before="20" w:after="20"/>
      </w:pPr>
      <w:r>
        <w:rPr>
          <w:b w:val="0"/>
          <w:i w:val="0"/>
          <w:sz w:val="19"/>
        </w:rPr>
      </w:r>
      <w:r>
        <w:rPr>
          <w:b/>
          <w:i w:val="0"/>
          <w:sz w:val="19"/>
        </w:rPr>
        <w:t>Learn the language</w:t>
      </w:r>
      <w:r>
        <w:rPr>
          <w:b w:val="0"/>
          <w:i w:val="0"/>
          <w:sz w:val="19"/>
        </w:rPr>
        <w:t xml:space="preserve"> — creating first dictionaries and grammars of hundreds of indigenous languages</w:t>
      </w:r>
    </w:p>
    <w:p>
      <w:pPr>
        <w:pStyle w:val="ListNumber"/>
        <w:spacing w:before="20" w:after="20"/>
      </w:pPr>
      <w:r>
        <w:rPr>
          <w:b w:val="0"/>
          <w:i w:val="0"/>
          <w:sz w:val="19"/>
        </w:rPr>
      </w:r>
      <w:r>
        <w:rPr>
          <w:b/>
          <w:i w:val="0"/>
          <w:sz w:val="19"/>
        </w:rPr>
        <w:t>Document the culture</w:t>
      </w:r>
      <w:r>
        <w:rPr>
          <w:b w:val="0"/>
          <w:i w:val="0"/>
          <w:sz w:val="19"/>
        </w:rPr>
        <w:t xml:space="preserve"> — religion, cosmology, medicine, governance recorded in annual reports</w:t>
      </w:r>
    </w:p>
    <w:p>
      <w:pPr>
        <w:pStyle w:val="ListNumber"/>
        <w:spacing w:before="20" w:after="20"/>
      </w:pPr>
      <w:r>
        <w:rPr>
          <w:b w:val="0"/>
          <w:i w:val="0"/>
          <w:sz w:val="19"/>
        </w:rPr>
      </w:r>
      <w:r>
        <w:rPr>
          <w:b/>
          <w:i w:val="0"/>
          <w:sz w:val="19"/>
        </w:rPr>
        <w:t>Build trust</w:t>
      </w:r>
      <w:r>
        <w:rPr>
          <w:b w:val="0"/>
          <w:i w:val="0"/>
          <w:sz w:val="19"/>
        </w:rPr>
        <w:t xml:space="preserve"> — schools, hospitals, agricultural assistance</w:t>
      </w:r>
    </w:p>
    <w:p>
      <w:pPr>
        <w:pStyle w:val="ListNumber"/>
        <w:spacing w:before="20" w:after="20"/>
      </w:pPr>
      <w:r>
        <w:rPr>
          <w:b w:val="0"/>
          <w:i w:val="0"/>
          <w:sz w:val="19"/>
        </w:rPr>
      </w:r>
      <w:r>
        <w:rPr>
          <w:b/>
          <w:i w:val="0"/>
          <w:sz w:val="19"/>
        </w:rPr>
        <w:t>Identify the local deity</w:t>
      </w:r>
      <w:r>
        <w:rPr>
          <w:b w:val="0"/>
          <w:i w:val="0"/>
          <w:sz w:val="19"/>
        </w:rPr>
        <w:t xml:space="preserve"> — almost universally the Sun — map it onto Jesus Christ</w:t>
      </w:r>
    </w:p>
    <w:p>
      <w:pPr>
        <w:pStyle w:val="ListNumber"/>
        <w:spacing w:before="20" w:after="20"/>
      </w:pPr>
      <w:r>
        <w:rPr>
          <w:b w:val="0"/>
          <w:i w:val="0"/>
          <w:sz w:val="19"/>
        </w:rPr>
      </w:r>
      <w:r>
        <w:rPr>
          <w:b/>
          <w:i w:val="0"/>
          <w:sz w:val="19"/>
        </w:rPr>
        <w:t>Redirect worship</w:t>
      </w:r>
      <w:r>
        <w:rPr>
          <w:b w:val="0"/>
          <w:i w:val="0"/>
          <w:sz w:val="19"/>
        </w:rPr>
        <w:t xml:space="preserve"> — gradually replace indigenous ritual with Catholic sacrament</w:t>
      </w:r>
    </w:p>
    <w:p>
      <w:r>
        <w:rPr>
          <w:b w:val="0"/>
          <w:i w:val="0"/>
        </w:rPr>
        <w:t>When communities resisted, missionaries were killed, their deaths publicized across Europe as evidence of "savage" behavior, creating grounds for military intervention. The Jesuits took the punishment; the empire used their suffering to justify conquest.</w:t>
      </w:r>
    </w:p>
    <w:p>
      <w:pPr>
        <w:pStyle w:val="Heading2"/>
      </w:pPr>
      <w:r>
        <w:t>Converting Native Religions to Monotheism</w:t>
      </w:r>
    </w:p>
    <w:p>
      <w:r>
        <w:rPr>
          <w:b w:val="0"/>
          <w:i w:val="0"/>
        </w:rPr>
      </w:r>
      <w:r>
        <w:rPr>
          <w:b/>
          <w:i w:val="0"/>
        </w:rPr>
        <w:t>Older, oral populations</w:t>
      </w:r>
      <w:r>
        <w:rPr>
          <w:b w:val="0"/>
          <w:i w:val="0"/>
        </w:rPr>
        <w:t xml:space="preserve"> accepted Sun = Jesus at face value. </w:t>
      </w:r>
      <w:r>
        <w:rPr>
          <w:b/>
          <w:i w:val="0"/>
        </w:rPr>
        <w:t>Younger, literate populations</w:t>
      </w:r>
      <w:r>
        <w:rPr>
          <w:b w:val="0"/>
          <w:i w:val="0"/>
        </w:rPr>
        <w:t xml:space="preserve"> were taught Jesus was the invisible </w:t>
      </w:r>
      <w:r>
        <w:rPr>
          <w:b w:val="0"/>
          <w:i/>
        </w:rPr>
        <w:t>Son</w:t>
      </w:r>
      <w:r>
        <w:rPr>
          <w:b w:val="0"/>
          <w:i w:val="0"/>
        </w:rPr>
        <w:t xml:space="preserve"> of </w:t>
      </w:r>
      <w:r>
        <w:rPr>
          <w:b w:val="0"/>
          <w:i/>
        </w:rPr>
        <w:t>Creator God Yahweh</w:t>
      </w:r>
      <w:r>
        <w:rPr>
          <w:b w:val="0"/>
          <w:i w:val="0"/>
        </w:rPr>
        <w:t xml:space="preserve"> (= Saturn), severing the connection to the observable sky permanently. Where persuasion failed, </w:t>
      </w:r>
      <w:hyperlink r:id="rId263">
        <w:r>
          <w:rPr>
            <w:b w:val="0"/>
            <w:i w:val="0"/>
            <w:color w:val="B8860B"/>
          </w:rPr>
          <w:t>military operations</w:t>
        </w:r>
      </w:hyperlink>
      <w:r>
        <w:rPr>
          <w:b w:val="0"/>
          <w:i w:val="0"/>
        </w:rPr>
        <w:t xml:space="preserve"> were deployed.</w:t>
      </w:r>
    </w:p>
    <w:p>
      <w:pPr>
        <w:pStyle w:val="Heading2"/>
      </w:pPr>
      <w:r>
        <w:t>Jesuits Reach America</w:t>
      </w:r>
    </w:p>
    <w:p>
      <w:r>
        <w:rPr>
          <w:b w:val="0"/>
          <w:i w:val="0"/>
        </w:rPr>
        <w:t xml:space="preserve">The 1492 Crusade carried Jesuits westward into Mesoamerica, where populations' astronomical knowledge often surpassed Europe's. The surviving </w:t>
      </w:r>
      <w:hyperlink r:id="rId264">
        <w:r>
          <w:rPr>
            <w:b w:val="0"/>
            <w:i w:val="0"/>
            <w:color w:val="B8860B"/>
          </w:rPr>
          <w:t>Maya codices</w:t>
        </w:r>
      </w:hyperlink>
      <w:r>
        <w:rPr>
          <w:b w:val="0"/>
          <w:i w:val="0"/>
        </w:rPr>
        <w:t xml:space="preserve"> exist because Jesuits and Franciscans preserved them while colonial administration destroyed the rest. </w:t>
      </w:r>
      <w:hyperlink r:id="rId265">
        <w:r>
          <w:rPr>
            <w:b w:val="0"/>
            <w:i w:val="0"/>
            <w:color w:val="B8860B"/>
          </w:rPr>
          <w:t>Diego de Landa</w:t>
        </w:r>
      </w:hyperlink>
      <w:r>
        <w:rPr>
          <w:b w:val="0"/>
          <w:i w:val="0"/>
        </w:rPr>
        <w:t xml:space="preserve"> burned hundreds of Maya books in 1562, yet wrote the </w:t>
      </w:r>
      <w:r>
        <w:rPr>
          <w:b w:val="0"/>
          <w:i/>
        </w:rPr>
        <w:t>Relación de las cosas de Yucatán</w:t>
      </w:r>
      <w:r>
        <w:rPr>
          <w:b w:val="0"/>
          <w:i w:val="0"/>
        </w:rPr>
        <w:t xml:space="preserve"> — the most important European source on Maya civilization. Documenting what you simultaneously annihilate is the Jesuit paradox.</w:t>
      </w:r>
    </w:p>
    <w:p>
      <w:r>
        <w:rPr>
          <w:b w:val="0"/>
          <w:i w:val="0"/>
        </w:rPr>
        <w:t xml:space="preserve">The </w:t>
      </w:r>
      <w:hyperlink r:id="rId266">
        <w:r>
          <w:rPr>
            <w:b w:val="0"/>
            <w:i w:val="0"/>
            <w:color w:val="B8860B"/>
          </w:rPr>
          <w:t>Guaraní Reductions</w:t>
        </w:r>
      </w:hyperlink>
      <w:r>
        <w:rPr>
          <w:b w:val="0"/>
          <w:i w:val="0"/>
        </w:rPr>
        <w:t xml:space="preserve"> — autonomous communities of up to 150,000 under Jesuit governance, protected from slavers — were by colonial standards remarkably humane, and for precisely that reason, destroyed by the Treaty of Madrid (1750).</w:t>
      </w:r>
    </w:p>
    <w:p>
      <w:pPr>
        <w:pStyle w:val="Heading2"/>
      </w:pPr>
      <w:r>
        <w:t>The Jesuit Arc</w:t>
      </w:r>
    </w:p>
    <w:p>
      <w:pPr>
        <w:pStyle w:val="ListBullet"/>
        <w:spacing w:before="20" w:after="20"/>
      </w:pPr>
      <w:r>
        <w:rPr>
          <w:b w:val="0"/>
          <w:i w:val="0"/>
          <w:sz w:val="19"/>
        </w:rPr>
      </w:r>
      <w:r>
        <w:rPr>
          <w:b/>
          <w:i w:val="0"/>
          <w:sz w:val="19"/>
        </w:rPr>
        <w:t>15th c.:</w:t>
      </w:r>
      <w:r>
        <w:rPr>
          <w:b w:val="0"/>
          <w:i w:val="0"/>
          <w:sz w:val="19"/>
        </w:rPr>
        <w:t xml:space="preserve"> </w:t>
      </w:r>
      <w:r>
        <w:rPr>
          <w:b w:val="0"/>
          <w:i/>
          <w:sz w:val="19"/>
        </w:rPr>
        <w:t>(this article)</w:t>
      </w:r>
      <w:r>
        <w:rPr>
          <w:b w:val="0"/>
          <w:i w:val="0"/>
          <w:sz w:val="19"/>
        </w:rPr>
        <w:t xml:space="preserve"> — founding and global strategy</w:t>
      </w:r>
    </w:p>
    <w:p>
      <w:pPr>
        <w:pStyle w:val="ListBullet"/>
        <w:spacing w:before="20" w:after="20"/>
      </w:pPr>
      <w:r>
        <w:rPr>
          <w:b w:val="0"/>
          <w:i w:val="0"/>
          <w:sz w:val="19"/>
        </w:rPr>
      </w:r>
      <w:r>
        <w:rPr>
          <w:b/>
          <w:i w:val="0"/>
          <w:sz w:val="19"/>
        </w:rPr>
        <w:t>16th c.:</w:t>
      </w:r>
      <w:r>
        <w:rPr>
          <w:b w:val="0"/>
          <w:i w:val="0"/>
          <w:sz w:val="19"/>
        </w:rPr>
        <w:t xml:space="preserve"> </w:t>
      </w:r>
      <w:hyperlink r:id="rId73">
        <w:r>
          <w:rPr>
            <w:b w:val="0"/>
            <w:i w:val="0"/>
            <w:color w:val="B8860B"/>
            <w:sz w:val="19"/>
          </w:rPr>
          <w:t>Jesuits make "Pilgrimage" to Palestine</w:t>
        </w:r>
      </w:hyperlink>
    </w:p>
    <w:p>
      <w:pPr>
        <w:pStyle w:val="ListBullet"/>
        <w:spacing w:before="20" w:after="20"/>
      </w:pPr>
      <w:r>
        <w:rPr>
          <w:b w:val="0"/>
          <w:i w:val="0"/>
          <w:sz w:val="19"/>
        </w:rPr>
      </w:r>
      <w:r>
        <w:rPr>
          <w:b/>
          <w:i w:val="0"/>
          <w:sz w:val="19"/>
        </w:rPr>
        <w:t>17th c.:</w:t>
      </w:r>
      <w:r>
        <w:rPr>
          <w:b w:val="0"/>
          <w:i w:val="0"/>
          <w:sz w:val="19"/>
        </w:rPr>
        <w:t xml:space="preserve"> </w:t>
      </w:r>
      <w:hyperlink r:id="rId267">
        <w:r>
          <w:rPr>
            <w:b w:val="0"/>
            <w:i w:val="0"/>
            <w:color w:val="B8860B"/>
            <w:sz w:val="19"/>
          </w:rPr>
          <w:t>Jesuits convert Asians to Buddhism</w:t>
        </w:r>
      </w:hyperlink>
    </w:p>
    <w:p>
      <w:pPr>
        <w:pStyle w:val="ListBullet"/>
        <w:spacing w:before="20" w:after="20"/>
      </w:pPr>
      <w:r>
        <w:rPr>
          <w:b w:val="0"/>
          <w:i w:val="0"/>
          <w:sz w:val="19"/>
        </w:rPr>
      </w:r>
      <w:r>
        <w:rPr>
          <w:b/>
          <w:i w:val="0"/>
          <w:sz w:val="19"/>
        </w:rPr>
        <w:t>18th c.:</w:t>
      </w:r>
      <w:r>
        <w:rPr>
          <w:b w:val="0"/>
          <w:i w:val="0"/>
          <w:sz w:val="19"/>
        </w:rPr>
        <w:t xml:space="preserve"> </w:t>
      </w:r>
      <w:hyperlink r:id="rId268">
        <w:r>
          <w:rPr>
            <w:b w:val="0"/>
            <w:i w:val="0"/>
            <w:color w:val="B8860B"/>
            <w:sz w:val="19"/>
          </w:rPr>
          <w:t>Secret Society goes public</w:t>
        </w:r>
      </w:hyperlink>
    </w:p>
    <w:p>
      <w:pPr>
        <w:pStyle w:val="ListBullet"/>
        <w:spacing w:before="20" w:after="20"/>
      </w:pPr>
      <w:r>
        <w:rPr>
          <w:b w:val="0"/>
          <w:i w:val="0"/>
          <w:sz w:val="19"/>
        </w:rPr>
      </w:r>
      <w:r>
        <w:rPr>
          <w:b/>
          <w:i w:val="0"/>
          <w:sz w:val="19"/>
        </w:rPr>
        <w:t>19th c.:</w:t>
      </w:r>
      <w:r>
        <w:rPr>
          <w:b w:val="0"/>
          <w:i w:val="0"/>
          <w:sz w:val="19"/>
        </w:rPr>
        <w:t xml:space="preserve"> </w:t>
      </w:r>
      <w:hyperlink r:id="rId269">
        <w:r>
          <w:rPr>
            <w:b w:val="0"/>
            <w:i w:val="0"/>
            <w:color w:val="B8860B"/>
            <w:sz w:val="19"/>
          </w:rPr>
          <w:t>Jesuit Restoration</w:t>
        </w:r>
      </w:hyperlink>
    </w:p>
    <w:p>
      <w:pPr>
        <w:pStyle w:val="ListBullet"/>
        <w:spacing w:before="20" w:after="20"/>
      </w:pPr>
      <w:r>
        <w:rPr>
          <w:b w:val="0"/>
          <w:i w:val="0"/>
          <w:sz w:val="19"/>
        </w:rPr>
      </w:r>
      <w:r>
        <w:rPr>
          <w:b/>
          <w:i w:val="0"/>
          <w:sz w:val="19"/>
        </w:rPr>
        <w:t>20th c.:</w:t>
      </w:r>
      <w:r>
        <w:rPr>
          <w:b w:val="0"/>
          <w:i w:val="0"/>
          <w:sz w:val="19"/>
        </w:rPr>
        <w:t xml:space="preserve"> </w:t>
      </w:r>
      <w:hyperlink r:id="rId270">
        <w:r>
          <w:rPr>
            <w:b w:val="0"/>
            <w:i w:val="0"/>
            <w:color w:val="B8860B"/>
            <w:sz w:val="19"/>
          </w:rPr>
          <w:t>Missionaries to Corporations</w:t>
        </w:r>
      </w:hyperlink>
    </w:p>
    <w:p/>
    <w:p>
      <w:pPr>
        <w:sectPr>
          <w:headerReference w:type="default" r:id="rId257"/>
          <w:footerReference w:type="default" r:id="rId258"/>
          <w:pgSz w:w="8640" w:h="12960"/>
          <w:pgMar w:top="1020" w:right="1134" w:bottom="1134" w:left="1134" w:header="720" w:footer="720" w:gutter="0"/>
          <w:cols w:space="720"/>
          <w:titlePg/>
          <w:docGrid w:linePitch="360"/>
        </w:sectPr>
      </w:pPr>
    </w:p>
    <w:p>
      <w:pPr>
        <w:pStyle w:val="Heading2"/>
      </w:pPr>
      <w:r>
        <w:rPr>
          <w:b/>
        </w:rPr>
        <w:t>Chapter 26: Other Challenges to Chronology (Extended)</w:t>
      </w:r>
    </w:p>
    <w:p>
      <w:r>
        <w:rPr>
          <w:b w:val="0"/>
          <w:i w:val="0"/>
        </w:rPr>
        <w:t xml:space="preserve">Multiple independent researchers concluded the Scaligerian timeline contains substantial phantom gap. They disagree on size, mechanism, and motive — but converge on structural conclusion. For full scholarly survey (De Arcilla through Fomenko), see </w:t>
      </w:r>
      <w:hyperlink r:id="rId273">
        <w:r>
          <w:rPr>
            <w:b w:val="0"/>
            <w:i w:val="0"/>
            <w:color w:val="B8860B"/>
          </w:rPr>
          <w:t>Building the New Chronology</w:t>
        </w:r>
      </w:hyperlink>
      <w:r>
        <w:rPr>
          <w:b w:val="0"/>
          <w:i w:val="0"/>
        </w:rPr>
        <w:t xml:space="preserve">. This article compares </w:t>
      </w:r>
      <w:r>
        <w:rPr>
          <w:b/>
          <w:i w:val="0"/>
        </w:rPr>
        <w:t>gap claims</w:t>
      </w:r>
      <w:r>
        <w:rPr>
          <w:b w:val="0"/>
          <w:i w:val="0"/>
        </w:rPr>
        <w:t xml:space="preserve"> specifically.</w:t>
      </w:r>
    </w:p>
    <w:p>
      <w:pPr>
        <w:jc w:val="center"/>
      </w:pPr>
      <w:r>
        <w:drawing>
          <wp:inline xmlns:a="http://schemas.openxmlformats.org/drawingml/2006/main" xmlns:pic="http://schemas.openxmlformats.org/drawingml/2006/picture">
            <wp:extent cx="3657600" cy="1289304"/>
            <wp:docPr id="4" name="Picture 4"/>
            <wp:cNvGraphicFramePr>
              <a:graphicFrameLocks noChangeAspect="1"/>
            </wp:cNvGraphicFramePr>
            <a:graphic>
              <a:graphicData uri="http://schemas.openxmlformats.org/drawingml/2006/picture">
                <pic:pic>
                  <pic:nvPicPr>
                    <pic:cNvPr id="0" name="image.jpg"/>
                    <pic:cNvPicPr/>
                  </pic:nvPicPr>
                  <pic:blipFill>
                    <a:blip r:embed="rId274"/>
                    <a:stretch>
                      <a:fillRect/>
                    </a:stretch>
                  </pic:blipFill>
                  <pic:spPr>
                    <a:xfrm>
                      <a:off x="0" y="0"/>
                      <a:ext cx="3657600" cy="1289304"/>
                    </a:xfrm>
                    <a:prstGeom prst="rect"/>
                  </pic:spPr>
                </pic:pic>
              </a:graphicData>
            </a:graphic>
          </wp:inline>
        </w:drawing>
      </w:r>
    </w:p>
    <w:p>
      <w:pPr>
        <w:pStyle w:val="Caption"/>
      </w:pPr>
      <w:r>
        <w:t>Other Challenges to Chronology</w:t>
      </w:r>
    </w:p>
    <w:p>
      <w:pPr>
        <w:pBdr>
          <w:bottom w:val="single" w:sz="6" w:space="1" w:color="CCCCCC"/>
        </w:pBdr>
      </w:pPr>
    </w:p>
    <w:p>
      <w:pPr>
        <w:pStyle w:val="Heading2"/>
      </w:pPr>
      <w:r>
        <w:t>Comparison Table</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812"/>
        <w:gridCol w:w="1138"/>
        <w:gridCol w:w="1411"/>
        <w:gridCol w:w="3011"/>
      </w:tblGrid>
      <w:tr>
        <w:tc>
          <w:tcPr>
            <w:tcW w:type="dxa" w:w="812"/>
            <w:shd w:val="clear" w:color="auto" w:fill="F0F0F0"/>
          </w:tcPr>
          <w:p>
            <w:pPr>
              <w:spacing w:before="20" w:after="20"/>
              <w:jc w:val="center"/>
            </w:pPr>
            <w:r>
              <w:rPr>
                <w:rFonts w:ascii="Libre Franklin" w:hAnsi="Libre Franklin"/>
                <w:b/>
                <w:sz w:val="18"/>
              </w:rPr>
              <w:t>Claimant</w:t>
            </w:r>
          </w:p>
        </w:tc>
        <w:tc>
          <w:tcPr>
            <w:tcW w:type="dxa" w:w="1138"/>
            <w:shd w:val="clear" w:color="auto" w:fill="F0F0F0"/>
          </w:tcPr>
          <w:p>
            <w:pPr>
              <w:spacing w:before="20" w:after="20"/>
              <w:jc w:val="center"/>
            </w:pPr>
            <w:r>
              <w:rPr>
                <w:rFonts w:ascii="Libre Franklin" w:hAnsi="Libre Franklin"/>
                <w:b/>
                <w:sz w:val="18"/>
              </w:rPr>
              <w:t>Phantom Years</w:t>
            </w:r>
          </w:p>
        </w:tc>
        <w:tc>
          <w:tcPr>
            <w:tcW w:type="dxa" w:w="1411"/>
            <w:shd w:val="clear" w:color="auto" w:fill="F0F0F0"/>
          </w:tcPr>
          <w:p>
            <w:pPr>
              <w:spacing w:before="20" w:after="20"/>
              <w:jc w:val="center"/>
            </w:pPr>
            <w:r>
              <w:rPr>
                <w:rFonts w:ascii="Libre Franklin" w:hAnsi="Libre Franklin"/>
                <w:b/>
                <w:sz w:val="18"/>
              </w:rPr>
              <w:t>Method</w:t>
            </w:r>
          </w:p>
        </w:tc>
        <w:tc>
          <w:tcPr>
            <w:tcW w:type="dxa" w:w="3011"/>
            <w:shd w:val="clear" w:color="auto" w:fill="F0F0F0"/>
          </w:tcPr>
          <w:p>
            <w:pPr>
              <w:spacing w:before="20" w:after="20"/>
              <w:jc w:val="center"/>
            </w:pPr>
            <w:r>
              <w:rPr>
                <w:rFonts w:ascii="Libre Franklin" w:hAnsi="Libre Franklin"/>
                <w:b/>
                <w:sz w:val="18"/>
              </w:rPr>
              <w:t>Mechanism</w:t>
            </w:r>
          </w:p>
        </w:tc>
      </w:tr>
      <w:tr>
        <w:tc>
          <w:tcPr>
            <w:tcW w:type="dxa" w:w="812"/>
          </w:tcPr>
          <w:p>
            <w:pPr>
              <w:spacing w:before="20" w:after="20"/>
            </w:pPr>
            <w:r>
              <w:rPr>
                <w:b w:val="0"/>
                <w:i w:val="0"/>
                <w:sz w:val="18"/>
              </w:rPr>
            </w:r>
            <w:r>
              <w:rPr>
                <w:b/>
                <w:i w:val="0"/>
                <w:sz w:val="18"/>
              </w:rPr>
              <w:t>Illig</w:t>
            </w:r>
            <w:r>
              <w:rPr>
                <w:b w:val="0"/>
                <w:i w:val="0"/>
                <w:sz w:val="18"/>
              </w:rPr>
            </w:r>
          </w:p>
        </w:tc>
        <w:tc>
          <w:tcPr>
            <w:tcW w:type="dxa" w:w="1138"/>
          </w:tcPr>
          <w:p>
            <w:pPr>
              <w:spacing w:before="20" w:after="20"/>
            </w:pPr>
            <w:r>
              <w:rPr>
                <w:b w:val="0"/>
                <w:i w:val="0"/>
                <w:sz w:val="18"/>
              </w:rPr>
              <w:t>~297 (614–911 CE)</w:t>
            </w:r>
          </w:p>
        </w:tc>
        <w:tc>
          <w:tcPr>
            <w:tcW w:type="dxa" w:w="1411"/>
          </w:tcPr>
          <w:p>
            <w:pPr>
              <w:spacing w:before="20" w:after="20"/>
            </w:pPr>
            <w:r>
              <w:rPr>
                <w:b w:val="0"/>
                <w:i w:val="0"/>
                <w:sz w:val="18"/>
              </w:rPr>
              <w:t>Calendar drift; absent archaeology</w:t>
            </w:r>
          </w:p>
        </w:tc>
        <w:tc>
          <w:tcPr>
            <w:tcW w:type="dxa" w:w="3011"/>
          </w:tcPr>
          <w:p>
            <w:pPr>
              <w:spacing w:before="20" w:after="20"/>
            </w:pPr>
            <w:r>
              <w:rPr>
                <w:b w:val="0"/>
                <w:i w:val="0"/>
                <w:sz w:val="18"/>
              </w:rPr>
              <w:t>Otto III, Sylvester II, Constantine VII inserted phantom centuries</w:t>
            </w:r>
          </w:p>
        </w:tc>
      </w:tr>
      <w:tr>
        <w:tc>
          <w:tcPr>
            <w:tcW w:type="dxa" w:w="812"/>
          </w:tcPr>
          <w:p>
            <w:pPr>
              <w:spacing w:before="20" w:after="20"/>
            </w:pPr>
            <w:r>
              <w:rPr>
                <w:b w:val="0"/>
                <w:i w:val="0"/>
                <w:sz w:val="18"/>
              </w:rPr>
            </w:r>
            <w:r>
              <w:rPr>
                <w:b/>
                <w:i w:val="0"/>
                <w:sz w:val="18"/>
              </w:rPr>
              <w:t>Heinsohn</w:t>
            </w:r>
            <w:r>
              <w:rPr>
                <w:b w:val="0"/>
                <w:i w:val="0"/>
                <w:sz w:val="18"/>
              </w:rPr>
            </w:r>
          </w:p>
        </w:tc>
        <w:tc>
          <w:tcPr>
            <w:tcW w:type="dxa" w:w="1138"/>
          </w:tcPr>
          <w:p>
            <w:pPr>
              <w:spacing w:before="20" w:after="20"/>
            </w:pPr>
            <w:r>
              <w:rPr>
                <w:b w:val="0"/>
                <w:i w:val="0"/>
                <w:sz w:val="18"/>
              </w:rPr>
              <w:t>~700 (1st mill. BCE + early medieval)</w:t>
            </w:r>
          </w:p>
        </w:tc>
        <w:tc>
          <w:tcPr>
            <w:tcW w:type="dxa" w:w="1411"/>
          </w:tcPr>
          <w:p>
            <w:pPr>
              <w:spacing w:before="20" w:after="20"/>
            </w:pPr>
            <w:r>
              <w:rPr>
                <w:b w:val="0"/>
                <w:i w:val="0"/>
                <w:sz w:val="18"/>
              </w:rPr>
              <w:t>Stratigraphy</w:t>
            </w:r>
          </w:p>
        </w:tc>
        <w:tc>
          <w:tcPr>
            <w:tcW w:type="dxa" w:w="3011"/>
          </w:tcPr>
          <w:p>
            <w:pPr>
              <w:spacing w:before="20" w:after="20"/>
            </w:pPr>
            <w:r>
              <w:rPr>
                <w:b w:val="0"/>
                <w:i w:val="0"/>
                <w:sz w:val="18"/>
              </w:rPr>
              <w:t>"Ghost empires" = same stratum counted multiple times</w:t>
            </w:r>
          </w:p>
        </w:tc>
      </w:tr>
      <w:tr>
        <w:tc>
          <w:tcPr>
            <w:tcW w:type="dxa" w:w="812"/>
          </w:tcPr>
          <w:p>
            <w:pPr>
              <w:spacing w:before="20" w:after="20"/>
            </w:pPr>
            <w:r>
              <w:rPr>
                <w:b w:val="0"/>
                <w:i w:val="0"/>
                <w:sz w:val="18"/>
              </w:rPr>
            </w:r>
            <w:r>
              <w:rPr>
                <w:b/>
                <w:i w:val="0"/>
                <w:sz w:val="18"/>
              </w:rPr>
              <w:t>Velikovsky</w:t>
            </w:r>
            <w:r>
              <w:rPr>
                <w:b w:val="0"/>
                <w:i w:val="0"/>
                <w:sz w:val="18"/>
              </w:rPr>
            </w:r>
          </w:p>
        </w:tc>
        <w:tc>
          <w:tcPr>
            <w:tcW w:type="dxa" w:w="1138"/>
          </w:tcPr>
          <w:p>
            <w:pPr>
              <w:spacing w:before="20" w:after="20"/>
            </w:pPr>
            <w:r>
              <w:rPr>
                <w:b w:val="0"/>
                <w:i w:val="0"/>
                <w:sz w:val="18"/>
              </w:rPr>
              <w:t>~500 (Egyptian only)</w:t>
            </w:r>
          </w:p>
        </w:tc>
        <w:tc>
          <w:tcPr>
            <w:tcW w:type="dxa" w:w="1411"/>
          </w:tcPr>
          <w:p>
            <w:pPr>
              <w:spacing w:before="20" w:after="20"/>
            </w:pPr>
            <w:r>
              <w:rPr>
                <w:b w:val="0"/>
                <w:i w:val="0"/>
                <w:sz w:val="18"/>
              </w:rPr>
              <w:t>Comparative textual analysis</w:t>
            </w:r>
          </w:p>
        </w:tc>
        <w:tc>
          <w:tcPr>
            <w:tcW w:type="dxa" w:w="3011"/>
          </w:tcPr>
          <w:p>
            <w:pPr>
              <w:spacing w:before="20" w:after="20"/>
            </w:pPr>
            <w:r>
              <w:rPr>
                <w:b w:val="0"/>
                <w:i w:val="0"/>
                <w:sz w:val="18"/>
              </w:rPr>
              <w:t>Egyptian dates shifted ~500yr; scholarly error, not conspiracy</w:t>
            </w:r>
          </w:p>
        </w:tc>
      </w:tr>
      <w:tr>
        <w:tc>
          <w:tcPr>
            <w:tcW w:type="dxa" w:w="812"/>
          </w:tcPr>
          <w:p>
            <w:pPr>
              <w:spacing w:before="20" w:after="20"/>
            </w:pPr>
            <w:r>
              <w:rPr>
                <w:b w:val="0"/>
                <w:i w:val="0"/>
                <w:sz w:val="18"/>
              </w:rPr>
            </w:r>
            <w:r>
              <w:rPr>
                <w:b/>
                <w:i w:val="0"/>
                <w:sz w:val="18"/>
              </w:rPr>
              <w:t>Fomenko</w:t>
            </w:r>
            <w:r>
              <w:rPr>
                <w:b w:val="0"/>
                <w:i w:val="0"/>
                <w:sz w:val="18"/>
              </w:rPr>
            </w:r>
          </w:p>
        </w:tc>
        <w:tc>
          <w:tcPr>
            <w:tcW w:type="dxa" w:w="1138"/>
          </w:tcPr>
          <w:p>
            <w:pPr>
              <w:spacing w:before="20" w:after="20"/>
            </w:pPr>
            <w:r>
              <w:rPr>
                <w:b w:val="0"/>
                <w:i w:val="0"/>
                <w:sz w:val="18"/>
              </w:rPr>
              <w:t>~1,053 (1st mill. CE)</w:t>
            </w:r>
          </w:p>
        </w:tc>
        <w:tc>
          <w:tcPr>
            <w:tcW w:type="dxa" w:w="1411"/>
          </w:tcPr>
          <w:p>
            <w:pPr>
              <w:spacing w:before="20" w:after="20"/>
            </w:pPr>
            <w:r>
              <w:rPr>
                <w:b w:val="0"/>
                <w:i w:val="0"/>
                <w:sz w:val="18"/>
              </w:rPr>
              <w:t>Statistical dynasty analysis; eclipse verification</w:t>
            </w:r>
          </w:p>
        </w:tc>
        <w:tc>
          <w:tcPr>
            <w:tcW w:type="dxa" w:w="3011"/>
          </w:tcPr>
          <w:p>
            <w:pPr>
              <w:spacing w:before="20" w:after="20"/>
            </w:pPr>
            <w:r>
              <w:rPr>
                <w:b w:val="0"/>
                <w:i w:val="0"/>
                <w:sz w:val="18"/>
              </w:rPr>
              <w:t>Four copies of one brief chronicle shifted ~333, ~1,053, ~1,800 years</w:t>
            </w:r>
          </w:p>
        </w:tc>
      </w:tr>
      <w:tr>
        <w:tc>
          <w:tcPr>
            <w:tcW w:type="dxa" w:w="812"/>
          </w:tcPr>
          <w:p>
            <w:pPr>
              <w:spacing w:before="20" w:after="20"/>
            </w:pPr>
            <w:r>
              <w:rPr>
                <w:b w:val="0"/>
                <w:i w:val="0"/>
                <w:sz w:val="18"/>
              </w:rPr>
            </w:r>
            <w:r>
              <w:rPr>
                <w:b/>
                <w:i w:val="0"/>
                <w:sz w:val="18"/>
              </w:rPr>
              <w:t>This Project</w:t>
            </w:r>
            <w:r>
              <w:rPr>
                <w:b w:val="0"/>
                <w:i w:val="0"/>
                <w:sz w:val="18"/>
              </w:rPr>
            </w:r>
          </w:p>
        </w:tc>
        <w:tc>
          <w:tcPr>
            <w:tcW w:type="dxa" w:w="1138"/>
          </w:tcPr>
          <w:p>
            <w:pPr>
              <w:spacing w:before="20" w:after="20"/>
            </w:pPr>
            <w:r>
              <w:rPr>
                <w:b w:val="0"/>
                <w:i w:val="0"/>
                <w:sz w:val="18"/>
              </w:rPr>
            </w:r>
            <w:r>
              <w:rPr>
                <w:b/>
                <w:i w:val="0"/>
                <w:sz w:val="18"/>
              </w:rPr>
              <w:t>1,723</w:t>
            </w:r>
            <w:r>
              <w:rPr>
                <w:b w:val="0"/>
                <w:i w:val="0"/>
                <w:sz w:val="18"/>
              </w:rPr>
              <w:t xml:space="preserve"> (670 BCE → 1053 CE)</w:t>
            </w:r>
          </w:p>
        </w:tc>
        <w:tc>
          <w:tcPr>
            <w:tcW w:type="dxa" w:w="1411"/>
          </w:tcPr>
          <w:p>
            <w:pPr>
              <w:spacing w:before="20" w:after="20"/>
            </w:pPr>
            <w:r>
              <w:rPr>
                <w:b w:val="0"/>
                <w:i w:val="0"/>
                <w:sz w:val="18"/>
              </w:rPr>
              <w:t>Fomenko + Cook's orbital chronology</w:t>
            </w:r>
          </w:p>
        </w:tc>
        <w:tc>
          <w:tcPr>
            <w:tcW w:type="dxa" w:w="3011"/>
          </w:tcPr>
          <w:p>
            <w:pPr>
              <w:spacing w:before="20" w:after="20"/>
            </w:pPr>
            <w:r>
              <w:rPr>
                <w:b w:val="0"/>
                <w:i w:val="0"/>
                <w:sz w:val="18"/>
              </w:rPr>
              <w:t xml:space="preserve">Pyramidal Empire reversed calendar at Year Zero; Jesuits reinterpreted </w:t>
            </w:r>
            <w:r>
              <w:rPr>
                <w:b w:val="0"/>
                <w:i w:val="0"/>
                <w:sz w:val="18"/>
              </w:rPr>
              <w:t>ι</w:t>
            </w:r>
            <w:r>
              <w:rPr>
                <w:b w:val="0"/>
                <w:i w:val="0"/>
                <w:sz w:val="18"/>
              </w:rPr>
              <w:t xml:space="preserve"> as 1000</w:t>
            </w:r>
          </w:p>
        </w:tc>
      </w:tr>
    </w:tbl>
    <w:p/>
    <w:p>
      <w:pPr>
        <w:pBdr>
          <w:bottom w:val="single" w:sz="6" w:space="1" w:color="CCCCCC"/>
        </w:pBdr>
      </w:pPr>
    </w:p>
    <w:p>
      <w:pPr>
        <w:pStyle w:val="Heading2"/>
      </w:pPr>
      <w:r>
        <w:t>Where They Agree</w:t>
      </w:r>
    </w:p>
    <w:p>
      <w:pPr>
        <w:pStyle w:val="ListNumber"/>
        <w:spacing w:before="20" w:after="20"/>
      </w:pPr>
      <w:r>
        <w:rPr>
          <w:b w:val="0"/>
          <w:i w:val="0"/>
          <w:sz w:val="19"/>
        </w:rPr>
      </w:r>
      <w:r>
        <w:rPr>
          <w:b/>
          <w:i w:val="0"/>
          <w:sz w:val="19"/>
        </w:rPr>
        <w:t>Something is missing</w:t>
      </w:r>
      <w:r>
        <w:rPr>
          <w:b w:val="0"/>
          <w:i w:val="0"/>
          <w:sz w:val="19"/>
        </w:rPr>
        <w:t xml:space="preserve"> — archaeological, stratigraphic, astronomical, and statistical evidence all point to phantom centuries.</w:t>
      </w:r>
    </w:p>
    <w:p>
      <w:pPr>
        <w:pStyle w:val="ListNumber"/>
        <w:spacing w:before="20" w:after="20"/>
      </w:pPr>
      <w:r>
        <w:rPr>
          <w:b w:val="0"/>
          <w:i w:val="0"/>
          <w:sz w:val="19"/>
        </w:rPr>
      </w:r>
      <w:r>
        <w:rPr>
          <w:b/>
          <w:i w:val="0"/>
          <w:sz w:val="19"/>
        </w:rPr>
        <w:t>Gap is medieval</w:t>
      </w:r>
      <w:r>
        <w:rPr>
          <w:b w:val="0"/>
          <w:i w:val="0"/>
          <w:sz w:val="19"/>
        </w:rPr>
        <w:t xml:space="preserve"> — concentrated between late antiquity and High Middle Ages, when Church controlled scriptoria.</w:t>
      </w:r>
    </w:p>
    <w:p>
      <w:pPr>
        <w:pStyle w:val="ListNumber"/>
        <w:spacing w:before="20" w:after="20"/>
      </w:pPr>
      <w:r>
        <w:rPr>
          <w:b w:val="0"/>
          <w:i w:val="0"/>
          <w:sz w:val="19"/>
        </w:rPr>
      </w:r>
      <w:r>
        <w:rPr>
          <w:b/>
          <w:i w:val="0"/>
          <w:sz w:val="19"/>
        </w:rPr>
        <w:t>Mechanism is institutional</w:t>
      </w:r>
      <w:r>
        <w:rPr>
          <w:b w:val="0"/>
          <w:i w:val="0"/>
          <w:sz w:val="19"/>
        </w:rPr>
        <w:t xml:space="preserve"> — fabrication by institutions controlling record-keeping.</w:t>
      </w:r>
    </w:p>
    <w:p>
      <w:pPr>
        <w:pStyle w:val="Heading2"/>
      </w:pPr>
      <w:r>
        <w:t>Where They Diverge</w:t>
      </w:r>
    </w:p>
    <w:p>
      <w:r>
        <w:rPr>
          <w:b w:val="0"/>
          <w:i w:val="0"/>
        </w:rPr>
      </w:r>
      <w:r>
        <w:rPr>
          <w:b/>
          <w:i w:val="0"/>
        </w:rPr>
        <w:t>Size</w:t>
      </w:r>
      <w:r>
        <w:rPr>
          <w:b w:val="0"/>
          <w:i w:val="0"/>
        </w:rPr>
        <w:t>: Estimates range from ~297 years (Illig) to 1,723 (this project). But they nest: Illig's 297 is subset of Fomenko's 1,053; Heinsohn targets 1st millennium BCE; Velikovsky limited to Egyptian chronology; this project extends Fomenko by adding ~670 years from Cook's orbital chronology.</w:t>
      </w:r>
    </w:p>
    <w:p>
      <w:r>
        <w:rPr>
          <w:b w:val="0"/>
          <w:i w:val="0"/>
        </w:rPr>
      </w:r>
      <w:r>
        <w:rPr>
          <w:b/>
          <w:i w:val="0"/>
        </w:rPr>
        <w:t>Motive</w:t>
      </w:r>
      <w:r>
        <w:rPr>
          <w:b w:val="0"/>
          <w:i w:val="0"/>
        </w:rPr>
        <w:t xml:space="preserve">: Illig proposes one-time political fabrication. Heinsohn sees systemic inflation. Velikovsky saw scholarly error. Fomenko identifies institutional momentum. This project identifies theological motive: Pyramidal Empire erased planetary gods, imposed </w:t>
      </w:r>
      <w:hyperlink r:id="rId275">
        <w:r>
          <w:rPr>
            <w:b w:val="0"/>
            <w:i w:val="0"/>
            <w:color w:val="B8860B"/>
          </w:rPr>
          <w:t>doctrine of constancy</w:t>
        </w:r>
      </w:hyperlink>
      <w:r>
        <w:rPr>
          <w:b w:val="0"/>
          <w:i w:val="0"/>
        </w:rPr>
        <w:t>.</w:t>
      </w:r>
    </w:p>
    <w:p>
      <w:r>
        <w:rPr>
          <w:b w:val="0"/>
          <w:i w:val="0"/>
        </w:rPr>
      </w:r>
      <w:r>
        <w:rPr>
          <w:b/>
          <w:i w:val="0"/>
        </w:rPr>
        <w:t>Year Zero</w:t>
      </w:r>
      <w:r>
        <w:rPr>
          <w:b w:val="0"/>
          <w:i w:val="0"/>
        </w:rPr>
        <w:t>:</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627"/>
        <w:gridCol w:w="1390"/>
        <w:gridCol w:w="3356"/>
      </w:tblGrid>
      <w:tr>
        <w:tc>
          <w:tcPr>
            <w:tcW w:type="dxa" w:w="1627"/>
            <w:shd w:val="clear" w:color="auto" w:fill="F0F0F0"/>
          </w:tcPr>
          <w:p>
            <w:pPr>
              <w:spacing w:before="20" w:after="20"/>
              <w:jc w:val="center"/>
            </w:pPr>
            <w:r>
              <w:rPr>
                <w:rFonts w:ascii="Libre Franklin" w:hAnsi="Libre Franklin"/>
                <w:b/>
                <w:sz w:val="18"/>
              </w:rPr>
              <w:t>Framework</w:t>
            </w:r>
          </w:p>
        </w:tc>
        <w:tc>
          <w:tcPr>
            <w:tcW w:type="dxa" w:w="1390"/>
            <w:shd w:val="clear" w:color="auto" w:fill="F0F0F0"/>
          </w:tcPr>
          <w:p>
            <w:pPr>
              <w:spacing w:before="20" w:after="20"/>
              <w:jc w:val="center"/>
            </w:pPr>
            <w:r>
              <w:rPr>
                <w:rFonts w:ascii="Libre Franklin" w:hAnsi="Libre Franklin"/>
                <w:b/>
                <w:sz w:val="18"/>
              </w:rPr>
              <w:t>Year Zero =</w:t>
            </w:r>
          </w:p>
        </w:tc>
        <w:tc>
          <w:tcPr>
            <w:tcW w:type="dxa" w:w="3356"/>
            <w:shd w:val="clear" w:color="auto" w:fill="F0F0F0"/>
          </w:tcPr>
          <w:p>
            <w:pPr>
              <w:spacing w:before="20" w:after="20"/>
              <w:jc w:val="center"/>
            </w:pPr>
            <w:r>
              <w:rPr>
                <w:rFonts w:ascii="Libre Franklin" w:hAnsi="Libre Franklin"/>
                <w:b/>
                <w:sz w:val="18"/>
              </w:rPr>
              <w:t>Significance</w:t>
            </w:r>
          </w:p>
        </w:tc>
      </w:tr>
      <w:tr>
        <w:tc>
          <w:tcPr>
            <w:tcW w:type="dxa" w:w="1627"/>
          </w:tcPr>
          <w:p>
            <w:pPr>
              <w:spacing w:before="20" w:after="20"/>
            </w:pPr>
            <w:r>
              <w:rPr>
                <w:b w:val="0"/>
                <w:i w:val="0"/>
                <w:sz w:val="18"/>
              </w:rPr>
              <w:t>Illig</w:t>
            </w:r>
          </w:p>
        </w:tc>
        <w:tc>
          <w:tcPr>
            <w:tcW w:type="dxa" w:w="1390"/>
          </w:tcPr>
          <w:p>
            <w:pPr>
              <w:spacing w:before="20" w:after="20"/>
            </w:pPr>
            <w:r>
              <w:rPr>
                <w:b w:val="0"/>
                <w:i w:val="0"/>
                <w:sz w:val="18"/>
              </w:rPr>
              <w:t>~614 CE</w:t>
            </w:r>
          </w:p>
        </w:tc>
        <w:tc>
          <w:tcPr>
            <w:tcW w:type="dxa" w:w="3356"/>
          </w:tcPr>
          <w:p>
            <w:pPr>
              <w:spacing w:before="20" w:after="20"/>
            </w:pPr>
            <w:r>
              <w:rPr>
                <w:b w:val="0"/>
                <w:i w:val="0"/>
                <w:sz w:val="18"/>
              </w:rPr>
              <w:t>Political calculation</w:t>
            </w:r>
          </w:p>
        </w:tc>
      </w:tr>
      <w:tr>
        <w:tc>
          <w:tcPr>
            <w:tcW w:type="dxa" w:w="1627"/>
          </w:tcPr>
          <w:p>
            <w:pPr>
              <w:spacing w:before="20" w:after="20"/>
            </w:pPr>
            <w:r>
              <w:rPr>
                <w:b w:val="0"/>
                <w:i w:val="0"/>
                <w:sz w:val="18"/>
              </w:rPr>
              <w:t>Heinsohn</w:t>
            </w:r>
          </w:p>
        </w:tc>
        <w:tc>
          <w:tcPr>
            <w:tcW w:type="dxa" w:w="1390"/>
          </w:tcPr>
          <w:p>
            <w:pPr>
              <w:spacing w:before="20" w:after="20"/>
            </w:pPr>
            <w:r>
              <w:rPr>
                <w:b w:val="0"/>
                <w:i w:val="0"/>
                <w:sz w:val="18"/>
              </w:rPr>
              <w:t>~930 CE</w:t>
            </w:r>
          </w:p>
        </w:tc>
        <w:tc>
          <w:tcPr>
            <w:tcW w:type="dxa" w:w="3356"/>
          </w:tcPr>
          <w:p>
            <w:pPr>
              <w:spacing w:before="20" w:after="20"/>
            </w:pPr>
            <w:r>
              <w:rPr>
                <w:b w:val="0"/>
                <w:i w:val="0"/>
                <w:sz w:val="18"/>
              </w:rPr>
              <w:t>Physical catastrophe</w:t>
            </w:r>
          </w:p>
        </w:tc>
      </w:tr>
      <w:tr>
        <w:tc>
          <w:tcPr>
            <w:tcW w:type="dxa" w:w="1627"/>
          </w:tcPr>
          <w:p>
            <w:pPr>
              <w:spacing w:before="20" w:after="20"/>
            </w:pPr>
            <w:r>
              <w:rPr>
                <w:b w:val="0"/>
                <w:i w:val="0"/>
                <w:sz w:val="18"/>
              </w:rPr>
              <w:t>Fomenko</w:t>
            </w:r>
          </w:p>
        </w:tc>
        <w:tc>
          <w:tcPr>
            <w:tcW w:type="dxa" w:w="1390"/>
          </w:tcPr>
          <w:p>
            <w:pPr>
              <w:spacing w:before="20" w:after="20"/>
            </w:pPr>
            <w:r>
              <w:rPr>
                <w:b w:val="0"/>
                <w:i w:val="0"/>
                <w:sz w:val="18"/>
              </w:rPr>
              <w:t>~1053 CE</w:t>
            </w:r>
          </w:p>
        </w:tc>
        <w:tc>
          <w:tcPr>
            <w:tcW w:type="dxa" w:w="3356"/>
          </w:tcPr>
          <w:p>
            <w:pPr>
              <w:spacing w:before="20" w:after="20"/>
            </w:pPr>
            <w:r>
              <w:rPr>
                <w:b w:val="0"/>
                <w:i w:val="0"/>
                <w:sz w:val="18"/>
              </w:rPr>
              <w:t>Statistical artefact</w:t>
            </w:r>
          </w:p>
        </w:tc>
      </w:tr>
      <w:tr>
        <w:tc>
          <w:tcPr>
            <w:tcW w:type="dxa" w:w="1627"/>
          </w:tcPr>
          <w:p>
            <w:pPr>
              <w:spacing w:before="20" w:after="20"/>
            </w:pPr>
            <w:r>
              <w:rPr>
                <w:b w:val="0"/>
                <w:i w:val="0"/>
                <w:sz w:val="18"/>
              </w:rPr>
              <w:t>Cook / this project</w:t>
            </w:r>
          </w:p>
        </w:tc>
        <w:tc>
          <w:tcPr>
            <w:tcW w:type="dxa" w:w="1390"/>
          </w:tcPr>
          <w:p>
            <w:pPr>
              <w:spacing w:before="20" w:after="20"/>
            </w:pPr>
            <w:r>
              <w:rPr>
                <w:b w:val="0"/>
                <w:i w:val="0"/>
                <w:sz w:val="18"/>
              </w:rPr>
              <w:t>~684 BCE</w:t>
            </w:r>
          </w:p>
        </w:tc>
        <w:tc>
          <w:tcPr>
            <w:tcW w:type="dxa" w:w="3356"/>
          </w:tcPr>
          <w:p>
            <w:pPr>
              <w:spacing w:before="20" w:after="20"/>
            </w:pPr>
            <w:r>
              <w:rPr>
                <w:b w:val="0"/>
                <w:i w:val="0"/>
                <w:sz w:val="18"/>
              </w:rPr>
              <w:t>End of planetary cataclysm</w:t>
            </w:r>
          </w:p>
        </w:tc>
      </w:tr>
    </w:tbl>
    <w:p/>
    <w:p>
      <w:r>
        <w:rPr>
          <w:b w:val="0"/>
          <w:i w:val="0"/>
        </w:rPr>
        <w:t xml:space="preserve">This project argues 684 BCE, Year Zero, and 1053 CE are </w:t>
      </w:r>
      <w:r>
        <w:rPr>
          <w:b/>
          <w:i w:val="0"/>
        </w:rPr>
        <w:t>the same moment</w:t>
      </w:r>
      <w:r>
        <w:rPr>
          <w:b w:val="0"/>
          <w:i w:val="0"/>
        </w:rPr>
        <w:t xml:space="preserve"> — separated only by fabricated Blip. See </w:t>
      </w:r>
      <w:hyperlink r:id="rId276">
        <w:r>
          <w:rPr>
            <w:b w:val="0"/>
            <w:i w:val="0"/>
            <w:color w:val="B8860B"/>
          </w:rPr>
          <w:t>The Blip</w:t>
        </w:r>
      </w:hyperlink>
      <w:r>
        <w:rPr>
          <w:b w:val="0"/>
          <w:i w:val="0"/>
        </w:rPr>
        <w:t>.</w:t>
      </w:r>
    </w:p>
    <w:p>
      <w:pPr>
        <w:pBdr>
          <w:bottom w:val="single" w:sz="6" w:space="1" w:color="CCCCCC"/>
        </w:pBdr>
      </w:pPr>
    </w:p>
    <w:p>
      <w:pPr>
        <w:pStyle w:val="Heading2"/>
      </w:pPr>
      <w:r>
        <w:t>The Julian Calendar Proof</w:t>
      </w:r>
    </w:p>
    <w:p>
      <w:r>
        <w:rPr>
          <w:b w:val="0"/>
          <w:i w:val="0"/>
        </w:rPr>
        <w:t xml:space="preserve">Julian calendar gains ~1 day every 128 years. By Gregory XIII's 1582 reform, 10 days accumulated. But 1,582 years since adoption (46 BCE) should produce ~12.4 days. The </w:t>
      </w:r>
      <w:r>
        <w:rPr>
          <w:b/>
          <w:i w:val="0"/>
        </w:rPr>
        <w:t>~2.4 missing days</w:t>
      </w:r>
      <w:r>
        <w:rPr>
          <w:b w:val="0"/>
          <w:i w:val="0"/>
        </w:rPr>
        <w:t xml:space="preserve"> ≈ </w:t>
      </w:r>
      <w:r>
        <w:rPr>
          <w:b/>
          <w:i w:val="0"/>
        </w:rPr>
        <w:t>~307 phantom years</w:t>
      </w:r>
      <w:r>
        <w:rPr>
          <w:b w:val="0"/>
          <w:i w:val="0"/>
        </w:rPr>
        <w:t xml:space="preserve"> — close to Illig's 297. Fomenko absorbs this into larger 1,053-year shift: calendar was not running because those years did not happen.</w:t>
      </w:r>
    </w:p>
    <w:p>
      <w:pPr>
        <w:pBdr>
          <w:bottom w:val="single" w:sz="6" w:space="1" w:color="CCCCCC"/>
        </w:pBdr>
      </w:pPr>
    </w:p>
    <w:p>
      <w:pPr>
        <w:pStyle w:val="Heading2"/>
      </w:pPr>
      <w:r>
        <w:t>Why This Matters</w:t>
      </w:r>
    </w:p>
    <w:p>
      <w:r>
        <w:rPr>
          <w:b w:val="0"/>
          <w:i w:val="0"/>
        </w:rPr>
        <w:t xml:space="preserve">Gap size determines: (1) how recently cataclysm ended — if 1,723 years, less than 1,000 years ago; (2) how much living memory survived — oral traditions of planet-gods still circulating when first churches were built; (3) how much redaction was needed. This project adopts largest gap because it alone accounts for both Fomenko's statistical evidence </w:t>
      </w:r>
      <w:r>
        <w:rPr>
          <w:b w:val="0"/>
          <w:i/>
        </w:rPr>
        <w:t>and</w:t>
      </w:r>
      <w:r>
        <w:rPr>
          <w:b w:val="0"/>
          <w:i w:val="0"/>
        </w:rPr>
        <w:t xml:space="preserve"> Cook's orbital chronology.</w:t>
      </w:r>
    </w:p>
    <w:p/>
    <w:p>
      <w:pPr>
        <w:sectPr>
          <w:headerReference w:type="default" r:id="rId271"/>
          <w:footerReference w:type="default" r:id="rId272"/>
          <w:pgSz w:w="8640" w:h="12960"/>
          <w:pgMar w:top="1020" w:right="1134" w:bottom="1134" w:left="1134" w:header="720" w:footer="720" w:gutter="0"/>
          <w:cols w:space="720"/>
          <w:titlePg/>
          <w:docGrid w:linePitch="360"/>
        </w:sectPr>
      </w:pPr>
    </w:p>
    <w:p>
      <w:pPr>
        <w:pStyle w:val="Heading1"/>
      </w:pPr>
      <w:r>
        <w:rPr>
          <w:b/>
        </w:rPr>
        <w:t>Part XVII — Credits</w:t>
      </w:r>
    </w:p>
    <w:p>
      <w:r>
        <w:rPr>
          <w:b w:val="0"/>
          <w:i w:val="0"/>
        </w:rPr>
        <w:t>This project is the result of years of independent research, and would not exist without the contributions, feedback, and support of the following people.</w:t>
      </w:r>
    </w:p>
    <w:p>
      <w:pPr>
        <w:pBdr>
          <w:bottom w:val="single" w:sz="6" w:space="1" w:color="CCCCCC"/>
        </w:pBdr>
      </w:pPr>
    </w:p>
    <w:p>
      <w:pPr>
        <w:pStyle w:val="Heading2"/>
      </w:pPr>
      <w:r>
        <w:t>Research Contributors</w:t>
      </w:r>
    </w:p>
    <w:tbl>
      <w:tblPr>
        <w:tblStyle w:val="TableGrid"/>
        <w:tblW w:type="auto" w:w="0"/>
        <w:tblLayout w:type="fixed"/>
        <w:tblLook w:firstColumn="1" w:firstRow="1" w:lastColumn="0" w:lastRow="0" w:noHBand="0" w:noVBand="1" w:val="04A0"/>
        <w:tblCellMar>
          <w:top w:w="30" w:type="dxa"/>
          <w:bottom w:w="30" w:type="dxa"/>
          <w:left w:w="60" w:type="dxa"/>
          <w:right w:w="60" w:type="dxa"/>
        </w:tblCellMar>
      </w:tblPr>
      <w:tblGrid>
        <w:gridCol w:w="1526"/>
        <w:gridCol w:w="4847"/>
      </w:tblGrid>
      <w:tr>
        <w:tc>
          <w:tcPr>
            <w:tcW w:type="dxa" w:w="1526"/>
            <w:shd w:val="clear" w:color="auto" w:fill="F0F0F0"/>
          </w:tcPr>
          <w:p>
            <w:pPr>
              <w:spacing w:before="20" w:after="20"/>
              <w:jc w:val="center"/>
            </w:pPr>
            <w:r>
              <w:rPr>
                <w:rFonts w:ascii="Libre Franklin" w:hAnsi="Libre Franklin"/>
                <w:b/>
                <w:sz w:val="18"/>
              </w:rPr>
              <w:t>Name</w:t>
            </w:r>
          </w:p>
        </w:tc>
        <w:tc>
          <w:tcPr>
            <w:tcW w:type="dxa" w:w="4847"/>
            <w:shd w:val="clear" w:color="auto" w:fill="F0F0F0"/>
          </w:tcPr>
          <w:p>
            <w:pPr>
              <w:spacing w:before="20" w:after="20"/>
              <w:jc w:val="center"/>
            </w:pPr>
            <w:r>
              <w:rPr>
                <w:rFonts w:ascii="Libre Franklin" w:hAnsi="Libre Franklin"/>
                <w:b/>
                <w:sz w:val="18"/>
              </w:rPr>
              <w:t>Contribution</w:t>
            </w:r>
          </w:p>
        </w:tc>
      </w:tr>
      <w:tr>
        <w:tc>
          <w:tcPr>
            <w:tcW w:type="dxa" w:w="1526"/>
          </w:tcPr>
          <w:p>
            <w:pPr>
              <w:spacing w:before="20" w:after="20"/>
            </w:pPr>
            <w:r>
              <w:rPr>
                <w:b w:val="0"/>
                <w:i w:val="0"/>
                <w:sz w:val="18"/>
              </w:rPr>
            </w:r>
            <w:r>
              <w:rPr>
                <w:b/>
                <w:i w:val="0"/>
                <w:sz w:val="18"/>
              </w:rPr>
              <w:t>Samuel Waweru</w:t>
            </w:r>
            <w:r>
              <w:rPr>
                <w:b w:val="0"/>
                <w:i w:val="0"/>
                <w:sz w:val="18"/>
              </w:rPr>
            </w:r>
          </w:p>
        </w:tc>
        <w:tc>
          <w:tcPr>
            <w:tcW w:type="dxa" w:w="4847"/>
          </w:tcPr>
          <w:p>
            <w:pPr>
              <w:spacing w:before="20" w:after="20"/>
            </w:pPr>
            <w:r>
              <w:rPr>
                <w:b w:val="0"/>
                <w:i w:val="0"/>
                <w:sz w:val="18"/>
              </w:rPr>
              <w:t>Research support and project contributions</w:t>
            </w:r>
          </w:p>
        </w:tc>
      </w:tr>
    </w:tbl>
    <w:p/>
    <w:p>
      <w:pPr>
        <w:pBdr>
          <w:bottom w:val="single" w:sz="6" w:space="1" w:color="CCCCCC"/>
        </w:pBdr>
      </w:pPr>
    </w:p>
    <w:p>
      <w:r>
        <w:rPr>
          <w:b w:val="0"/>
          <w:i/>
        </w:rPr>
        <w:t>If you have contributed to this project and would like to be listed here, please reach out.</w:t>
      </w:r>
    </w:p>
    <w:p/>
    <w:sectPr w:rsidR="00FC693F" w:rsidRPr="0006063C" w:rsidSect="00034616">
      <w:headerReference w:type="default" r:id="rId277"/>
      <w:footerReference w:type="default" r:id="rId278"/>
      <w:pgSz w:w="8640" w:h="12960"/>
      <w:pgMar w:top="1020"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888888"/>
        <w:sz w:val="17"/>
      </w:rPr>
      <w:fldChar w:fldCharType="begin"/>
    </w:r>
    <w:r>
      <w:rPr>
        <w:color w:val="888888"/>
        <w:sz w:val="17"/>
      </w:rPr>
      <w:instrText xml:space="preserve"> PAGE </w:instrText>
    </w:r>
    <w:r>
      <w:rPr>
        <w:color w:val="888888"/>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APPENDIX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PREDICTIVE PROGRAMMING: FICTION AS CONTROL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KNOWN CONTACTS WITH MARS: A CHRONOLOGICAL DOSSIER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CONTROLLED OPPOSITION: APPENDIX</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CENSORSHIP AND BOOK BURNING: THE HISTORICAL RECORD</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HISTORICAL ANTIBODIES: DETAILED PROFILES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FALSE FLAGS INVESTIGATION: EVIDENCE DOSSIER</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AUTHOR PROFILES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SUPPRESSED ENERGY TECHNOLOGY: A CROSS-REFERENCE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POPULATION CONTROL: A TIMELINE (15TH–21ST CENTURIES)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ORPHAN TRAINS, TRAIL OF TEARS, SIBERIAN EXILE — EXTENDED EVIDENCE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NAPOLEONIC WARS AND 1812 — EXTENDED EVIDENCE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TIMELINE SYNCHRONIZATION: DATE TABLES (EXTENDED)</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ASIMOV: THREE LAWS AND MARX ENCODING — EXTENDED EVIDENCE</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DEEP STATE BREAKS UP THE HORDIAN EMPIRE (EXTENDED)</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THE MUDFLOOD AND WORLD CATACLYSM: EXTENDED EVIDENCE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SOVIET HISTORIOGRAPHY: BOGDANOV AND SUPPRESSED SCIENCE (EXTENDED)</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SLAVE TRADES: EVIDENCE AND HORDE-FRACTURE THESIS (EXTENDED)</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BRITISH EMPIRE AS DEEP STATE: CASE STUDIES (EXTENDED)</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SEVEN DAYS OF CREATION (EXTENDED)</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CONTROLLED OPPOSITION: MANAGED DISCLOSURE AND GATEKEEPING (EXTENDED)</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HISTORICAL ANTIBODIES: PATTERN ANALYSIS (EXTENDED)</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FALSE FLAGS: ARCHITECTURE OF MANUFACTURED WAR (EXTENDED)</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BUILDING THE NEW CHRONOLOGY (EXTENDED)</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CENSORSHIP AND BOOK BURNING: FROM ALEXANDRIA TO THE INTERNET (EXTENDED)</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JESUIT OPERATIONS: CONVERSION, CATHOLICISM, AND THE NEW WORLD (EXTENDED)</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OTHER CHALLENGES TO CHRONOLOGY (EXTENDED)</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72" w:val="right"/>
      </w:tabs>
      <w:spacing w:after="0"/>
    </w:pPr>
    <w:r>
      <w:rPr>
        <w:color w:val="888888"/>
        <w:sz w:val="17"/>
      </w:rPr>
      <w:fldChar w:fldCharType="begin"/>
    </w:r>
    <w:r>
      <w:rPr>
        <w:color w:val="888888"/>
        <w:sz w:val="17"/>
      </w:rPr>
      <w:instrText xml:space="preserve"> PAGE </w:instrText>
    </w:r>
    <w:r>
      <w:rPr>
        <w:color w:val="888888"/>
        <w:sz w:val="17"/>
      </w:rPr>
      <w:fldChar w:fldCharType="end"/>
    </w:r>
    <w:r>
      <w:rPr>
        <w:color w:val="888888"/>
        <w:sz w:val="17"/>
      </w:rPr>
      <w:tab/>
      <w:t>CREDITS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suppressAutoHyphens w:val="0"/>
    </w:pPr>
    <w:rPr>
      <w:rFonts w:ascii="EB Garamond" w:hAnsi="EB Garamond" w:eastAsia="EB Garamond" w:cs="EB Garamond"/>
      <w:sz w:val="22"/>
      <w:lang w:val="en-US" w:eastAsia="en-US" w:bidi="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Libre Franklin" w:hAnsi="Libre Franklin"/>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re Franklin" w:hAnsi="Libre Franklin"/>
      <w:b/>
      <w:bCs/>
      <w:color w:val="2C2C2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re Franklin" w:hAnsi="Libre Franklin"/>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EB Garamond" w:hAnsi="EB Garamond"/>
      <w:b/>
      <w:bCs/>
      <w:i/>
      <w:iCs/>
      <w:color w:val="4E4E4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contextualSpacing/>
    </w:pPr>
    <w:rPr>
      <w:rFonts w:ascii="EB Garamond" w:hAnsi="EB Garamon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20"/>
      <w:contextualSpacing/>
    </w:pPr>
    <w:rPr>
      <w:rFonts w:ascii="EB Garamond" w:hAnsi="EB Garamond"/>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80"/>
      <w:ind w:left="680"/>
    </w:pPr>
    <w:rPr>
      <w:rFonts w:ascii="EB Garamond" w:hAnsi="EB Garamond"/>
      <w:i/>
      <w:iCs/>
      <w:color w:val="333333"/>
      <w:sz w:val="19"/>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jc w:val="center"/>
    </w:pPr>
    <w:rPr>
      <w:rFonts w:ascii="Libre Franklin" w:hAnsi="Libre Franklin"/>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20" w:after="40"/>
      <w:ind w:left="0"/>
      <w:jc w:val="left"/>
    </w:pPr>
    <w:rPr>
      <w:rFonts w:ascii="Libre Franklin" w:hAnsi="Libre Franklin"/>
      <w:b/>
      <w:color w:val="1A1A1A"/>
      <w:sz w:val="21"/>
    </w:rPr>
  </w:style>
  <w:style w:type="paragraph" w:customStyle="1" w:styleId="TOC2">
    <w:name w:val="TOC 2"/>
    <w:basedOn w:val="Normal"/>
    <w:pPr>
      <w:spacing w:before="20" w:after="20"/>
      <w:ind w:left="454"/>
      <w:jc w:val="left"/>
    </w:pPr>
    <w:rPr>
      <w:rFonts w:ascii="EB Garamond" w:hAnsi="EB Garamond"/>
      <w:b w:val="0"/>
      <w:color w:val="553A1A"/>
      <w:sz w:val="19"/>
    </w:rPr>
  </w:style>
  <w:style w:type="paragraph" w:customStyle="1" w:styleId="TOC3">
    <w:name w:val="TOC 3"/>
    <w:basedOn w:val="Normal"/>
    <w:pPr>
      <w:spacing w:before="0" w:after="0"/>
      <w:ind w:left="794"/>
      <w:jc w:val="left"/>
    </w:pPr>
    <w:rPr>
      <w:rFonts w:ascii="EB Garamond" w:hAnsi="EB Garamond"/>
      <w:b w:val="0"/>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timeline/evt-pp-film-tv-games" TargetMode="External"/><Relationship Id="rId12" Type="http://schemas.openxmlformats.org/officeDocument/2006/relationships/hyperlink" Target="/timeline/evt-predictive-programming-literature-extended" TargetMode="External"/><Relationship Id="rId13" Type="http://schemas.openxmlformats.org/officeDocument/2006/relationships/hyperlink" Target="/timeline/evt-mars-literature-appendix" TargetMode="External"/><Relationship Id="rId14" Type="http://schemas.openxmlformats.org/officeDocument/2006/relationships/hyperlink" Target="/timeline/evt-thunderbolts-case-study" TargetMode="External"/><Relationship Id="rId15" Type="http://schemas.openxmlformats.org/officeDocument/2006/relationships/hyperlink" Target="/timeline/evt-mockingbird-historical-chain" TargetMode="External"/><Relationship Id="rId16" Type="http://schemas.openxmlformats.org/officeDocument/2006/relationships/hyperlink" Target="/timeline/evt-censorship-historical-timeline" TargetMode="External"/><Relationship Id="rId17" Type="http://schemas.openxmlformats.org/officeDocument/2006/relationships/hyperlink" Target="/timeline/evt-antibodies-appendix" TargetMode="External"/><Relationship Id="rId18" Type="http://schemas.openxmlformats.org/officeDocument/2006/relationships/hyperlink" Target="/timeline/evt-false-flags-appendix" TargetMode="External"/><Relationship Id="rId19" Type="http://schemas.openxmlformats.org/officeDocument/2006/relationships/hyperlink" Target="/timeline/evt-author-profiles" TargetMode="External"/><Relationship Id="rId20" Type="http://schemas.openxmlformats.org/officeDocument/2006/relationships/hyperlink" Target="/timeline/evt-suppressed-energy-cross-reference" TargetMode="External"/><Relationship Id="rId21" Type="http://schemas.openxmlformats.org/officeDocument/2006/relationships/hyperlink" Target="/timeline/evt-population-control-timeline" TargetMode="External"/><Relationship Id="rId22" Type="http://schemas.openxmlformats.org/officeDocument/2006/relationships/hyperlink" Target="/timeline/evt-napoleon-1812-campaign-extended" TargetMode="External"/><Relationship Id="rId23" Type="http://schemas.openxmlformats.org/officeDocument/2006/relationships/hyperlink" Target="/timeline/evt-asimov-marx-extended" TargetMode="External"/><Relationship Id="rId24" Type="http://schemas.openxmlformats.org/officeDocument/2006/relationships/hyperlink" Target="/timeline/evt-year-length-calendar-evidence" TargetMode="External"/><Relationship Id="rId25" Type="http://schemas.openxmlformats.org/officeDocument/2006/relationships/hyperlink" Target="/timeline/evt-fomenko-pyramid-question" TargetMode="External"/><Relationship Id="rId26" Type="http://schemas.openxmlformats.org/officeDocument/2006/relationships/hyperlink" Target="/timeline/evt-pyramids-myths-evidence" TargetMode="External"/><Relationship Id="rId27" Type="http://schemas.openxmlformats.org/officeDocument/2006/relationships/hyperlink" Target="/timeline/evt-orphan-trains-evidence" TargetMode="External"/><Relationship Id="rId28" Type="http://schemas.openxmlformats.org/officeDocument/2006/relationships/hyperlink" Target="/timeline/evt-hordian-empire-fracture-extended" TargetMode="External"/><Relationship Id="rId29" Type="http://schemas.openxmlformats.org/officeDocument/2006/relationships/hyperlink" Target="/timeline/evt-slave-trades-evidence" TargetMode="External"/><Relationship Id="rId30" Type="http://schemas.openxmlformats.org/officeDocument/2006/relationships/hyperlink" Target="/timeline/evt-mudflood-extended-evidence" TargetMode="External"/><Relationship Id="rId31" Type="http://schemas.openxmlformats.org/officeDocument/2006/relationships/hyperlink" Target="/timeline/evt-soviet-historiography-bogdanov" TargetMode="External"/><Relationship Id="rId32" Type="http://schemas.openxmlformats.org/officeDocument/2006/relationships/hyperlink" Target="/timeline/evt-british-empire-case-studies" TargetMode="Externa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image" Target="media/image1.jpg"/><Relationship Id="rId36" Type="http://schemas.openxmlformats.org/officeDocument/2006/relationships/hyperlink" Target="https://en.wikipedia.org/wiki/The_Wizard_of_Oz_(1939_film)" TargetMode="External"/><Relationship Id="rId37" Type="http://schemas.openxmlformats.org/officeDocument/2006/relationships/hyperlink" Target="/timeline/evt-atlantis-and-the-tree-of-knowledge" TargetMode="External"/><Relationship Id="rId38" Type="http://schemas.openxmlformats.org/officeDocument/2006/relationships/hyperlink" Target="/timeline/evt-the-giants-of-the-rus-horde" TargetMode="External"/><Relationship Id="rId39" Type="http://schemas.openxmlformats.org/officeDocument/2006/relationships/hyperlink" Target="https://en.wikipedia.org/wiki/Florence_Deeks" TargetMode="External"/><Relationship Id="rId40" Type="http://schemas.openxmlformats.org/officeDocument/2006/relationships/hyperlink" Target="https://en.wikipedia.org/wiki/Active_Denial_System" TargetMode="External"/><Relationship Id="rId41" Type="http://schemas.openxmlformats.org/officeDocument/2006/relationships/hyperlink" Target="https://en.wikipedia.org/wiki/The_War_of_the_Worlds_(1938_radio_drama)" TargetMode="External"/><Relationship Id="rId42" Type="http://schemas.openxmlformats.org/officeDocument/2006/relationships/hyperlink" Target="/timeline/evt-american-chestnut-blight" TargetMode="External"/><Relationship Id="rId43" Type="http://schemas.openxmlformats.org/officeDocument/2006/relationships/hyperlink" Target="/timeline/evt-mars-catastrophe-brandenburg" TargetMode="External"/><Relationship Id="rId44" Type="http://schemas.openxmlformats.org/officeDocument/2006/relationships/hyperlink" Target="/timeline/evt-hundred-years-war-ends" TargetMode="External"/><Relationship Id="rId45" Type="http://schemas.openxmlformats.org/officeDocument/2006/relationships/hyperlink" Target="/timeline/evt-latin-is-the-language-of-the-deep-state" TargetMode="External"/><Relationship Id="rId46" Type="http://schemas.openxmlformats.org/officeDocument/2006/relationships/hyperlink" Target="/timeline/evt-20th-century-predictive-programming-literature" TargetMode="External"/><Relationship Id="rId47" Type="http://schemas.openxmlformats.org/officeDocument/2006/relationships/hyperlink" Target="/timeline/evt-predictive-programming" TargetMode="External"/><Relationship Id="rId48" Type="http://schemas.openxmlformats.org/officeDocument/2006/relationships/hyperlink" Target="/timeline/evt-population-control" TargetMode="External"/><Relationship Id="rId49" Type="http://schemas.openxmlformats.org/officeDocument/2006/relationships/hyperlink" Target="/timeline/evt-operation-mockingbird" TargetMode="External"/><Relationship Id="rId50" Type="http://schemas.openxmlformats.org/officeDocument/2006/relationships/hyperlink" Target="https://paradigmthreat.net/timeline?view=browser&amp;path=investigations/mars/index-mars.md" TargetMode="External"/><Relationship Id="rId51" Type="http://schemas.openxmlformats.org/officeDocument/2006/relationships/hyperlink" Target="https://en.wikipedia.org/wiki/Red_Book_of_Hergest" TargetMode="External"/><Relationship Id="rId52" Type="http://schemas.openxmlformats.org/officeDocument/2006/relationships/header" Target="header3.xml"/><Relationship Id="rId53" Type="http://schemas.openxmlformats.org/officeDocument/2006/relationships/footer" Target="footer3.xml"/><Relationship Id="rId54" Type="http://schemas.openxmlformats.org/officeDocument/2006/relationships/hyperlink" Target="/timeline/evt-the-rebellion-of-pugachev" TargetMode="External"/><Relationship Id="rId55" Type="http://schemas.openxmlformats.org/officeDocument/2006/relationships/hyperlink" Target="https://armscontrolcenter.org/fact-sheet-directed-energy-weapons/" TargetMode="External"/><Relationship Id="rId56" Type="http://schemas.openxmlformats.org/officeDocument/2006/relationships/hyperlink" Target="/timeline/evt-the-electric-universe-safire" TargetMode="External"/><Relationship Id="rId57" Type="http://schemas.openxmlformats.org/officeDocument/2006/relationships/hyperlink" Target="/timeline/evt-the-mudflood-and-world-cataclysm" TargetMode="External"/><Relationship Id="rId58" Type="http://schemas.openxmlformats.org/officeDocument/2006/relationships/hyperlink" Target="https://paradigm-threat.net/timeline?view=browser&amp;path=investigations/fiction-encoding/tolkien/ARTICLE-palantir-analysis.md" TargetMode="External"/><Relationship Id="rId59" Type="http://schemas.openxmlformats.org/officeDocument/2006/relationships/hyperlink" Target="/timeline/evt-aftermath-of-1812-russian-pursuit-to-paris" TargetMode="External"/><Relationship Id="rId60" Type="http://schemas.openxmlformats.org/officeDocument/2006/relationships/hyperlink" Target="/timeline/evt-false-flags" TargetMode="External"/><Relationship Id="rId61" Type="http://schemas.openxmlformats.org/officeDocument/2006/relationships/hyperlink" Target="https://paradigm-threat.net/timeline?view=browser&amp;path=wget/wells/massacre-of-mankind-2017-reference.md" TargetMode="External"/><Relationship Id="rId62" Type="http://schemas.openxmlformats.org/officeDocument/2006/relationships/hyperlink" Target="/timeline/evt-mars-literature-reclassified" TargetMode="External"/><Relationship Id="rId63" Type="http://schemas.openxmlformats.org/officeDocument/2006/relationships/hyperlink" Target="/timeline/evt-mars-catastrophe" TargetMode="External"/><Relationship Id="rId64" Type="http://schemas.openxmlformats.org/officeDocument/2006/relationships/hyperlink" Target="/timeline/evt-asimov-marx-in-space" TargetMode="External"/><Relationship Id="rId65" Type="http://schemas.openxmlformats.org/officeDocument/2006/relationships/hyperlink" Target="/timeline/evt-philadelphia-experiment" TargetMode="External"/><Relationship Id="rId66" Type="http://schemas.openxmlformats.org/officeDocument/2006/relationships/hyperlink" Target="https://paradigm-threat.net/timeline?view=browser&amp;path=investigations/mars/mars-fiction-survey.md" TargetMode="External"/><Relationship Id="rId67" Type="http://schemas.openxmlformats.org/officeDocument/2006/relationships/header" Target="header4.xml"/><Relationship Id="rId68" Type="http://schemas.openxmlformats.org/officeDocument/2006/relationships/footer" Target="footer4.xml"/><Relationship Id="rId69" Type="http://schemas.openxmlformats.org/officeDocument/2006/relationships/hyperlink" Target="/timeline/evt-controlled-opposition" TargetMode="External"/><Relationship Id="rId70" Type="http://schemas.openxmlformats.org/officeDocument/2006/relationships/hyperlink" Target="https://chronologia.org/en/how_it_was/08_21.html" TargetMode="External"/><Relationship Id="rId71" Type="http://schemas.openxmlformats.org/officeDocument/2006/relationships/hyperlink" Target="/timeline/evt-king-james-bible" TargetMode="External"/><Relationship Id="rId72" Type="http://schemas.openxmlformats.org/officeDocument/2006/relationships/hyperlink" Target="/timeline/evt-deep-state-breaks-up-the-hordian-empire" TargetMode="External"/><Relationship Id="rId73" Type="http://schemas.openxmlformats.org/officeDocument/2006/relationships/hyperlink" Target="/timeline/evt-jesuits-make-pilgrimage-to-palestine" TargetMode="External"/><Relationship Id="rId74" Type="http://schemas.openxmlformats.org/officeDocument/2006/relationships/hyperlink" Target="/timeline/evt-romanovs-dynasty-takes-the-throne" TargetMode="External"/><Relationship Id="rId75" Type="http://schemas.openxmlformats.org/officeDocument/2006/relationships/hyperlink" Target="/timeline/evt-gregorian-calendar-adjustment" TargetMode="External"/><Relationship Id="rId76" Type="http://schemas.openxmlformats.org/officeDocument/2006/relationships/hyperlink" Target="/timeline/evt-soviet-historiography" TargetMode="External"/><Relationship Id="rId77" Type="http://schemas.openxmlformats.org/officeDocument/2006/relationships/hyperlink" Target="/timeline/evt-deep-state-erases-russian-empire-from-all-chronolo" TargetMode="External"/><Relationship Id="rId78" Type="http://schemas.openxmlformats.org/officeDocument/2006/relationships/header" Target="header5.xml"/><Relationship Id="rId79" Type="http://schemas.openxmlformats.org/officeDocument/2006/relationships/footer" Target="footer5.xml"/><Relationship Id="rId80" Type="http://schemas.openxmlformats.org/officeDocument/2006/relationships/hyperlink" Target="/timeline/evt-censorship-and-book-burning" TargetMode="External"/><Relationship Id="rId81" Type="http://schemas.openxmlformats.org/officeDocument/2006/relationships/header" Target="header6.xml"/><Relationship Id="rId82" Type="http://schemas.openxmlformats.org/officeDocument/2006/relationships/footer" Target="footer6.xml"/><Relationship Id="rId83" Type="http://schemas.openxmlformats.org/officeDocument/2006/relationships/hyperlink" Target="/timeline/evt-historical-antibodies" TargetMode="External"/><Relationship Id="rId84" Type="http://schemas.openxmlformats.org/officeDocument/2006/relationships/header" Target="header7.xml"/><Relationship Id="rId85" Type="http://schemas.openxmlformats.org/officeDocument/2006/relationships/footer" Target="footer7.xml"/><Relationship Id="rId86" Type="http://schemas.openxmlformats.org/officeDocument/2006/relationships/hyperlink" Target="https://en.wikipedia.org/wiki/McCollum_memo" TargetMode="External"/><Relationship Id="rId87" Type="http://schemas.openxmlformats.org/officeDocument/2006/relationships/hyperlink" Target="https://en.wikipedia.org/wiki/Pearl_Harbor_advance-knowledge_conspiracy_theory" TargetMode="External"/><Relationship Id="rId88" Type="http://schemas.openxmlformats.org/officeDocument/2006/relationships/hyperlink" Target="https://www.ibiblio.org/pha/myths/Missing_Carriers.html" TargetMode="External"/><Relationship Id="rId89" Type="http://schemas.openxmlformats.org/officeDocument/2006/relationships/hyperlink" Target="https://cstms.berkeley.edu/current-events/napalm-in-world-war-ii-invention-test-the-bat-bomb-and-incinerating-japan/" TargetMode="External"/><Relationship Id="rId90" Type="http://schemas.openxmlformats.org/officeDocument/2006/relationships/hyperlink" Target="https://apjjf.org/-Mark-Selden/2414/article.html" TargetMode="External"/><Relationship Id="rId91" Type="http://schemas.openxmlformats.org/officeDocument/2006/relationships/hyperlink" Target="http://heiwaco.tripod.com/bomb.htm" TargetMode="External"/><Relationship Id="rId92" Type="http://schemas.openxmlformats.org/officeDocument/2006/relationships/hyperlink" Target="https://en.wikipedia.org/wiki/Radiation_hormesis" TargetMode="External"/><Relationship Id="rId93" Type="http://schemas.openxmlformats.org/officeDocument/2006/relationships/hyperlink" Target="/timeline/evt-mars-contacts-timeline" TargetMode="External"/><Relationship Id="rId94" Type="http://schemas.openxmlformats.org/officeDocument/2006/relationships/hyperlink" Target="https://en.wikipedia.org/wiki/Reichstag_Fire_Decree" TargetMode="External"/><Relationship Id="rId95" Type="http://schemas.openxmlformats.org/officeDocument/2006/relationships/hyperlink" Target="https://en.wikipedia.org/wiki/Gulf_of_Tonkin_incident" TargetMode="External"/><Relationship Id="rId96" Type="http://schemas.openxmlformats.org/officeDocument/2006/relationships/hyperlink" Target="https://jamesperloff.net/pearl-harbor-roosevelts-911/" TargetMode="External"/><Relationship Id="rId97" Type="http://schemas.openxmlformats.org/officeDocument/2006/relationships/hyperlink" Target="https://www.falseflag.info/pearl-harbor/" TargetMode="External"/><Relationship Id="rId98" Type="http://schemas.openxmlformats.org/officeDocument/2006/relationships/hyperlink" Target="https://hofs.online/the-encyclopedia-of-false-flag-staged-operations/" TargetMode="External"/><Relationship Id="rId99" Type="http://schemas.openxmlformats.org/officeDocument/2006/relationships/hyperlink" Target="https://en.wikipedia.org/wiki/Battle_of_Los_Angeles" TargetMode="External"/><Relationship Id="rId100" Type="http://schemas.openxmlformats.org/officeDocument/2006/relationships/hyperlink" Target="https://www.whatreallyhappened.com/WRHARTICLES/pearl.php" TargetMode="External"/><Relationship Id="rId101" Type="http://schemas.openxmlformats.org/officeDocument/2006/relationships/hyperlink" Target="/timeline/evt-british-empire-deep-state" TargetMode="External"/><Relationship Id="rId102" Type="http://schemas.openxmlformats.org/officeDocument/2006/relationships/header" Target="header8.xml"/><Relationship Id="rId103" Type="http://schemas.openxmlformats.org/officeDocument/2006/relationships/footer" Target="footer8.xml"/><Relationship Id="rId104" Type="http://schemas.openxmlformats.org/officeDocument/2006/relationships/hyperlink" Target="./content/00.overview/00.02.01-authors-challenging-chronology.md" TargetMode="External"/><Relationship Id="rId105" Type="http://schemas.openxmlformats.org/officeDocument/2006/relationships/hyperlink" Target="./content/00.overview/00.02.02-authors-cataclysm-texts.md" TargetMode="External"/><Relationship Id="rId106" Type="http://schemas.openxmlformats.org/officeDocument/2006/relationships/hyperlink" Target="/timeline/evt-ap-morozov" TargetMode="External"/><Relationship Id="rId107" Type="http://schemas.openxmlformats.org/officeDocument/2006/relationships/hyperlink" Target="/timeline/evt-ap-thornhill" TargetMode="External"/><Relationship Id="rId108" Type="http://schemas.openxmlformats.org/officeDocument/2006/relationships/hyperlink" Target="/timeline/evt-ap-juergens" TargetMode="External"/><Relationship Id="rId109" Type="http://schemas.openxmlformats.org/officeDocument/2006/relationships/hyperlink" Target="/timeline/evt-ap-velikovsky" TargetMode="External"/><Relationship Id="rId110" Type="http://schemas.openxmlformats.org/officeDocument/2006/relationships/hyperlink" Target="/timeline/evt-ap-fomenko" TargetMode="External"/><Relationship Id="rId111" Type="http://schemas.openxmlformats.org/officeDocument/2006/relationships/hyperlink" Target="/timeline/evt-ap-talbott" TargetMode="External"/><Relationship Id="rId112" Type="http://schemas.openxmlformats.org/officeDocument/2006/relationships/hyperlink" Target="/timeline/evt-ap-peratt" TargetMode="External"/><Relationship Id="rId113" Type="http://schemas.openxmlformats.org/officeDocument/2006/relationships/hyperlink" Target="/timeline/evt-ap-jno-cook" TargetMode="External"/><Relationship Id="rId114" Type="http://schemas.openxmlformats.org/officeDocument/2006/relationships/hyperlink" Target="/timeline/evt-ap-de-grazia" TargetMode="External"/><Relationship Id="rId115" Type="http://schemas.openxmlformats.org/officeDocument/2006/relationships/hyperlink" Target="/timeline/evt-ap-donald-scott" TargetMode="External"/><Relationship Id="rId116" Type="http://schemas.openxmlformats.org/officeDocument/2006/relationships/hyperlink" Target="/timeline/evt-ap-cochrane" TargetMode="External"/><Relationship Id="rId117" Type="http://schemas.openxmlformats.org/officeDocument/2006/relationships/hyperlink" Target="/timeline/evt-ap-de-santillana" TargetMode="External"/><Relationship Id="rId118" Type="http://schemas.openxmlformats.org/officeDocument/2006/relationships/hyperlink" Target="/timeline/evt-ap-illig" TargetMode="External"/><Relationship Id="rId119" Type="http://schemas.openxmlformats.org/officeDocument/2006/relationships/hyperlink" Target="/timeline/evt-ap-heinsohn" TargetMode="External"/><Relationship Id="rId120" Type="http://schemas.openxmlformats.org/officeDocument/2006/relationships/hyperlink" Target="/timeline/evt-ap-cardona" TargetMode="External"/><Relationship Id="rId121" Type="http://schemas.openxmlformats.org/officeDocument/2006/relationships/hyperlink" Target="/timeline/evt-ap-clube-napier" TargetMode="External"/><Relationship Id="rId122" Type="http://schemas.openxmlformats.org/officeDocument/2006/relationships/hyperlink" Target="/timeline/evt-ap-stecchini" TargetMode="External"/><Relationship Id="rId123" Type="http://schemas.openxmlformats.org/officeDocument/2006/relationships/hyperlink" Target="/timeline/evt-ap-rose-vaughan" TargetMode="External"/><Relationship Id="rId124" Type="http://schemas.openxmlformats.org/officeDocument/2006/relationships/hyperlink" Target="/timeline/evt-ap-van-flandern" TargetMode="External"/><Relationship Id="rId125" Type="http://schemas.openxmlformats.org/officeDocument/2006/relationships/hyperlink" Target="/timeline/evt-ap-van-der-sluijs" TargetMode="External"/><Relationship Id="rId126" Type="http://schemas.openxmlformats.org/officeDocument/2006/relationships/hyperlink" Target="/timeline/evt-ap-ginenthal" TargetMode="External"/><Relationship Id="rId127" Type="http://schemas.openxmlformats.org/officeDocument/2006/relationships/hyperlink" Target="/timeline/evt-ap-schoch" TargetMode="External"/><Relationship Id="rId128" Type="http://schemas.openxmlformats.org/officeDocument/2006/relationships/hyperlink" Target="/timeline/evt-ap-hancock" TargetMode="External"/><Relationship Id="rId129" Type="http://schemas.openxmlformats.org/officeDocument/2006/relationships/hyperlink" Target="/timeline/evt-ap-cremo" TargetMode="External"/><Relationship Id="rId130" Type="http://schemas.openxmlformats.org/officeDocument/2006/relationships/hyperlink" Target="https://www.holoscience.com" TargetMode="External"/><Relationship Id="rId131" Type="http://schemas.openxmlformats.org/officeDocument/2006/relationships/hyperlink" Target="https://thunderbolts.info" TargetMode="External"/><Relationship Id="rId132" Type="http://schemas.openxmlformats.org/officeDocument/2006/relationships/hyperlink" Target="https://chronologia.org" TargetMode="External"/><Relationship Id="rId133" Type="http://schemas.openxmlformats.org/officeDocument/2006/relationships/hyperlink" Target="https://saturniancosmology.org" TargetMode="External"/><Relationship Id="rId134" Type="http://schemas.openxmlformats.org/officeDocument/2006/relationships/hyperlink" Target="https://grazian-archive.com" TargetMode="External"/><Relationship Id="rId135" Type="http://schemas.openxmlformats.org/officeDocument/2006/relationships/hyperlink" Target="http://electric-cosmos.org" TargetMode="External"/><Relationship Id="rId136" Type="http://schemas.openxmlformats.org/officeDocument/2006/relationships/hyperlink" Target="/timeline/evt-other-challenges-to-chronology" TargetMode="External"/><Relationship Id="rId137" Type="http://schemas.openxmlformats.org/officeDocument/2006/relationships/hyperlink" Target="https://q-mag.org" TargetMode="External"/><Relationship Id="rId138" Type="http://schemas.openxmlformats.org/officeDocument/2006/relationships/hyperlink" Target="http://metaresearch.org" TargetMode="External"/><Relationship Id="rId139" Type="http://schemas.openxmlformats.org/officeDocument/2006/relationships/hyperlink" Target="/timeline/evt-maxwell-and-the-suppression-of-the-aether" TargetMode="External"/><Relationship Id="rId140" Type="http://schemas.openxmlformats.org/officeDocument/2006/relationships/hyperlink" Target="/timeline/evt-flexner-bioelectric-suppression" TargetMode="External"/><Relationship Id="rId141" Type="http://schemas.openxmlformats.org/officeDocument/2006/relationships/header" Target="header9.xml"/><Relationship Id="rId142" Type="http://schemas.openxmlformats.org/officeDocument/2006/relationships/footer" Target="footer9.xml"/><Relationship Id="rId143" Type="http://schemas.openxmlformats.org/officeDocument/2006/relationships/hyperlink" Target="/timeline/evt-weather-control" TargetMode="External"/><Relationship Id="rId144" Type="http://schemas.openxmlformats.org/officeDocument/2006/relationships/hyperlink" Target="/timeline/evt-cern-lhc-portal" TargetMode="External"/><Relationship Id="rId145" Type="http://schemas.openxmlformats.org/officeDocument/2006/relationships/hyperlink" Target="/timeline/evt-challenging-established-physics" TargetMode="External"/><Relationship Id="rId146" Type="http://schemas.openxmlformats.org/officeDocument/2006/relationships/hyperlink" Target="/timeline/evt-nuclear-energy-and-the-bomb" TargetMode="External"/><Relationship Id="rId147" Type="http://schemas.openxmlformats.org/officeDocument/2006/relationships/hyperlink" Target="https://paradigm-threat.net/timeline?view=browser&amp;path=investigations/weather-modification/weather-modification-investigation.md" TargetMode="External"/><Relationship Id="rId148" Type="http://schemas.openxmlformats.org/officeDocument/2006/relationships/hyperlink" Target="https://paradigm-threat.net/timeline?view=browser&amp;path=investigations/havana-syndrome/havana-syndrome-investigation.md" TargetMode="External"/><Relationship Id="rId149" Type="http://schemas.openxmlformats.org/officeDocument/2006/relationships/hyperlink" Target="https://paradigm-threat.net/timeline?view=browser&amp;path=investigations/cern-portal/index.md" TargetMode="External"/><Relationship Id="rId150" Type="http://schemas.openxmlformats.org/officeDocument/2006/relationships/hyperlink" Target="https://paradigm-threat.net/timeline?view=browser&amp;path=investigations/remote-viewing/aether-consciousness.md" TargetMode="External"/><Relationship Id="rId151" Type="http://schemas.openxmlformats.org/officeDocument/2006/relationships/hyperlink" Target="https://paradigm-threat.net/timeline?view=browser&amp;path=investigations/nuclear-weapons/nukes-dont-exist-investigation.md" TargetMode="External"/><Relationship Id="rId152" Type="http://schemas.openxmlformats.org/officeDocument/2006/relationships/hyperlink" Target="/timeline/evt-19th-century-weapons-declassification-thesis" TargetMode="External"/><Relationship Id="rId153" Type="http://schemas.openxmlformats.org/officeDocument/2006/relationships/hyperlink" Target="https://paradigm-threat.net/timeline?view=browser&amp;path=investigations/maxwell-aether/01-burden-of-proof-debate.md" TargetMode="External"/><Relationship Id="rId154" Type="http://schemas.openxmlformats.org/officeDocument/2006/relationships/hyperlink" Target="https://paradigm-threat.net/timeline?view=browser&amp;path=investigations/saturnian-cosmology/index-safireproject.md" TargetMode="External"/><Relationship Id="rId155" Type="http://schemas.openxmlformats.org/officeDocument/2006/relationships/header" Target="header10.xml"/><Relationship Id="rId156" Type="http://schemas.openxmlformats.org/officeDocument/2006/relationships/footer" Target="footer10.xml"/><Relationship Id="rId157" Type="http://schemas.openxmlformats.org/officeDocument/2006/relationships/hyperlink" Target="/timeline/evt-the-apocalypse-crusade-reverse-exodus" TargetMode="External"/><Relationship Id="rId158" Type="http://schemas.openxmlformats.org/officeDocument/2006/relationships/hyperlink" Target="/timeline/evt-sept-6-1666-ce-london-burns-to-the-ground" TargetMode="External"/><Relationship Id="rId159" Type="http://schemas.openxmlformats.org/officeDocument/2006/relationships/hyperlink" Target="/timeline/evt-orphan-trains-trail-of-tears-siberian-exile" TargetMode="External"/><Relationship Id="rId160" Type="http://schemas.openxmlformats.org/officeDocument/2006/relationships/header" Target="header11.xml"/><Relationship Id="rId161" Type="http://schemas.openxmlformats.org/officeDocument/2006/relationships/footer" Target="footer11.xml"/><Relationship Id="rId162" Type="http://schemas.openxmlformats.org/officeDocument/2006/relationships/hyperlink" Target="/timeline/evt-trail-of-tears-century-long-erasure" TargetMode="External"/><Relationship Id="rId163" Type="http://schemas.openxmlformats.org/officeDocument/2006/relationships/hyperlink" Target="https://paradigm-threat.net/timeline?view=browser&amp;path=investigations/orphan-trains/orphan-trains-investigation.md" TargetMode="External"/><Relationship Id="rId164" Type="http://schemas.openxmlformats.org/officeDocument/2006/relationships/header" Target="header12.xml"/><Relationship Id="rId165" Type="http://schemas.openxmlformats.org/officeDocument/2006/relationships/footer" Target="footer12.xml"/><Relationship Id="rId166" Type="http://schemas.openxmlformats.org/officeDocument/2006/relationships/hyperlink" Target="/timeline/evt-napoleonic-wars" TargetMode="External"/><Relationship Id="rId167" Type="http://schemas.openxmlformats.org/officeDocument/2006/relationships/hyperlink" Target="https://en.wikipedia.org/wiki/18_Brumaire" TargetMode="External"/><Relationship Id="rId168" Type="http://schemas.openxmlformats.org/officeDocument/2006/relationships/hyperlink" Target="https://en.wikipedia.org/wiki/Rosetta_Stone" TargetMode="External"/><Relationship Id="rId169" Type="http://schemas.openxmlformats.org/officeDocument/2006/relationships/hyperlink" Target="https://en.wikipedia.org/wiki/Roller_coaster" TargetMode="External"/><Relationship Id="rId170" Type="http://schemas.openxmlformats.org/officeDocument/2006/relationships/hyperlink" Target="/timeline/evt-the-mars-catastrophe" TargetMode="External"/><Relationship Id="rId171" Type="http://schemas.openxmlformats.org/officeDocument/2006/relationships/hyperlink" Target="/timeline/evt-napoleon-invades-russia" TargetMode="External"/><Relationship Id="rId172" Type="http://schemas.openxmlformats.org/officeDocument/2006/relationships/hyperlink" Target="https://en.wikipedia.org/wiki/Grande_Arm%C3%A9e" TargetMode="External"/><Relationship Id="rId173" Type="http://schemas.openxmlformats.org/officeDocument/2006/relationships/hyperlink" Target="https://en.wikipedia.org/wiki/Louisiana_Purchase" TargetMode="External"/><Relationship Id="rId174" Type="http://schemas.openxmlformats.org/officeDocument/2006/relationships/hyperlink" Target="https://en.wikipedia.org/wiki/Battle_of_Borodino" TargetMode="External"/><Relationship Id="rId175" Type="http://schemas.openxmlformats.org/officeDocument/2006/relationships/hyperlink" Target="/timeline/evt-tchaikovsky-releases-1812-overture" TargetMode="External"/><Relationship Id="rId176" Type="http://schemas.openxmlformats.org/officeDocument/2006/relationships/header" Target="header13.xml"/><Relationship Id="rId177" Type="http://schemas.openxmlformats.org/officeDocument/2006/relationships/footer" Target="footer13.xml"/><Relationship Id="rId178" Type="http://schemas.openxmlformats.org/officeDocument/2006/relationships/hyperlink" Target="/timeline/evt-timeline-synchronization" TargetMode="External"/><Relationship Id="rId179" Type="http://schemas.openxmlformats.org/officeDocument/2006/relationships/hyperlink" Target="/investigations/creation-dates-validation.md" TargetMode="External"/><Relationship Id="rId180" Type="http://schemas.openxmlformats.org/officeDocument/2006/relationships/hyperlink" Target="/timeline/evt-the-length-of-a-year-changes-throughout-antiquity" TargetMode="External"/><Relationship Id="rId181" Type="http://schemas.openxmlformats.org/officeDocument/2006/relationships/hyperlink" Target="/timeline/evt-the-225-day-year" TargetMode="External"/><Relationship Id="rId182" Type="http://schemas.openxmlformats.org/officeDocument/2006/relationships/hyperlink" Target="/timeline/evt-pyramids-myths-vs-reality" TargetMode="External"/><Relationship Id="rId183" Type="http://schemas.openxmlformats.org/officeDocument/2006/relationships/hyperlink" Target="https://chronologia.org/en/how_it_was/04_10.html" TargetMode="External"/><Relationship Id="rId184" Type="http://schemas.openxmlformats.org/officeDocument/2006/relationships/hyperlink" Target="https://www.geopolymer.org" TargetMode="External"/><Relationship Id="rId185" Type="http://schemas.openxmlformats.org/officeDocument/2006/relationships/hyperlink" Target="/timeline/evt-geopolymer-concrete-horde-secret" TargetMode="External"/><Relationship Id="rId186" Type="http://schemas.openxmlformats.org/officeDocument/2006/relationships/header" Target="header14.xml"/><Relationship Id="rId187" Type="http://schemas.openxmlformats.org/officeDocument/2006/relationships/footer" Target="footer14.xml"/><Relationship Id="rId188" Type="http://schemas.openxmlformats.org/officeDocument/2006/relationships/header" Target="header15.xml"/><Relationship Id="rId189" Type="http://schemas.openxmlformats.org/officeDocument/2006/relationships/footer" Target="footer15.xml"/><Relationship Id="rId190" Type="http://schemas.openxmlformats.org/officeDocument/2006/relationships/hyperlink" Target="https://en.wikipedia.org/wiki/Government_reform_of_Peter_the_Great" TargetMode="External"/><Relationship Id="rId191" Type="http://schemas.openxmlformats.org/officeDocument/2006/relationships/hyperlink" Target="https://www.prlib.ru/en/history/619018" TargetMode="External"/><Relationship Id="rId192" Type="http://schemas.openxmlformats.org/officeDocument/2006/relationships/hyperlink" Target="https://en.wikipedia.org/wiki/Anti-Russian_sentiment#18th_and_19th_centuries" TargetMode="External"/><Relationship Id="rId193" Type="http://schemas.openxmlformats.org/officeDocument/2006/relationships/hyperlink" Target="https://www.rt.com/russia/569147-zakharova-odessa-monuments-history/" TargetMode="External"/><Relationship Id="rId194" Type="http://schemas.openxmlformats.org/officeDocument/2006/relationships/image" Target="media/image2.jpg"/><Relationship Id="rId195" Type="http://schemas.openxmlformats.org/officeDocument/2006/relationships/hyperlink" Target="https://chronologia.org/en/how_it_was/05.html#the7" TargetMode="External"/><Relationship Id="rId196" Type="http://schemas.openxmlformats.org/officeDocument/2006/relationships/hyperlink" Target="https://chronologia.org/en/how_it_was/06_21.html#the628" TargetMode="External"/><Relationship Id="rId197" Type="http://schemas.openxmlformats.org/officeDocument/2006/relationships/hyperlink" Target="/timeline/evt-european-religious-schism-emerges" TargetMode="External"/><Relationship Id="rId198" Type="http://schemas.openxmlformats.org/officeDocument/2006/relationships/hyperlink" Target="/timeline/evt-the-holy-inquisition" TargetMode="External"/><Relationship Id="rId199" Type="http://schemas.openxmlformats.org/officeDocument/2006/relationships/hyperlink" Target="https://chronologia.org/en/how_it_was/07.html" TargetMode="External"/><Relationship Id="rId200" Type="http://schemas.openxmlformats.org/officeDocument/2006/relationships/hyperlink" Target="https://chronologia.org/en/how_it_was/08.html" TargetMode="External"/><Relationship Id="rId201" Type="http://schemas.openxmlformats.org/officeDocument/2006/relationships/header" Target="header16.xml"/><Relationship Id="rId202" Type="http://schemas.openxmlformats.org/officeDocument/2006/relationships/footer" Target="footer16.xml"/><Relationship Id="rId203" Type="http://schemas.openxmlformats.org/officeDocument/2006/relationships/header" Target="header17.xml"/><Relationship Id="rId204" Type="http://schemas.openxmlformats.org/officeDocument/2006/relationships/footer" Target="footer17.xml"/><Relationship Id="rId205" Type="http://schemas.openxmlformats.org/officeDocument/2006/relationships/header" Target="header18.xml"/><Relationship Id="rId206" Type="http://schemas.openxmlformats.org/officeDocument/2006/relationships/footer" Target="footer18.xml"/><Relationship Id="rId207" Type="http://schemas.openxmlformats.org/officeDocument/2006/relationships/hyperlink" Target="/timeline/evt-slave-trades-horde-fracture" TargetMode="External"/><Relationship Id="rId208" Type="http://schemas.openxmlformats.org/officeDocument/2006/relationships/hyperlink" Target="/timeline/evt-romanov-seizure-and-fracturing-of-the-empire" TargetMode="External"/><Relationship Id="rId209" Type="http://schemas.openxmlformats.org/officeDocument/2006/relationships/hyperlink" Target="/timeline/evt-british-empire-as-deep-state-instrument" TargetMode="External"/><Relationship Id="rId210" Type="http://schemas.openxmlformats.org/officeDocument/2006/relationships/hyperlink" Target="/timeline/evt-jesuits-reach-africa" TargetMode="External"/><Relationship Id="rId211" Type="http://schemas.openxmlformats.org/officeDocument/2006/relationships/header" Target="header19.xml"/><Relationship Id="rId212" Type="http://schemas.openxmlformats.org/officeDocument/2006/relationships/footer" Target="footer19.xml"/><Relationship Id="rId213" Type="http://schemas.openxmlformats.org/officeDocument/2006/relationships/hyperlink" Target="https://en.wikipedia.org/wiki/Partition_of_India" TargetMode="External"/><Relationship Id="rId214" Type="http://schemas.openxmlformats.org/officeDocument/2006/relationships/hyperlink" Target="https://en.wikipedia.org/wiki/Balfour_Declaration" TargetMode="External"/><Relationship Id="rId215" Type="http://schemas.openxmlformats.org/officeDocument/2006/relationships/hyperlink" Target="https://en.wikipedia.org/wiki/Scramble_for_Africa" TargetMode="External"/><Relationship Id="rId216" Type="http://schemas.openxmlformats.org/officeDocument/2006/relationships/hyperlink" Target="https://en.wikipedia.org/wiki/Opium_Wars" TargetMode="External"/><Relationship Id="rId217" Type="http://schemas.openxmlformats.org/officeDocument/2006/relationships/hyperlink" Target="https://en.wikipedia.org/wiki/Meiji_Restoration" TargetMode="External"/><Relationship Id="rId218" Type="http://schemas.openxmlformats.org/officeDocument/2006/relationships/header" Target="header20.xml"/><Relationship Id="rId219" Type="http://schemas.openxmlformats.org/officeDocument/2006/relationships/footer" Target="footer20.xml"/><Relationship Id="rId220" Type="http://schemas.openxmlformats.org/officeDocument/2006/relationships/hyperlink" Target="/timeline/evt-before-creation" TargetMode="External"/><Relationship Id="rId221" Type="http://schemas.openxmlformats.org/officeDocument/2006/relationships/hyperlink" Target="https://en.wikipedia.org/wiki/Cronus" TargetMode="External"/><Relationship Id="rId222" Type="http://schemas.openxmlformats.org/officeDocument/2006/relationships/hyperlink" Target="/timeline/evt-proto-saturn-joins-the-suns-orbit-and-lights-up" TargetMode="External"/><Relationship Id="rId223" Type="http://schemas.openxmlformats.org/officeDocument/2006/relationships/hyperlink" Target="/timeline/evt-saturns-collinear-planetary-configuration-the-tree" TargetMode="External"/><Relationship Id="rId224" Type="http://schemas.openxmlformats.org/officeDocument/2006/relationships/hyperlink" Target="/timeline/evt-the-absu-layers-surrounded-the-planets" TargetMode="External"/><Relationship Id="rId225" Type="http://schemas.openxmlformats.org/officeDocument/2006/relationships/hyperlink" Target="/timeline/evt-northern-hemisphere-configuration" TargetMode="External"/><Relationship Id="rId226" Type="http://schemas.openxmlformats.org/officeDocument/2006/relationships/hyperlink" Target="/timeline/evt-southern-hemisphere-configuration" TargetMode="External"/><Relationship Id="rId227" Type="http://schemas.openxmlformats.org/officeDocument/2006/relationships/hyperlink" Target="/timeline/evt-the-golden-age" TargetMode="External"/><Relationship Id="rId228" Type="http://schemas.openxmlformats.org/officeDocument/2006/relationships/hyperlink" Target="/timeline/evt-the-golden-age-ends-violently" TargetMode="External"/><Relationship Id="rId229" Type="http://schemas.openxmlformats.org/officeDocument/2006/relationships/hyperlink" Target="/timeline/evt-the-dark-ages" TargetMode="External"/><Relationship Id="rId230" Type="http://schemas.openxmlformats.org/officeDocument/2006/relationships/hyperlink" Target="https://saturniancosmology.org/mech.php" TargetMode="External"/><Relationship Id="rId231" Type="http://schemas.openxmlformats.org/officeDocument/2006/relationships/hyperlink" Target="https://www.thunderbolts.info/wp/2014/12/19/never-the-twain-shall-meet/" TargetMode="External"/><Relationship Id="rId232" Type="http://schemas.openxmlformats.org/officeDocument/2006/relationships/hyperlink" Target="https://www.biblegateway.com/passage/?search=Genesis+7%3A4&amp;version=KJV" TargetMode="External"/><Relationship Id="rId233" Type="http://schemas.openxmlformats.org/officeDocument/2006/relationships/hyperlink" Target="https://www.biblegateway.com/passage/?search=Isaiah+30%3A26&amp;version=KJV" TargetMode="External"/><Relationship Id="rId234" Type="http://schemas.openxmlformats.org/officeDocument/2006/relationships/hyperlink" Target="https://saturniancosmology.org/polar.php" TargetMode="External"/><Relationship Id="rId235" Type="http://schemas.openxmlformats.org/officeDocument/2006/relationships/hyperlink" Target="https://saturniancosmology.org/time.php" TargetMode="External"/><Relationship Id="rId236" Type="http://schemas.openxmlformats.org/officeDocument/2006/relationships/hyperlink" Target="https://saturniancosmology.org/intro.php" TargetMode="External"/><Relationship Id="rId237" Type="http://schemas.openxmlformats.org/officeDocument/2006/relationships/hyperlink" Target="https://www.biblegateway.com/passage/?search=Genesis+1&amp;version=KJV" TargetMode="External"/><Relationship Id="rId238" Type="http://schemas.openxmlformats.org/officeDocument/2006/relationships/hyperlink" Target="https://en.wikipedia.org/wiki/Week#History" TargetMode="External"/><Relationship Id="rId239" Type="http://schemas.openxmlformats.org/officeDocument/2006/relationships/header" Target="header21.xml"/><Relationship Id="rId240" Type="http://schemas.openxmlformats.org/officeDocument/2006/relationships/footer" Target="footer21.xml"/><Relationship Id="rId241" Type="http://schemas.openxmlformats.org/officeDocument/2006/relationships/hyperlink" Target="/timeline/evt-saturnian-cosmology" TargetMode="External"/><Relationship Id="rId242" Type="http://schemas.openxmlformats.org/officeDocument/2006/relationships/header" Target="header22.xml"/><Relationship Id="rId243" Type="http://schemas.openxmlformats.org/officeDocument/2006/relationships/footer" Target="footer22.xml"/><Relationship Id="rId244" Type="http://schemas.openxmlformats.org/officeDocument/2006/relationships/hyperlink" Target="/timeline/evt-shakespeare-encodes-the-horde" TargetMode="External"/><Relationship Id="rId245" Type="http://schemas.openxmlformats.org/officeDocument/2006/relationships/header" Target="header23.xml"/><Relationship Id="rId246" Type="http://schemas.openxmlformats.org/officeDocument/2006/relationships/footer" Target="footer23.xml"/><Relationship Id="rId247" Type="http://schemas.openxmlformats.org/officeDocument/2006/relationships/hyperlink" Target="https://en.wikipedia.org/wiki/Purple_(cipher_machine)" TargetMode="External"/><Relationship Id="rId248" Type="http://schemas.openxmlformats.org/officeDocument/2006/relationships/hyperlink" Target="https://en.wikipedia.org/wiki/Operation_Paperclip" TargetMode="External"/><Relationship Id="rId249" Type="http://schemas.openxmlformats.org/officeDocument/2006/relationships/hyperlink" Target="https://en.wikipedia.org/wiki/Henry_L._Stimson" TargetMode="External"/><Relationship Id="rId250" Type="http://schemas.openxmlformats.org/officeDocument/2006/relationships/header" Target="header24.xml"/><Relationship Id="rId251" Type="http://schemas.openxmlformats.org/officeDocument/2006/relationships/footer" Target="footer24.xml"/><Relationship Id="rId252" Type="http://schemas.openxmlformats.org/officeDocument/2006/relationships/image" Target="media/image3.jpg"/><Relationship Id="rId253" Type="http://schemas.openxmlformats.org/officeDocument/2006/relationships/hyperlink" Target="https://chronologia.org/en/seven/history.html" TargetMode="External"/><Relationship Id="rId254" Type="http://schemas.openxmlformats.org/officeDocument/2006/relationships/header" Target="header25.xml"/><Relationship Id="rId255" Type="http://schemas.openxmlformats.org/officeDocument/2006/relationships/footer" Target="footer25.xml"/><Relationship Id="rId256" Type="http://schemas.openxmlformats.org/officeDocument/2006/relationships/hyperlink" Target="/timeline/evt-russian-intellectual-emigration" TargetMode="External"/><Relationship Id="rId257" Type="http://schemas.openxmlformats.org/officeDocument/2006/relationships/header" Target="header26.xml"/><Relationship Id="rId258" Type="http://schemas.openxmlformats.org/officeDocument/2006/relationships/footer" Target="footer26.xml"/><Relationship Id="rId259" Type="http://schemas.openxmlformats.org/officeDocument/2006/relationships/hyperlink" Target="https://en.wikipedia.org/wiki/Monita_Secreta" TargetMode="External"/><Relationship Id="rId260" Type="http://schemas.openxmlformats.org/officeDocument/2006/relationships/hyperlink" Target="/timeline/evt-deep-state-redacts-christianity-into-jesuit-cathol" TargetMode="External"/><Relationship Id="rId261" Type="http://schemas.openxmlformats.org/officeDocument/2006/relationships/hyperlink" Target="https://en.wikipedia.org/wiki/Ignatius_of_Loyola" TargetMode="External"/><Relationship Id="rId262" Type="http://schemas.openxmlformats.org/officeDocument/2006/relationships/hyperlink" Target="https://en.wikipedia.org/wiki/Spiritual_Exercises_of_Ignatius_of_Loyola" TargetMode="External"/><Relationship Id="rId263" Type="http://schemas.openxmlformats.org/officeDocument/2006/relationships/hyperlink" Target="https://sofrep.com/news/soldiers-god-catholicisms-special-operations-force/" TargetMode="External"/><Relationship Id="rId264" Type="http://schemas.openxmlformats.org/officeDocument/2006/relationships/hyperlink" Target="https://en.wikipedia.org/wiki/Maya_codices" TargetMode="External"/><Relationship Id="rId265" Type="http://schemas.openxmlformats.org/officeDocument/2006/relationships/hyperlink" Target="https://en.wikipedia.org/wiki/Diego_de_Landa" TargetMode="External"/><Relationship Id="rId266" Type="http://schemas.openxmlformats.org/officeDocument/2006/relationships/hyperlink" Target="https://en.wikipedia.org/wiki/Jesuit_reduction" TargetMode="External"/><Relationship Id="rId267" Type="http://schemas.openxmlformats.org/officeDocument/2006/relationships/hyperlink" Target="/timeline/evt-jesuits-missions-convert-asians-to-buddhism" TargetMode="External"/><Relationship Id="rId268" Type="http://schemas.openxmlformats.org/officeDocument/2006/relationships/hyperlink" Target="/timeline/evt-secret-society-of-jesus-goes-public" TargetMode="External"/><Relationship Id="rId269" Type="http://schemas.openxmlformats.org/officeDocument/2006/relationships/hyperlink" Target="/timeline/evt-jesuit-restoration-missionary-military-pattern" TargetMode="External"/><Relationship Id="rId270" Type="http://schemas.openxmlformats.org/officeDocument/2006/relationships/hyperlink" Target="/timeline/evt-from-missionaries-to-corporations" TargetMode="External"/><Relationship Id="rId271" Type="http://schemas.openxmlformats.org/officeDocument/2006/relationships/header" Target="header27.xml"/><Relationship Id="rId272" Type="http://schemas.openxmlformats.org/officeDocument/2006/relationships/footer" Target="footer27.xml"/><Relationship Id="rId273" Type="http://schemas.openxmlformats.org/officeDocument/2006/relationships/hyperlink" Target="/timeline/evt-building-the-new-chronology" TargetMode="External"/><Relationship Id="rId274" Type="http://schemas.openxmlformats.org/officeDocument/2006/relationships/image" Target="media/image4.jpg"/><Relationship Id="rId275" Type="http://schemas.openxmlformats.org/officeDocument/2006/relationships/hyperlink" Target="/timeline/evt-constancy-doctrine" TargetMode="External"/><Relationship Id="rId276" Type="http://schemas.openxmlformats.org/officeDocument/2006/relationships/hyperlink" Target="/timeline/evt-the-blip-7th-century-bce-to-10th-century-ce-never-" TargetMode="External"/><Relationship Id="rId277" Type="http://schemas.openxmlformats.org/officeDocument/2006/relationships/header" Target="header28.xml"/><Relationship Id="rId278"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