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1.2.27</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2"/>
      </w:pPr>
      <w:r>
        <w:rPr>
          <w:rFonts w:ascii="EB Garamond" w:hAnsi="EB Garamond"/>
          <w:sz w:val="19"/>
        </w:rPr>
        <w:t>Chapter 2: Known Contacts with Mars: A Chronological Dossier</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3: Controlled Opposition: Appendix</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 (Extended)</w:t>
      </w:r>
    </w:p>
    <w:p>
      <w:pPr>
        <w:pStyle w:val="TOC2"/>
      </w:pPr>
      <w:r>
        <w:rPr>
          <w:rFonts w:ascii="EB Garamond" w:hAnsi="EB Garamond"/>
          <w:sz w:val="19"/>
        </w:rPr>
        <w:t>Chapter 4: Censorship and Book Burning: The Historical Record</w:t>
      </w:r>
    </w:p>
    <w:p>
      <w:pPr>
        <w:pStyle w:val="TOC2"/>
      </w:pPr>
      <w:r>
        <w:rPr>
          <w:rFonts w:ascii="EB Garamond" w:hAnsi="EB Garamond"/>
          <w:sz w:val="19"/>
        </w:rPr>
        <w:t>Chapter 5: Historical Antibodies: Detailed Profiles</w:t>
      </w:r>
    </w:p>
    <w:p>
      <w:pPr>
        <w:pStyle w:val="TOC2"/>
      </w:pPr>
      <w:r>
        <w:rPr>
          <w:rFonts w:ascii="EB Garamond" w:hAnsi="EB Garamond"/>
          <w:sz w:val="19"/>
        </w:rPr>
        <w:t>Chapter 6: False Flags Investigation: Evidence Dossier</w:t>
      </w:r>
    </w:p>
    <w:p>
      <w:pPr>
        <w:pStyle w:val="TOC2"/>
      </w:pPr>
      <w:r>
        <w:rPr>
          <w:rFonts w:ascii="EB Garamond" w:hAnsi="EB Garamond"/>
          <w:sz w:val="19"/>
        </w:rPr>
        <w:t>Chapter 7: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8: Suppressed Energy Technology: A Cross-Reference</w:t>
      </w:r>
    </w:p>
    <w:p>
      <w:pPr>
        <w:pStyle w:val="TOC2"/>
      </w:pPr>
      <w:r>
        <w:rPr>
          <w:rFonts w:ascii="EB Garamond" w:hAnsi="EB Garamond"/>
          <w:sz w:val="19"/>
        </w:rPr>
        <w:t>Chapter 9: Population Control: A Timeline (15th–21st Centuries)</w:t>
      </w:r>
    </w:p>
    <w:p>
      <w:pPr>
        <w:pStyle w:val="TOC2"/>
      </w:pPr>
      <w:r>
        <w:rPr>
          <w:rFonts w:ascii="EB Garamond" w:hAnsi="EB Garamond"/>
          <w:sz w:val="19"/>
        </w:rPr>
        <w:t>Chapter 10: Orphan Trains, Trail of Tears, Siberian Exile — Extended Evidence</w:t>
      </w:r>
    </w:p>
    <w:p>
      <w:pPr>
        <w:pStyle w:val="TOC2"/>
      </w:pPr>
      <w:r>
        <w:rPr>
          <w:rFonts w:ascii="EB Garamond" w:hAnsi="EB Garamond"/>
          <w:sz w:val="19"/>
        </w:rPr>
        <w:t>Chapter 11: Napoleonic Wars and 1812 — Extended Evidence</w:t>
      </w:r>
    </w:p>
    <w:p>
      <w:pPr>
        <w:pStyle w:val="TOC3"/>
      </w:pPr>
      <w:r>
        <w:rPr>
          <w:rFonts w:ascii="EB Garamond" w:hAnsi="EB Garamond"/>
          <w:i/>
          <w:color w:val="666666"/>
          <w:sz w:val="17"/>
        </w:rPr>
        <w:t>Napoleon invades Russia — Reverse Crusade I (Extended)</w:t>
      </w:r>
    </w:p>
    <w:p>
      <w:pPr>
        <w:pStyle w:val="TOC2"/>
      </w:pPr>
      <w:r>
        <w:rPr>
          <w:rFonts w:ascii="EB Garamond" w:hAnsi="EB Garamond"/>
          <w:sz w:val="19"/>
        </w:rPr>
        <w:t>Chapter 12: Timeline Synchronization: Date Tables (Extended)</w:t>
      </w:r>
    </w:p>
    <w:p>
      <w:pPr>
        <w:pStyle w:val="TOC3"/>
      </w:pPr>
      <w:r>
        <w:rPr>
          <w:rFonts w:ascii="EB Garamond" w:hAnsi="EB Garamond"/>
          <w:i/>
          <w:color w:val="666666"/>
          <w:sz w:val="17"/>
        </w:rPr>
        <w:t>Year-Length and Calendar Evidence (Extended)</w:t>
      </w:r>
    </w:p>
    <w:p>
      <w:pPr>
        <w:pStyle w:val="TOC3"/>
      </w:pPr>
      <w:r>
        <w:rPr>
          <w:rFonts w:ascii="EB Garamond" w:hAnsi="EB Garamond"/>
          <w:i/>
          <w:color w:val="666666"/>
          <w:sz w:val="17"/>
        </w:rPr>
        <w:t>Fomenko and the Pyramid Question</w:t>
      </w:r>
    </w:p>
    <w:p>
      <w:pPr>
        <w:pStyle w:val="TOC3"/>
      </w:pPr>
      <w:r>
        <w:rPr>
          <w:rFonts w:ascii="EB Garamond" w:hAnsi="EB Garamond"/>
          <w:i/>
          <w:color w:val="666666"/>
          <w:sz w:val="17"/>
        </w:rPr>
        <w:t>Pyramids: Myths vs Reality — Evidence Table (Extended)</w:t>
      </w:r>
    </w:p>
    <w:p>
      <w:pPr>
        <w:pStyle w:val="TOC2"/>
      </w:pPr>
      <w:r>
        <w:rPr>
          <w:rFonts w:ascii="EB Garamond" w:hAnsi="EB Garamond"/>
          <w:sz w:val="19"/>
        </w:rPr>
        <w:t>Chapter 13: Asimov: Three Laws and Marx Encoding — Extended Evidence</w:t>
      </w:r>
    </w:p>
    <w:p>
      <w:pPr>
        <w:pStyle w:val="TOC2"/>
      </w:pPr>
      <w:r>
        <w:rPr>
          <w:rFonts w:ascii="EB Garamond" w:hAnsi="EB Garamond"/>
          <w:sz w:val="19"/>
        </w:rPr>
        <w:t>Chapter 14: Deep State breaks up the Hordian Empire (Extended)</w:t>
      </w:r>
    </w:p>
    <w:p>
      <w:pPr>
        <w:pStyle w:val="TOC2"/>
      </w:pPr>
      <w:r>
        <w:rPr>
          <w:rFonts w:ascii="EB Garamond" w:hAnsi="EB Garamond"/>
          <w:sz w:val="19"/>
        </w:rPr>
        <w:t>Chapter 15: The MudFlood and World Cataclysm: Extended Evidence</w:t>
      </w:r>
    </w:p>
    <w:p>
      <w:pPr>
        <w:pStyle w:val="TOC2"/>
      </w:pPr>
      <w:r>
        <w:rPr>
          <w:rFonts w:ascii="EB Garamond" w:hAnsi="EB Garamond"/>
          <w:sz w:val="19"/>
        </w:rPr>
        <w:t>Chapter 16: Soviet Historiography: Bogdanov and Suppressed Science (Extended)</w:t>
      </w:r>
    </w:p>
    <w:p>
      <w:pPr>
        <w:pStyle w:val="TOC2"/>
      </w:pPr>
      <w:r>
        <w:rPr>
          <w:rFonts w:ascii="EB Garamond" w:hAnsi="EB Garamond"/>
          <w:sz w:val="19"/>
        </w:rPr>
        <w:t>Chapter 17: Slave Trades: Evidence and Horde-Fracture Thesis (Extended)</w:t>
      </w:r>
    </w:p>
    <w:p>
      <w:pPr>
        <w:pStyle w:val="TOC2"/>
      </w:pPr>
      <w:r>
        <w:rPr>
          <w:rFonts w:ascii="EB Garamond" w:hAnsi="EB Garamond"/>
          <w:sz w:val="19"/>
        </w:rPr>
        <w:t>Chapter 18: British Empire as Deep State: Case Studies (Extended)</w:t>
      </w:r>
    </w:p>
    <w:p>
      <w:pPr>
        <w:pStyle w:val="TOC2"/>
      </w:pPr>
      <w:r>
        <w:rPr>
          <w:rFonts w:ascii="EB Garamond" w:hAnsi="EB Garamond"/>
          <w:sz w:val="19"/>
        </w:rPr>
        <w:t>Chapter 19: Seven Days of Creation (Extended)</w:t>
      </w:r>
    </w:p>
    <w:p>
      <w:pPr>
        <w:pStyle w:val="TOC2"/>
      </w:pPr>
      <w:r>
        <w:rPr>
          <w:rFonts w:ascii="EB Garamond" w:hAnsi="EB Garamond"/>
          <w:sz w:val="19"/>
        </w:rPr>
        <w:t>Chapter 20: Controlled Opposition: Managed Disclosure and Gatekeeping (Extended)</w:t>
      </w:r>
    </w:p>
    <w:p>
      <w:pPr>
        <w:pStyle w:val="TOC2"/>
      </w:pPr>
      <w:r>
        <w:rPr>
          <w:rFonts w:ascii="EB Garamond" w:hAnsi="EB Garamond"/>
          <w:sz w:val="19"/>
        </w:rPr>
        <w:t>Chapter 21: Historical Antibodies: Pattern Analysis (Extended)</w:t>
      </w:r>
    </w:p>
    <w:p>
      <w:pPr>
        <w:pStyle w:val="TOC2"/>
      </w:pPr>
      <w:r>
        <w:rPr>
          <w:rFonts w:ascii="EB Garamond" w:hAnsi="EB Garamond"/>
          <w:sz w:val="19"/>
        </w:rPr>
        <w:t>Chapter 22: False Flags: Architecture of Manufactured War (Extended)</w:t>
      </w:r>
    </w:p>
    <w:p>
      <w:pPr>
        <w:pStyle w:val="TOC2"/>
      </w:pPr>
      <w:r>
        <w:rPr>
          <w:rFonts w:ascii="EB Garamond" w:hAnsi="EB Garamond"/>
          <w:sz w:val="19"/>
        </w:rPr>
        <w:t>Chapter 23: Building the New Chronology (Extended)</w:t>
      </w:r>
    </w:p>
    <w:p>
      <w:pPr>
        <w:pStyle w:val="TOC2"/>
      </w:pPr>
      <w:r>
        <w:rPr>
          <w:rFonts w:ascii="EB Garamond" w:hAnsi="EB Garamond"/>
          <w:sz w:val="19"/>
        </w:rPr>
        <w:t>Chapter 24: Censorship and Book Burning: From Alexandria to the Internet (Extended)</w:t>
      </w:r>
    </w:p>
    <w:p>
      <w:pPr>
        <w:pStyle w:val="TOC2"/>
      </w:pPr>
      <w:r>
        <w:rPr>
          <w:rFonts w:ascii="EB Garamond" w:hAnsi="EB Garamond"/>
          <w:sz w:val="19"/>
        </w:rPr>
        <w:t>Chapter 25: Jesuit Operations: Conversion, Catholicism, and the New World (Extended)</w:t>
      </w:r>
    </w:p>
    <w:p>
      <w:pPr>
        <w:pStyle w:val="TOC2"/>
      </w:pPr>
      <w:r>
        <w:rPr>
          <w:rFonts w:ascii="EB Garamond" w:hAnsi="EB Garamond"/>
          <w:sz w:val="19"/>
        </w:rPr>
        <w:t>Chapter 26: Other Challenges to Chronology (Extended)</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pStyle w:val="Heading1"/>
      </w:pPr>
      <w:r>
        <w:rPr>
          <w:b/>
        </w:rPr>
        <w:t>Part XVI — 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pPr>
      <w:r>
        <w:t>Contents</w:t>
      </w:r>
    </w:p>
    <w:p>
      <w:pPr>
        <w:pStyle w:val="Heading3"/>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pPr>
      <w:r>
        <w:t>Mars</w:t>
      </w:r>
    </w:p>
    <w:p>
      <w:pPr>
        <w:pStyle w:val="ListBullet"/>
        <w:spacing w:before="20" w:after="20"/>
      </w:pPr>
      <w:hyperlink r:id="rId13">
        <w:r>
          <w:rPr>
            <w:b w:val="0"/>
            <w:i w:val="0"/>
            <w:color w:val="B8860B"/>
            <w:sz w:val="19"/>
          </w:rPr>
          <w:t>Mars Literature: Author Profiles and Evidence</w:t>
        </w:r>
      </w:hyperlink>
    </w:p>
    <w:p>
      <w:pPr>
        <w:pStyle w:val="Heading3"/>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Pr>
        <w:pStyle w:val="Heading3"/>
      </w:pPr>
      <w:r>
        <w:t>Censorship, Antibodies, False Flags</w:t>
      </w:r>
    </w:p>
    <w:p>
      <w:pPr>
        <w:pStyle w:val="ListBullet"/>
        <w:spacing w:before="20" w:after="20"/>
      </w:pPr>
      <w:hyperlink r:id="rId16">
        <w:r>
          <w:rPr>
            <w:b w:val="0"/>
            <w:i w:val="0"/>
            <w:color w:val="B8860B"/>
            <w:sz w:val="19"/>
          </w:rPr>
          <w:t>Censorship and Book Burning: The Historical Record</w:t>
        </w:r>
      </w:hyperlink>
    </w:p>
    <w:p>
      <w:pPr>
        <w:pStyle w:val="ListBullet"/>
        <w:spacing w:before="20" w:after="20"/>
      </w:pPr>
      <w:hyperlink r:id="rId17">
        <w:r>
          <w:rPr>
            <w:b w:val="0"/>
            <w:i w:val="0"/>
            <w:color w:val="B8860B"/>
            <w:sz w:val="19"/>
          </w:rPr>
          <w:t>Historical Antibodies: Detailed Profiles</w:t>
        </w:r>
      </w:hyperlink>
    </w:p>
    <w:p>
      <w:pPr>
        <w:pStyle w:val="ListBullet"/>
        <w:spacing w:before="20" w:after="20"/>
      </w:pPr>
      <w:hyperlink r:id="rId18">
        <w:r>
          <w:rPr>
            <w:b w:val="0"/>
            <w:i w:val="0"/>
            <w:color w:val="B8860B"/>
            <w:sz w:val="19"/>
          </w:rPr>
          <w:t>False Flags Investigation: Evidence Dossier</w:t>
        </w:r>
      </w:hyperlink>
    </w:p>
    <w:p>
      <w:pPr>
        <w:pStyle w:val="Heading3"/>
      </w:pPr>
      <w:r>
        <w:t>Author Profiles</w:t>
      </w:r>
    </w:p>
    <w:p>
      <w:pPr>
        <w:pStyle w:val="ListBullet"/>
        <w:spacing w:before="20" w:after="20"/>
      </w:pPr>
      <w:hyperlink r:id="rId19">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pPr>
      <w:r>
        <w:t>Suppressed Energy, Population Control</w:t>
      </w:r>
    </w:p>
    <w:p>
      <w:pPr>
        <w:pStyle w:val="ListBullet"/>
        <w:spacing w:before="20" w:after="20"/>
      </w:pPr>
      <w:hyperlink r:id="rId20">
        <w:r>
          <w:rPr>
            <w:b w:val="0"/>
            <w:i w:val="0"/>
            <w:color w:val="B8860B"/>
            <w:sz w:val="19"/>
          </w:rPr>
          <w:t>Suppressed Energy Technology: A Cross-Reference</w:t>
        </w:r>
      </w:hyperlink>
    </w:p>
    <w:p>
      <w:pPr>
        <w:pStyle w:val="ListBullet"/>
        <w:spacing w:before="20" w:after="20"/>
      </w:pPr>
      <w:hyperlink r:id="rId21">
        <w:r>
          <w:rPr>
            <w:b w:val="0"/>
            <w:i w:val="0"/>
            <w:color w:val="B8860B"/>
            <w:sz w:val="19"/>
          </w:rPr>
          <w:t>Population Control: A Timeline (15th–21st Centuries)</w:t>
        </w:r>
      </w:hyperlink>
    </w:p>
    <w:p>
      <w:pPr>
        <w:pStyle w:val="Heading3"/>
      </w:pPr>
      <w:r>
        <w:t>Napoleonic Wars</w:t>
      </w:r>
    </w:p>
    <w:p>
      <w:pPr>
        <w:pStyle w:val="ListBullet"/>
        <w:spacing w:before="20" w:after="20"/>
      </w:pPr>
      <w:hyperlink r:id="rId22">
        <w:r>
          <w:rPr>
            <w:b w:val="0"/>
            <w:i w:val="0"/>
            <w:color w:val="B8860B"/>
            <w:sz w:val="19"/>
          </w:rPr>
          <w:t>Napoleon invades Russia — Reverse Crusade I (Extended)</w:t>
        </w:r>
      </w:hyperlink>
    </w:p>
    <w:p>
      <w:pPr>
        <w:pStyle w:val="Heading3"/>
      </w:pPr>
      <w:r>
        <w:t>Authors and Cataclysm</w:t>
      </w:r>
    </w:p>
    <w:p>
      <w:pPr>
        <w:pStyle w:val="ListBullet"/>
        <w:spacing w:before="20" w:after="20"/>
      </w:pPr>
      <w:hyperlink r:id="rId23">
        <w:r>
          <w:rPr>
            <w:b w:val="0"/>
            <w:i w:val="0"/>
            <w:color w:val="B8860B"/>
            <w:sz w:val="19"/>
          </w:rPr>
          <w:t>Asimov: Three Laws and Marx Encoding — Extended Evidence</w:t>
        </w:r>
      </w:hyperlink>
    </w:p>
    <w:p>
      <w:pPr>
        <w:pStyle w:val="Heading3"/>
      </w:pPr>
      <w:r>
        <w:t>Timeline Synchronization &amp; Methodology</w:t>
      </w:r>
    </w:p>
    <w:p>
      <w:pPr>
        <w:pStyle w:val="ListBullet"/>
        <w:spacing w:before="20" w:after="20"/>
      </w:pPr>
      <w:hyperlink r:id="rId24">
        <w:r>
          <w:rPr>
            <w:b w:val="0"/>
            <w:i w:val="0"/>
            <w:color w:val="B8860B"/>
            <w:sz w:val="19"/>
          </w:rPr>
          <w:t>Year-Length and Calendar Evidence (Extended)</w:t>
        </w:r>
      </w:hyperlink>
    </w:p>
    <w:p>
      <w:pPr>
        <w:pStyle w:val="ListBullet"/>
        <w:spacing w:before="20" w:after="20"/>
      </w:pPr>
      <w:hyperlink r:id="rId25">
        <w:r>
          <w:rPr>
            <w:b w:val="0"/>
            <w:i w:val="0"/>
            <w:color w:val="B8860B"/>
            <w:sz w:val="19"/>
          </w:rPr>
          <w:t>Fomenko and the Pyramid Question</w:t>
        </w:r>
      </w:hyperlink>
    </w:p>
    <w:p>
      <w:pPr>
        <w:pStyle w:val="ListBullet"/>
        <w:spacing w:before="20" w:after="20"/>
      </w:pPr>
      <w:hyperlink r:id="rId26">
        <w:r>
          <w:rPr>
            <w:b w:val="0"/>
            <w:i w:val="0"/>
            <w:color w:val="B8860B"/>
            <w:sz w:val="19"/>
          </w:rPr>
          <w:t>Pyramids: Myths vs Reality — Evidence Table (Extended)</w:t>
        </w:r>
      </w:hyperlink>
    </w:p>
    <w:p>
      <w:pPr>
        <w:pStyle w:val="Heading3"/>
      </w:pPr>
      <w:r>
        <w:t>Further Evidence</w:t>
      </w:r>
    </w:p>
    <w:p>
      <w:pPr>
        <w:pStyle w:val="ListBullet"/>
        <w:spacing w:before="20" w:after="20"/>
      </w:pPr>
      <w:hyperlink r:id="rId27">
        <w:r>
          <w:rPr>
            <w:b w:val="0"/>
            <w:i w:val="0"/>
            <w:color w:val="B8860B"/>
            <w:sz w:val="19"/>
          </w:rPr>
          <w:t>Orphan Trains, Trail of Tears, Siberian Exile — Extended Evidence</w:t>
        </w:r>
      </w:hyperlink>
    </w:p>
    <w:p>
      <w:pPr>
        <w:pStyle w:val="ListBullet"/>
        <w:spacing w:before="20" w:after="20"/>
      </w:pPr>
      <w:hyperlink r:id="rId28">
        <w:r>
          <w:rPr>
            <w:b w:val="0"/>
            <w:i w:val="0"/>
            <w:color w:val="B8860B"/>
            <w:sz w:val="19"/>
          </w:rPr>
          <w:t>Deep State breaks up the Hordian Empire (Extended)</w:t>
        </w:r>
      </w:hyperlink>
    </w:p>
    <w:p>
      <w:pPr>
        <w:pStyle w:val="ListBullet"/>
        <w:spacing w:before="20" w:after="20"/>
      </w:pPr>
      <w:hyperlink r:id="rId29">
        <w:r>
          <w:rPr>
            <w:b w:val="0"/>
            <w:i w:val="0"/>
            <w:color w:val="B8860B"/>
            <w:sz w:val="19"/>
          </w:rPr>
          <w:t>Slave Trades: Evidence and Horde-Fracture Thesis (Extended)</w:t>
        </w:r>
      </w:hyperlink>
    </w:p>
    <w:p>
      <w:pPr>
        <w:pStyle w:val="ListBullet"/>
        <w:spacing w:before="20" w:after="20"/>
      </w:pPr>
      <w:hyperlink r:id="rId30">
        <w:r>
          <w:rPr>
            <w:b w:val="0"/>
            <w:i w:val="0"/>
            <w:color w:val="B8860B"/>
            <w:sz w:val="19"/>
          </w:rPr>
          <w:t>The MudFlood and World Cataclysm: Extended Evidence</w:t>
        </w:r>
      </w:hyperlink>
    </w:p>
    <w:p>
      <w:pPr>
        <w:pStyle w:val="ListBullet"/>
        <w:spacing w:before="20" w:after="20"/>
      </w:pPr>
      <w:hyperlink r:id="rId31">
        <w:r>
          <w:rPr>
            <w:b w:val="0"/>
            <w:i w:val="0"/>
            <w:color w:val="B8860B"/>
            <w:sz w:val="19"/>
          </w:rPr>
          <w:t>Soviet Historiography: Bogdanov and Suppressed Science (Extended)</w:t>
        </w:r>
      </w:hyperlink>
    </w:p>
    <w:p>
      <w:pPr>
        <w:pStyle w:val="ListBullet"/>
        <w:spacing w:before="20" w:after="20"/>
      </w:pPr>
      <w:hyperlink r:id="rId32">
        <w:r>
          <w:rPr>
            <w:b w:val="0"/>
            <w:i w:val="0"/>
            <w:color w:val="B8860B"/>
            <w:sz w:val="19"/>
          </w:rPr>
          <w:t>British Empire as Deep State: Case Studies (Extended)</w:t>
        </w:r>
      </w:hyperlink>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Predictive Programming: Fiction as Control</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657600" cy="2438400"/>
                    </a:xfrm>
                    <a:prstGeom prst="rect"/>
                  </pic:spPr>
                </pic:pic>
              </a:graphicData>
            </a:graphic>
          </wp:inline>
        </w:drawing>
      </w:r>
    </w:p>
    <w:p>
      <w:pPr>
        <w:pStyle w:val="Caption"/>
      </w:pPr>
      <w:r>
        <w:t>Predictive Programming</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pPr>
      <w:r>
        <w:t>The Wizard of Oz: Atlantis as Children's Entertainment</w:t>
      </w:r>
    </w:p>
    <w:p>
      <w:r>
        <w:rPr>
          <w:b w:val="0"/>
          <w:i w:val="0"/>
        </w:rPr>
        <w:t xml:space="preserve">The 1900 novel and </w:t>
      </w:r>
      <w:hyperlink r:id="rId36">
        <w:r>
          <w:rPr>
            <w:b w:val="0"/>
            <w:i w:val="0"/>
            <w:color w:val="B8860B"/>
          </w:rPr>
          <w:t>1939 film</w:t>
        </w:r>
      </w:hyperlink>
      <w:r>
        <w:rPr>
          <w:b w:val="0"/>
          <w:i w:val="0"/>
        </w:rPr>
        <w:t xml:space="preserve"> encode the structure of </w:t>
      </w:r>
      <w:hyperlink r:id="rId37">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38">
        <w:r>
          <w:rPr>
            <w:b w:val="0"/>
            <w:i w:val="0"/>
            <w:color w:val="B8860B"/>
          </w:rPr>
          <w:t>Giants of the Rus-Horde</w:t>
        </w:r>
      </w:hyperlink>
      <w:r>
        <w:rPr>
          <w:b w:val="0"/>
          <w:i w:val="0"/>
        </w:rPr>
        <w:t>.</w:t>
      </w:r>
    </w:p>
    <w:p>
      <w:pPr>
        <w:pStyle w:val="Heading2"/>
      </w:pPr>
      <w:r>
        <w:t>War of the Worlds: Real Event as Fiction</w:t>
      </w:r>
    </w:p>
    <w:p>
      <w:r>
        <w:rPr>
          <w:b w:val="0"/>
          <w:i w:val="0"/>
        </w:rPr>
        <w:t xml:space="preserve">H.G. Wells </w:t>
      </w:r>
      <w:hyperlink r:id="rId39">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40">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41">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42">
        <w:r>
          <w:rPr>
            <w:b w:val="0"/>
            <w:i w:val="0"/>
            <w:color w:val="B8860B"/>
          </w:rPr>
          <w:t>American chestnut blight</w:t>
        </w:r>
      </w:hyperlink>
      <w:r>
        <w:rPr>
          <w:b w:val="0"/>
          <w:i w:val="0"/>
        </w:rPr>
        <w:t xml:space="preserve"> (1904), killing four billion trees.</w:t>
      </w:r>
    </w:p>
    <w:p>
      <w:pPr>
        <w:pStyle w:val="Heading2"/>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43">
        <w:r>
          <w:rPr>
            <w:b w:val="0"/>
            <w:i w:val="0"/>
            <w:color w:val="B8860B"/>
          </w:rPr>
          <w:t>The Mars Catastrophe</w:t>
        </w:r>
      </w:hyperlink>
      <w:r>
        <w:rPr>
          <w:b w:val="0"/>
          <w:i w:val="0"/>
        </w:rPr>
        <w:t>.</w:t>
      </w:r>
    </w:p>
    <w:p>
      <w:pPr>
        <w:pStyle w:val="Heading2"/>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civilisation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pPr>
      <w:r>
        <w:t>Star Metal: Historical Advantage as Fantasy</w:t>
      </w:r>
    </w:p>
    <w:p>
      <w:r>
        <w:rPr>
          <w:b w:val="0"/>
          <w:i w:val="0"/>
        </w:rPr>
        <w:t xml:space="preserve">The </w:t>
      </w:r>
      <w:hyperlink r:id="rId44">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45">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pPr>
      <w:r>
        <w:t>Appendix: Tolkien Source Mapping Tables</w:t>
      </w:r>
    </w:p>
    <w:p>
      <w:r>
        <w:rPr>
          <w:b w:val="0"/>
          <w:i w:val="0"/>
        </w:rPr>
        <w:t xml:space="preserve">For the full Tolkien analysis, see </w:t>
      </w:r>
      <w:hyperlink r:id="rId46">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17"/>
        <w:gridCol w:w="846"/>
        <w:gridCol w:w="973"/>
        <w:gridCol w:w="3537"/>
      </w:tblGrid>
      <w:tr>
        <w:tc>
          <w:tcPr>
            <w:tcW w:type="dxa" w:w="1017"/>
            <w:shd w:val="clear" w:color="auto" w:fill="F0F0F0"/>
          </w:tcPr>
          <w:p>
            <w:pPr>
              <w:spacing w:before="20" w:after="20"/>
              <w:jc w:val="center"/>
            </w:pPr>
            <w:r>
              <w:rPr>
                <w:rFonts w:ascii="Libre Franklin" w:hAnsi="Libre Franklin"/>
                <w:b/>
                <w:sz w:val="18"/>
              </w:rPr>
              <w:t>Author</w:t>
            </w:r>
          </w:p>
        </w:tc>
        <w:tc>
          <w:tcPr>
            <w:tcW w:type="dxa" w:w="846"/>
            <w:shd w:val="clear" w:color="auto" w:fill="F0F0F0"/>
          </w:tcPr>
          <w:p>
            <w:pPr>
              <w:spacing w:before="20" w:after="20"/>
              <w:jc w:val="center"/>
            </w:pPr>
            <w:r>
              <w:rPr>
                <w:rFonts w:ascii="Libre Franklin" w:hAnsi="Libre Franklin"/>
                <w:b/>
                <w:sz w:val="18"/>
              </w:rPr>
              <w:t>Active</w:t>
            </w:r>
          </w:p>
        </w:tc>
        <w:tc>
          <w:tcPr>
            <w:tcW w:type="dxa" w:w="973"/>
            <w:shd w:val="clear" w:color="auto" w:fill="F0F0F0"/>
          </w:tcPr>
          <w:p>
            <w:pPr>
              <w:spacing w:before="20" w:after="20"/>
              <w:jc w:val="center"/>
            </w:pPr>
            <w:r>
              <w:rPr>
                <w:rFonts w:ascii="Libre Franklin" w:hAnsi="Libre Franklin"/>
                <w:b/>
                <w:sz w:val="18"/>
              </w:rPr>
              <w:t>Cover Genre</w:t>
            </w:r>
          </w:p>
        </w:tc>
        <w:tc>
          <w:tcPr>
            <w:tcW w:type="dxa" w:w="3537"/>
            <w:shd w:val="clear" w:color="auto" w:fill="F0F0F0"/>
          </w:tcPr>
          <w:p>
            <w:pPr>
              <w:spacing w:before="20" w:after="20"/>
              <w:jc w:val="center"/>
            </w:pPr>
            <w:r>
              <w:rPr>
                <w:rFonts w:ascii="Libre Franklin" w:hAnsi="Libre Franklin"/>
                <w:b/>
                <w:sz w:val="18"/>
              </w:rPr>
              <w:t>Real Content Encoded</w:t>
            </w:r>
          </w:p>
        </w:tc>
      </w:tr>
      <w:tr>
        <w:tc>
          <w:tcPr>
            <w:tcW w:type="dxa" w:w="1017"/>
          </w:tcPr>
          <w:p>
            <w:pPr>
              <w:spacing w:before="20" w:after="20"/>
            </w:pPr>
            <w:r>
              <w:rPr>
                <w:b w:val="0"/>
                <w:i w:val="0"/>
                <w:sz w:val="18"/>
              </w:rPr>
              <w:t>H.G. Wells</w:t>
            </w:r>
          </w:p>
        </w:tc>
        <w:tc>
          <w:tcPr>
            <w:tcW w:type="dxa" w:w="846"/>
          </w:tcPr>
          <w:p>
            <w:pPr>
              <w:spacing w:before="20" w:after="20"/>
            </w:pPr>
            <w:r>
              <w:rPr>
                <w:b w:val="0"/>
                <w:i w:val="0"/>
                <w:sz w:val="18"/>
              </w:rPr>
              <w:t>1895–1946</w:t>
            </w:r>
          </w:p>
        </w:tc>
        <w:tc>
          <w:tcPr>
            <w:tcW w:type="dxa" w:w="973"/>
          </w:tcPr>
          <w:p>
            <w:pPr>
              <w:spacing w:before="20" w:after="20"/>
            </w:pPr>
            <w:r>
              <w:rPr>
                <w:b w:val="0"/>
                <w:i w:val="0"/>
                <w:sz w:val="18"/>
              </w:rPr>
              <w:t>SF</w:t>
            </w:r>
          </w:p>
        </w:tc>
        <w:tc>
          <w:tcPr>
            <w:tcW w:type="dxa" w:w="3537"/>
          </w:tcPr>
          <w:p>
            <w:pPr>
              <w:spacing w:before="20" w:after="20"/>
            </w:pPr>
            <w:r>
              <w:rPr>
                <w:b w:val="0"/>
                <w:i w:val="0"/>
                <w:sz w:val="18"/>
              </w:rPr>
              <w:t>Remote viewing, Mars surveillance, planetary weapons</w:t>
            </w:r>
          </w:p>
        </w:tc>
      </w:tr>
      <w:tr>
        <w:tc>
          <w:tcPr>
            <w:tcW w:type="dxa" w:w="1017"/>
          </w:tcPr>
          <w:p>
            <w:pPr>
              <w:spacing w:before="20" w:after="20"/>
            </w:pPr>
            <w:r>
              <w:rPr>
                <w:b w:val="0"/>
                <w:i w:val="0"/>
                <w:sz w:val="18"/>
              </w:rPr>
              <w:t>Arthur Machen</w:t>
            </w:r>
          </w:p>
        </w:tc>
        <w:tc>
          <w:tcPr>
            <w:tcW w:type="dxa" w:w="846"/>
          </w:tcPr>
          <w:p>
            <w:pPr>
              <w:spacing w:before="20" w:after="20"/>
            </w:pPr>
            <w:r>
              <w:rPr>
                <w:b w:val="0"/>
                <w:i w:val="0"/>
                <w:sz w:val="18"/>
              </w:rPr>
              <w:t>1894–1930s</w:t>
            </w:r>
          </w:p>
        </w:tc>
        <w:tc>
          <w:tcPr>
            <w:tcW w:type="dxa" w:w="973"/>
          </w:tcPr>
          <w:p>
            <w:pPr>
              <w:spacing w:before="20" w:after="20"/>
            </w:pPr>
            <w:r>
              <w:rPr>
                <w:b w:val="0"/>
                <w:i w:val="0"/>
                <w:sz w:val="18"/>
              </w:rPr>
              <w:t>Supernatural horror</w:t>
            </w:r>
          </w:p>
        </w:tc>
        <w:tc>
          <w:tcPr>
            <w:tcW w:type="dxa" w:w="3537"/>
          </w:tcPr>
          <w:p>
            <w:pPr>
              <w:spacing w:before="20" w:after="20"/>
            </w:pPr>
            <w:r>
              <w:rPr>
                <w:b w:val="0"/>
                <w:i w:val="0"/>
                <w:sz w:val="18"/>
              </w:rPr>
              <w:t>Dimensional perception, fiction→reality conversion</w:t>
            </w:r>
          </w:p>
        </w:tc>
      </w:tr>
      <w:tr>
        <w:tc>
          <w:tcPr>
            <w:tcW w:type="dxa" w:w="1017"/>
          </w:tcPr>
          <w:p>
            <w:pPr>
              <w:spacing w:before="20" w:after="20"/>
            </w:pPr>
            <w:r>
              <w:rPr>
                <w:b w:val="0"/>
                <w:i w:val="0"/>
                <w:sz w:val="18"/>
              </w:rPr>
              <w:t>Algernon Blackwood</w:t>
            </w:r>
          </w:p>
        </w:tc>
        <w:tc>
          <w:tcPr>
            <w:tcW w:type="dxa" w:w="846"/>
          </w:tcPr>
          <w:p>
            <w:pPr>
              <w:spacing w:before="20" w:after="20"/>
            </w:pPr>
            <w:r>
              <w:rPr>
                <w:b w:val="0"/>
                <w:i w:val="0"/>
                <w:sz w:val="18"/>
              </w:rPr>
              <w:t>1906–1951</w:t>
            </w:r>
          </w:p>
        </w:tc>
        <w:tc>
          <w:tcPr>
            <w:tcW w:type="dxa" w:w="973"/>
          </w:tcPr>
          <w:p>
            <w:pPr>
              <w:spacing w:before="20" w:after="20"/>
            </w:pPr>
            <w:r>
              <w:rPr>
                <w:b w:val="0"/>
                <w:i w:val="0"/>
                <w:sz w:val="18"/>
              </w:rPr>
              <w:t>Weird fiction</w:t>
            </w:r>
          </w:p>
        </w:tc>
        <w:tc>
          <w:tcPr>
            <w:tcW w:type="dxa" w:w="3537"/>
          </w:tcPr>
          <w:p>
            <w:pPr>
              <w:spacing w:before="20" w:after="20"/>
            </w:pPr>
            <w:r>
              <w:rPr>
                <w:b w:val="0"/>
                <w:i w:val="0"/>
                <w:sz w:val="18"/>
              </w:rPr>
              <w:t>Thought-based surveillance, occult intelligence</w:t>
            </w:r>
          </w:p>
        </w:tc>
      </w:tr>
      <w:tr>
        <w:tc>
          <w:tcPr>
            <w:tcW w:type="dxa" w:w="1017"/>
          </w:tcPr>
          <w:p>
            <w:pPr>
              <w:spacing w:before="20" w:after="20"/>
            </w:pPr>
            <w:r>
              <w:rPr>
                <w:b w:val="0"/>
                <w:i w:val="0"/>
                <w:sz w:val="18"/>
              </w:rPr>
              <w:t>H.P. Lovecraft</w:t>
            </w:r>
          </w:p>
        </w:tc>
        <w:tc>
          <w:tcPr>
            <w:tcW w:type="dxa" w:w="846"/>
          </w:tcPr>
          <w:p>
            <w:pPr>
              <w:spacing w:before="20" w:after="20"/>
            </w:pPr>
            <w:r>
              <w:rPr>
                <w:b w:val="0"/>
                <w:i w:val="0"/>
                <w:sz w:val="18"/>
              </w:rPr>
              <w:t>1917–1937</w:t>
            </w:r>
          </w:p>
        </w:tc>
        <w:tc>
          <w:tcPr>
            <w:tcW w:type="dxa" w:w="973"/>
          </w:tcPr>
          <w:p>
            <w:pPr>
              <w:spacing w:before="20" w:after="20"/>
            </w:pPr>
            <w:r>
              <w:rPr>
                <w:b w:val="0"/>
                <w:i w:val="0"/>
                <w:sz w:val="18"/>
              </w:rPr>
              <w:t>Cosmic horror</w:t>
            </w:r>
          </w:p>
        </w:tc>
        <w:tc>
          <w:tcPr>
            <w:tcW w:type="dxa" w:w="3537"/>
          </w:tcPr>
          <w:p>
            <w:pPr>
              <w:spacing w:before="20" w:after="20"/>
            </w:pPr>
            <w:r>
              <w:rPr>
                <w:b w:val="0"/>
                <w:i w:val="0"/>
                <w:sz w:val="18"/>
              </w:rPr>
              <w:t>Scrying, pineal activation, mind projection, brain extraction</w:t>
            </w:r>
          </w:p>
        </w:tc>
      </w:tr>
      <w:tr>
        <w:tc>
          <w:tcPr>
            <w:tcW w:type="dxa" w:w="1017"/>
          </w:tcPr>
          <w:p>
            <w:pPr>
              <w:spacing w:before="20" w:after="20"/>
            </w:pPr>
            <w:r>
              <w:rPr>
                <w:b w:val="0"/>
                <w:i w:val="0"/>
                <w:sz w:val="18"/>
              </w:rPr>
              <w:t>E.R. Burroughs</w:t>
            </w:r>
          </w:p>
        </w:tc>
        <w:tc>
          <w:tcPr>
            <w:tcW w:type="dxa" w:w="846"/>
          </w:tcPr>
          <w:p>
            <w:pPr>
              <w:spacing w:before="20" w:after="20"/>
            </w:pPr>
            <w:r>
              <w:rPr>
                <w:b w:val="0"/>
                <w:i w:val="0"/>
                <w:sz w:val="18"/>
              </w:rPr>
              <w:t>1912–1943</w:t>
            </w:r>
          </w:p>
        </w:tc>
        <w:tc>
          <w:tcPr>
            <w:tcW w:type="dxa" w:w="973"/>
          </w:tcPr>
          <w:p>
            <w:pPr>
              <w:spacing w:before="20" w:after="20"/>
            </w:pPr>
            <w:r>
              <w:rPr>
                <w:b w:val="0"/>
                <w:i w:val="0"/>
                <w:sz w:val="18"/>
              </w:rPr>
              <w:t>Planetary romance</w:t>
            </w:r>
          </w:p>
        </w:tc>
        <w:tc>
          <w:tcPr>
            <w:tcW w:type="dxa" w:w="3537"/>
          </w:tcPr>
          <w:p>
            <w:pPr>
              <w:spacing w:before="20" w:after="20"/>
            </w:pPr>
            <w:r>
              <w:rPr>
                <w:b w:val="0"/>
                <w:i w:val="0"/>
                <w:sz w:val="18"/>
              </w:rPr>
              <w:t>Mars political geography, polar conspiracies</w:t>
            </w:r>
          </w:p>
        </w:tc>
      </w:tr>
      <w:tr>
        <w:tc>
          <w:tcPr>
            <w:tcW w:type="dxa" w:w="1017"/>
          </w:tcPr>
          <w:p>
            <w:pPr>
              <w:spacing w:before="20" w:after="20"/>
            </w:pPr>
            <w:r>
              <w:rPr>
                <w:b w:val="0"/>
                <w:i w:val="0"/>
                <w:sz w:val="18"/>
              </w:rPr>
              <w:t>J.R.R. Tolkien</w:t>
            </w:r>
          </w:p>
        </w:tc>
        <w:tc>
          <w:tcPr>
            <w:tcW w:type="dxa" w:w="846"/>
          </w:tcPr>
          <w:p>
            <w:pPr>
              <w:spacing w:before="20" w:after="20"/>
            </w:pPr>
            <w:r>
              <w:rPr>
                <w:b w:val="0"/>
                <w:i w:val="0"/>
                <w:sz w:val="18"/>
              </w:rPr>
              <w:t>1937–1973</w:t>
            </w:r>
          </w:p>
        </w:tc>
        <w:tc>
          <w:tcPr>
            <w:tcW w:type="dxa" w:w="973"/>
          </w:tcPr>
          <w:p>
            <w:pPr>
              <w:spacing w:before="20" w:after="20"/>
            </w:pPr>
            <w:r>
              <w:rPr>
                <w:b w:val="0"/>
                <w:i w:val="0"/>
                <w:sz w:val="18"/>
              </w:rPr>
              <w:t>Fantasy</w:t>
            </w:r>
          </w:p>
        </w:tc>
        <w:tc>
          <w:tcPr>
            <w:tcW w:type="dxa" w:w="3537"/>
          </w:tcPr>
          <w:p>
            <w:pPr>
              <w:spacing w:before="20" w:after="20"/>
            </w:pPr>
            <w:r>
              <w:rPr>
                <w:b w:val="0"/>
                <w:i w:val="0"/>
                <w:sz w:val="18"/>
              </w:rPr>
              <w:t>Pseudotranslation, remote-viewing artifacts</w:t>
            </w:r>
          </w:p>
        </w:tc>
      </w:tr>
      <w:tr>
        <w:tc>
          <w:tcPr>
            <w:tcW w:type="dxa" w:w="1017"/>
          </w:tcPr>
          <w:p>
            <w:pPr>
              <w:spacing w:before="20" w:after="20"/>
            </w:pPr>
            <w:r>
              <w:rPr>
                <w:b w:val="0"/>
                <w:i w:val="0"/>
                <w:sz w:val="18"/>
              </w:rPr>
              <w:t>Isaac Asimov</w:t>
            </w:r>
          </w:p>
        </w:tc>
        <w:tc>
          <w:tcPr>
            <w:tcW w:type="dxa" w:w="846"/>
          </w:tcPr>
          <w:p>
            <w:pPr>
              <w:spacing w:before="20" w:after="20"/>
            </w:pPr>
            <w:r>
              <w:rPr>
                <w:b w:val="0"/>
                <w:i w:val="0"/>
                <w:sz w:val="18"/>
              </w:rPr>
              <w:t>1942–1992</w:t>
            </w:r>
          </w:p>
        </w:tc>
        <w:tc>
          <w:tcPr>
            <w:tcW w:type="dxa" w:w="973"/>
          </w:tcPr>
          <w:p>
            <w:pPr>
              <w:spacing w:before="20" w:after="20"/>
            </w:pPr>
            <w:r>
              <w:rPr>
                <w:b w:val="0"/>
                <w:i w:val="0"/>
                <w:sz w:val="18"/>
              </w:rPr>
              <w:t>Robot/Foundation SF</w:t>
            </w:r>
          </w:p>
        </w:tc>
        <w:tc>
          <w:tcPr>
            <w:tcW w:type="dxa" w:w="3537"/>
          </w:tcPr>
          <w:p>
            <w:pPr>
              <w:spacing w:before="20" w:after="20"/>
            </w:pPr>
            <w:r>
              <w:rPr>
                <w:b w:val="0"/>
                <w:i w:val="0"/>
                <w:sz w:val="18"/>
              </w:rPr>
              <w:t>Three Laws = slave code; Marxist psychohistory</w:t>
            </w:r>
          </w:p>
        </w:tc>
      </w:tr>
      <w:tr>
        <w:tc>
          <w:tcPr>
            <w:tcW w:type="dxa" w:w="1017"/>
          </w:tcPr>
          <w:p>
            <w:pPr>
              <w:spacing w:before="20" w:after="20"/>
            </w:pPr>
            <w:r>
              <w:rPr>
                <w:b w:val="0"/>
                <w:i w:val="0"/>
                <w:sz w:val="18"/>
              </w:rPr>
              <w:t>Orson Scott Card</w:t>
            </w:r>
          </w:p>
        </w:tc>
        <w:tc>
          <w:tcPr>
            <w:tcW w:type="dxa" w:w="846"/>
          </w:tcPr>
          <w:p>
            <w:pPr>
              <w:spacing w:before="20" w:after="20"/>
            </w:pPr>
            <w:r>
              <w:rPr>
                <w:b w:val="0"/>
                <w:i w:val="0"/>
                <w:sz w:val="18"/>
              </w:rPr>
              <w:t>1977–present</w:t>
            </w:r>
          </w:p>
        </w:tc>
        <w:tc>
          <w:tcPr>
            <w:tcW w:type="dxa" w:w="973"/>
          </w:tcPr>
          <w:p>
            <w:pPr>
              <w:spacing w:before="20" w:after="20"/>
            </w:pPr>
            <w:r>
              <w:rPr>
                <w:b w:val="0"/>
                <w:i w:val="0"/>
                <w:sz w:val="18"/>
              </w:rPr>
              <w:t>Military SF</w:t>
            </w:r>
          </w:p>
        </w:tc>
        <w:tc>
          <w:tcPr>
            <w:tcW w:type="dxa" w:w="3537"/>
          </w:tcPr>
          <w:p>
            <w:pPr>
              <w:spacing w:before="20" w:after="20"/>
            </w:pPr>
            <w:r>
              <w:rPr>
                <w:b w:val="0"/>
                <w:i w:val="0"/>
                <w:sz w:val="18"/>
              </w:rPr>
              <w:t>Remote-controlled genocide, telepathic purge</w:t>
            </w:r>
          </w:p>
        </w:tc>
      </w:tr>
    </w:tbl>
    <w:p/>
    <w:p>
      <w:pPr>
        <w:pBdr>
          <w:bottom w:val="single" w:sz="6" w:space="1" w:color="CCCCCC"/>
        </w:pBdr>
      </w:pPr>
    </w:p>
    <w:p>
      <w:pPr>
        <w:pStyle w:val="Heading2"/>
      </w:pPr>
      <w:r>
        <w:t>References and Cross-Links</w:t>
      </w:r>
    </w:p>
    <w:p>
      <w:pPr>
        <w:pStyle w:val="ListBullet"/>
        <w:spacing w:before="20" w:after="20"/>
      </w:pPr>
      <w:hyperlink r:id="rId37">
        <w:r>
          <w:rPr>
            <w:b w:val="0"/>
            <w:i w:val="0"/>
            <w:color w:val="B8860B"/>
            <w:sz w:val="19"/>
          </w:rPr>
          <w:t>Atlantis and the Tree of Knowledge</w:t>
        </w:r>
      </w:hyperlink>
      <w:r>
        <w:rPr>
          <w:b w:val="0"/>
          <w:i w:val="0"/>
          <w:sz w:val="19"/>
        </w:rPr>
        <w:t xml:space="preserve"> | </w:t>
      </w:r>
      <w:hyperlink r:id="rId38">
        <w:r>
          <w:rPr>
            <w:b w:val="0"/>
            <w:i w:val="0"/>
            <w:color w:val="B8860B"/>
            <w:sz w:val="19"/>
          </w:rPr>
          <w:t>Giants of the Rus-Horde</w:t>
        </w:r>
      </w:hyperlink>
    </w:p>
    <w:p>
      <w:pPr>
        <w:pStyle w:val="ListBullet"/>
        <w:spacing w:before="20" w:after="20"/>
      </w:pPr>
      <w:hyperlink r:id="rId44">
        <w:r>
          <w:rPr>
            <w:b w:val="0"/>
            <w:i w:val="0"/>
            <w:color w:val="B8860B"/>
            <w:sz w:val="19"/>
          </w:rPr>
          <w:t>Star Metal / Hundred Years War</w:t>
        </w:r>
      </w:hyperlink>
      <w:r>
        <w:rPr>
          <w:b w:val="0"/>
          <w:i w:val="0"/>
          <w:sz w:val="19"/>
        </w:rPr>
        <w:t xml:space="preserve"> | </w:t>
      </w:r>
      <w:hyperlink r:id="rId45">
        <w:r>
          <w:rPr>
            <w:b w:val="0"/>
            <w:i w:val="0"/>
            <w:color w:val="B8860B"/>
            <w:sz w:val="19"/>
          </w:rPr>
          <w:t>Language of the Deep State</w:t>
        </w:r>
      </w:hyperlink>
    </w:p>
    <w:p>
      <w:pPr>
        <w:pStyle w:val="ListBullet"/>
        <w:spacing w:before="20" w:after="20"/>
      </w:pPr>
      <w:hyperlink r:id="rId43">
        <w:r>
          <w:rPr>
            <w:b w:val="0"/>
            <w:i w:val="0"/>
            <w:color w:val="B8860B"/>
            <w:sz w:val="19"/>
          </w:rPr>
          <w:t>The Mars Catastrophe: Research Dead End</w:t>
        </w:r>
      </w:hyperlink>
      <w:r>
        <w:rPr>
          <w:b w:val="0"/>
          <w:i w:val="0"/>
          <w:sz w:val="19"/>
        </w:rPr>
        <w:t xml:space="preserve"> | </w:t>
      </w:r>
      <w:hyperlink r:id="rId42">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46">
        <w:r>
          <w:rPr>
            <w:b w:val="0"/>
            <w:i w:val="0"/>
            <w:color w:val="B8860B"/>
          </w:rPr>
          <w:t>Predictive Programming: Literature as Historical Erasure</w:t>
        </w:r>
      </w:hyperlink>
      <w:r>
        <w:rPr>
          <w:b w:val="0"/>
          <w:i w:val="0"/>
        </w:rPr>
        <w:t xml:space="preserve">. For the general overview of predictive programming, see </w:t>
      </w:r>
      <w:hyperlink r:id="rId47">
        <w:r>
          <w:rPr>
            <w:b w:val="0"/>
            <w:i w:val="0"/>
            <w:color w:val="B8860B"/>
          </w:rPr>
          <w:t>Predictive Programming: Fiction as Control</w:t>
        </w:r>
      </w:hyperlink>
      <w:r>
        <w:rPr>
          <w:b w:val="0"/>
          <w:i w:val="0"/>
        </w:rPr>
        <w:t>.</w:t>
      </w:r>
    </w:p>
    <w:p>
      <w:pPr>
        <w:pStyle w:val="Heading3"/>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civilisation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civilisation where the technocratic faction has eliminated all telepathic, spiritual, or energetically sensitive individuals.</w:t>
      </w:r>
    </w:p>
    <w:p>
      <w:pPr>
        <w:pStyle w:val="Heading3"/>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48">
        <w:r>
          <w:rPr>
            <w:b w:val="0"/>
            <w:i w:val="0"/>
            <w:color w:val="B8860B"/>
          </w:rPr>
          <w:t>Population Control: From 1492 to the Technocratic Grid</w:t>
        </w:r>
      </w:hyperlink>
      <w:r>
        <w:rPr>
          <w:b w:val="0"/>
          <w:i w:val="0"/>
        </w:rPr>
        <w:t xml:space="preserve"> and </w:t>
      </w:r>
      <w:hyperlink r:id="rId21">
        <w:r>
          <w:rPr>
            <w:b w:val="0"/>
            <w:i w:val="0"/>
            <w:color w:val="B8860B"/>
          </w:rPr>
          <w:t>Population Control: A Timeline (15th–21st Centuries)</w:t>
        </w:r>
      </w:hyperlink>
      <w:r>
        <w:rPr>
          <w:b w:val="0"/>
          <w:i w:val="0"/>
        </w:rPr>
        <w:t xml:space="preserve"> for the chronological framework.</w:t>
      </w:r>
    </w:p>
    <w:p>
      <w:pPr>
        <w:pStyle w:val="Heading3"/>
      </w:pPr>
      <w:r>
        <w:t>Cross-References</w:t>
      </w:r>
    </w:p>
    <w:p>
      <w:pPr>
        <w:pStyle w:val="ListBullet"/>
        <w:spacing w:before="20" w:after="20"/>
      </w:pPr>
      <w:hyperlink r:id="rId46">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47">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43">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49">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46">
        <w:r>
          <w:rPr>
            <w:b w:val="0"/>
            <w:i w:val="0"/>
            <w:color w:val="B8860B"/>
          </w:rPr>
          <w:t>20th Century Predictive Programming: Literature</w:t>
        </w:r>
      </w:hyperlink>
      <w:r>
        <w:rPr>
          <w:b w:val="0"/>
          <w:i w:val="0"/>
        </w:rPr>
        <w:t>. For the thesis and pattern, see the main article.</w:t>
      </w:r>
    </w:p>
    <w:p>
      <w:pPr>
        <w:pBdr>
          <w:bottom w:val="single" w:sz="6" w:space="1" w:color="CCCCCC"/>
        </w:pBdr>
      </w:pPr>
    </w:p>
    <w:p>
      <w:pPr>
        <w:pStyle w:val="Heading3"/>
      </w:pPr>
      <w:r>
        <w:t>H.G. Wells (1866–1946): The Template</w:t>
      </w:r>
    </w:p>
    <w:p>
      <w:r>
        <w:rPr>
          <w:b w:val="0"/>
          <w:i w:val="0"/>
        </w:rPr>
        <w:t xml:space="preserve">Wells set the pattern. </w:t>
      </w:r>
      <w:r>
        <w:rPr>
          <w:b/>
          <w:i w:val="0"/>
        </w:rPr>
        <w:t>Crystal Egg</w:t>
      </w:r>
      <w:r>
        <w:rPr>
          <w:b w:val="0"/>
          <w:i w:val="0"/>
        </w:rPr>
        <w:t xml:space="preserve"> (1897): crystal sphere provides real-time visual surveillance of Mars — observer on Earth watches Martians; Martians watch back. </w:t>
      </w:r>
      <w:r>
        <w:rPr>
          <w:b w:val="0"/>
          <w:i/>
        </w:rPr>
        <w:t>"Sent hither from that planet, in order to give the Martians a near view of our affairs."</w:t>
      </w:r>
      <w:r>
        <w:rPr>
          <w:b w:val="0"/>
          <w:i w:val="0"/>
        </w:rPr>
        <w:t xml:space="preserve"> Two-way scrying device identical to Tolkien's Palantíri and Stargate remote-viewing tech (declassified 1995). Same technology: guard a realm → use for evil.</w:t>
      </w:r>
    </w:p>
    <w:p>
      <w:r>
        <w:rPr>
          <w:b w:val="0"/>
          <w:i/>
        </w:rPr>
        <w:t>War of the Worlds</w:t>
      </w:r>
      <w:r>
        <w:rPr>
          <w:b w:val="0"/>
          <w:i w:val="0"/>
        </w:rPr>
        <w:t xml:space="preserve"> (1898) inverted prior Mars fiction (benign Martians) into invasion narrative. </w:t>
      </w:r>
      <w:r>
        <w:rPr>
          <w:b/>
          <w:i w:val="0"/>
        </w:rPr>
        <w:t>Heat ray</w:t>
      </w:r>
      <w:r>
        <w:rPr>
          <w:b w:val="0"/>
          <w:i w:val="0"/>
        </w:rPr>
        <w:t xml:space="preserve"> — invisible, capacitor-driven — matches U.S. </w:t>
      </w:r>
      <w:hyperlink r:id="rId40">
        <w:r>
          <w:rPr>
            <w:b w:val="0"/>
            <w:i w:val="0"/>
            <w:color w:val="B8860B"/>
          </w:rPr>
          <w:t>Active Denial System</w:t>
        </w:r>
      </w:hyperlink>
      <w:r>
        <w:rPr>
          <w:b w:val="0"/>
          <w:i w:val="0"/>
        </w:rPr>
        <w:t>. 2017 sequel (</w:t>
      </w:r>
      <w:r>
        <w:rPr>
          <w:b w:val="0"/>
          <w:i/>
        </w:rPr>
        <w:t>The Massacre of Mankind</w:t>
      </w:r>
      <w:r>
        <w:rPr>
          <w:b w:val="0"/>
          <w:i w:val="0"/>
        </w:rPr>
        <w:t xml:space="preserve">) restored invisible beam one year after Havana syndrome. </w:t>
      </w:r>
      <w:r>
        <w:rPr>
          <w:b/>
          <w:i w:val="0"/>
        </w:rPr>
        <w:t>Red weed</w:t>
      </w:r>
      <w:r>
        <w:rPr>
          <w:b w:val="0"/>
          <w:i w:val="0"/>
        </w:rPr>
        <w:t xml:space="preserve"> six years before </w:t>
      </w:r>
      <w:hyperlink r:id="rId42">
        <w:r>
          <w:rPr>
            <w:b w:val="0"/>
            <w:i w:val="0"/>
            <w:color w:val="B8860B"/>
          </w:rPr>
          <w:t>American chestnut blight</w:t>
        </w:r>
      </w:hyperlink>
      <w:r>
        <w:rPr>
          <w:b w:val="0"/>
          <w:i w:val="0"/>
        </w:rPr>
        <w:t xml:space="preserve">. </w:t>
      </w:r>
      <w:r>
        <w:rPr>
          <w:b w:val="0"/>
          <w:i/>
        </w:rPr>
        <w:t>War in the Air</w:t>
      </w:r>
      <w:r>
        <w:rPr>
          <w:b w:val="0"/>
          <w:i w:val="0"/>
        </w:rPr>
        <w:t xml:space="preserve"> (1908): aerial bombing a decade early. </w:t>
      </w:r>
      <w:r>
        <w:rPr>
          <w:b w:val="0"/>
          <w:i/>
        </w:rPr>
        <w:t>The World Set Free</w:t>
      </w:r>
      <w:r>
        <w:rPr>
          <w:b w:val="0"/>
          <w:i w:val="0"/>
        </w:rPr>
        <w:t xml:space="preserve"> (1914): coined "atomic bomb" thirty years before Hiroshima. Fabian insider; </w:t>
      </w:r>
      <w:hyperlink r:id="rId39">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pPr>
      <w:r>
        <w:t>The Plattner Story (1896) and Davidson's Eyes (1895)</w:t>
      </w:r>
    </w:p>
    <w:p>
      <w:r>
        <w:rPr>
          <w:b w:val="0"/>
          <w:i/>
        </w:rPr>
        <w:t>Plattner Story</w:t>
      </w:r>
      <w:r>
        <w:rPr>
          <w:b w:val="0"/>
          <w:i w:val="0"/>
        </w:rPr>
        <w:t xml:space="preserve">: chemistry teacher into </w:t>
      </w:r>
      <w:r>
        <w:rPr>
          <w:b/>
          <w:i w:val="0"/>
        </w:rPr>
        <w:t>fourth spatial dimension</w:t>
      </w:r>
      <w:r>
        <w:rPr>
          <w:b w:val="0"/>
          <w:i w:val="0"/>
        </w:rPr>
        <w:t xml:space="preserve"> via explosion; returns </w:t>
      </w:r>
      <w:r>
        <w:rPr>
          <w:b/>
          <w:i w:val="0"/>
        </w:rPr>
        <w:t>mirror-reversed</w:t>
      </w:r>
      <w:r>
        <w:rPr>
          <w:b w:val="0"/>
          <w:i w:val="0"/>
        </w:rPr>
        <w:t xml:space="preserve"> (heart on right) — dimensional displacement. </w:t>
      </w:r>
      <w:r>
        <w:rPr>
          <w:b w:val="0"/>
          <w:i/>
        </w:rPr>
        <w:t>Davidson's Eyes</w:t>
      </w:r>
      <w:r>
        <w:rPr>
          <w:b w:val="0"/>
          <w:i w:val="0"/>
        </w:rPr>
        <w:t>: spontaneous remote viewing — man in London sees in real-time through lighthouse keeper on South Sea island. Both normalise interdimensional/remote-viewing as fantasy a century before U.S. government admission.</w:t>
      </w:r>
    </w:p>
    <w:p>
      <w:pPr>
        <w:pStyle w:val="Heading3"/>
      </w:pPr>
      <w:r>
        <w:t>Arthur Machen (1863–1947)</w:t>
      </w:r>
    </w:p>
    <w:p>
      <w:r>
        <w:rPr>
          <w:b w:val="0"/>
          <w:i/>
        </w:rPr>
        <w:t>Great God Pan</w:t>
      </w:r>
      <w:r>
        <w:rPr>
          <w:b w:val="0"/>
          <w:i w:val="0"/>
        </w:rPr>
        <w:t xml:space="preserve"> (1894): brain surgery opens dimensional perception; patient sees beyond veil,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public believed it true — documented fiction→reality; fact→fiction works the same way.</w:t>
      </w:r>
    </w:p>
    <w:p>
      <w:pPr>
        <w:pStyle w:val="Heading3"/>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 — physician detecting non-human influence. Encodes: such knowledge is real, learnable, operational — filed as fiction.</w:t>
      </w:r>
    </w:p>
    <w:p>
      <w:pPr>
        <w:pStyle w:val="Heading3"/>
      </w:pPr>
      <w:r>
        <w:t>H.P. Lovecraft (1890–1937)</w:t>
      </w:r>
    </w:p>
    <w:p>
      <w:r>
        <w:rPr>
          <w:b w:val="0"/>
          <w:i w:val="0"/>
        </w:rPr>
        <w:t>104 stories encode suppressed knowledge: Shining Trapezohedron (scrying = 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pPr>
      <w:r>
        <w:t>Edgar Rice Burroughs (1875–1950)</w:t>
      </w:r>
    </w:p>
    <w:p>
      <w:r>
        <w:rPr>
          <w:b w:val="0"/>
          <w:i w:val="0"/>
        </w:rPr>
        <w:t xml:space="preserve">Barsoom (1912–43): polar conspiracies, religious fraud, telepathic tech, Kaldane/Rykor, Ras Thavas — detail Lowell could not supply. No known intel links; failed businessman at 36. Same mechanism as Crystal Egg, Palantíri, seer stones. </w:t>
      </w:r>
      <w:hyperlink r:id="rId50">
        <w:r>
          <w:rPr>
            <w:b w:val="0"/>
            <w:i w:val="0"/>
            <w:color w:val="B8860B"/>
          </w:rPr>
          <w:t>Mars Literature Index</w:t>
        </w:r>
      </w:hyperlink>
      <w:r>
        <w:rPr>
          <w:b w:val="0"/>
          <w:i w:val="0"/>
        </w:rPr>
        <w:t>. Tolkien convergence: both needed money; both produced work suggesting pre-existing structured data; both protected by "genius" assumption.</w:t>
      </w:r>
    </w:p>
    <w:p>
      <w:pPr>
        <w:pStyle w:val="Heading3"/>
      </w:pPr>
      <w:r>
        <w:t>J.R.R. Tolkien (1892–1973)</w:t>
      </w:r>
    </w:p>
    <w:p>
      <w:r>
        <w:rPr>
          <w:b w:val="0"/>
          <w:i w:val="0"/>
        </w:rPr>
        <w:t xml:space="preserve">Red Book of Westmarch = pseudotranslation; he insisted </w:t>
      </w:r>
      <w:r>
        <w:rPr>
          <w:b w:val="0"/>
          <w:i/>
        </w:rPr>
        <w:t>recovery</w:t>
      </w:r>
      <w:r>
        <w:rPr>
          <w:b w:val="0"/>
          <w:i w:val="0"/>
        </w:rPr>
        <w:t xml:space="preserve">, not invention. Red Book modeled on </w:t>
      </w:r>
      <w:hyperlink r:id="rId51">
        <w:r>
          <w:rPr>
            <w:b w:val="0"/>
            <w:i w:val="0"/>
            <w:color w:val="B8860B"/>
          </w:rPr>
          <w:t>Red Book of Hergest</w:t>
        </w:r>
      </w:hyperlink>
      <w:r>
        <w:rPr>
          <w:b w:val="0"/>
          <w:i w:val="0"/>
        </w:rPr>
        <w:t xml:space="preserve">; forged physical artifacts (McIlwaine 2018). Silmarillion: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 literary reworking of Rus-Horde history. Copyright until 2043+.</w:t>
      </w:r>
    </w:p>
    <w:p>
      <w:pPr>
        <w:pStyle w:val="Heading3"/>
      </w:pPr>
      <w:r>
        <w:t>Orson Scott Card (b. 1951)</w:t>
      </w:r>
    </w:p>
    <w:p>
      <w:r>
        <w:rPr>
          <w:b w:val="0"/>
          <w:i/>
        </w:rPr>
        <w:t>Ender's Game</w:t>
      </w:r>
      <w:r>
        <w:rPr>
          <w:b w:val="0"/>
          <w:i w:val="0"/>
        </w:rPr>
        <w:t xml:space="preserve"> (1985): child commands planetary destruction via "simulations" that are real battles; telepathic hive-mind; secondary discharge destroys attacker's fleet. U.S. Marine Corps Reading List. Drone warfare replicates scenario. Mars catastrophe retold. Pattern (planet attacks, blow-back) in Wells, Lovecraft, Lucas, Hubbard, </w:t>
      </w:r>
      <w:r>
        <w:rPr>
          <w:b w:val="0"/>
          <w:i/>
        </w:rPr>
        <w:t>Stargate</w:t>
      </w:r>
      <w:r>
        <w:rPr>
          <w:b w:val="0"/>
          <w:i w:val="0"/>
        </w:rPr>
        <w:t xml:space="preserve"> — common source.</w:t>
      </w:r>
    </w:p>
    <w:p/>
    <w:p>
      <w:pPr>
        <w:sectPr>
          <w:headerReference w:type="default" r:id="rId33"/>
          <w:footerReference w:type="default" r:id="rId34"/>
          <w:pgSz w:w="8640" w:h="12960"/>
          <w:pgMar w:top="1020" w:right="1134" w:bottom="1134" w:left="1134" w:header="720" w:footer="720" w:gutter="0"/>
          <w:cols w:space="720"/>
          <w:titlePg/>
          <w:docGrid w:linePitch="360"/>
        </w:sectPr>
      </w:pPr>
    </w:p>
    <w:p>
      <w:pPr>
        <w:pStyle w:val="Heading2"/>
      </w:pPr>
      <w:r>
        <w:rPr>
          <w:b/>
        </w:rPr>
        <w:t>Chapter 2: 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47">
        <w:r>
          <w:rPr>
            <w:b w:val="0"/>
            <w:i w:val="0"/>
            <w:color w:val="B8860B"/>
          </w:rPr>
          <w:t>Predictive Programming</w:t>
        </w:r>
      </w:hyperlink>
      <w:r>
        <w:rPr>
          <w:b w:val="0"/>
          <w:i w:val="0"/>
        </w:rPr>
        <w:t xml:space="preserve"> | </w:t>
      </w:r>
      <w:hyperlink r:id="rId43">
        <w:r>
          <w:rPr>
            <w:b w:val="0"/>
            <w:i w:val="0"/>
            <w:color w:val="B8860B"/>
          </w:rPr>
          <w:t>The Mars Catastrophe</w:t>
        </w:r>
      </w:hyperlink>
    </w:p>
    <w:p>
      <w:pPr>
        <w:pBdr>
          <w:bottom w:val="single" w:sz="6" w:space="1" w:color="CCCCCC"/>
        </w:pBdr>
      </w:pPr>
    </w:p>
    <w:p>
      <w:pPr>
        <w:pStyle w:val="Heading2"/>
      </w:pPr>
      <w:r>
        <w:t>~1774: The MFEE — Mars Catastrophe</w:t>
      </w:r>
    </w:p>
    <w:p>
      <w:r>
        <w:rPr>
          <w:b w:val="0"/>
          <w:i w:val="0"/>
        </w:rPr>
        <w:t xml:space="preserve">During the </w:t>
      </w:r>
      <w:hyperlink r:id="rId54">
        <w:r>
          <w:rPr>
            <w:b w:val="0"/>
            <w:i w:val="0"/>
            <w:color w:val="B8860B"/>
          </w:rPr>
          <w:t>Pugachev Rebellion</w:t>
        </w:r>
      </w:hyperlink>
      <w:r>
        <w:rPr>
          <w:b w:val="0"/>
          <w:i w:val="0"/>
        </w:rPr>
        <w:t xml:space="preserve"> (~1773–1774), humans on Mars deployed </w:t>
      </w:r>
      <w:hyperlink r:id="rId55">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56">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57">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47">
        <w:r>
          <w:rPr>
            <w:b w:val="0"/>
            <w:i w:val="0"/>
            <w:color w:val="B8860B"/>
          </w:rPr>
          <w:t>predictive programming dead end</w:t>
        </w:r>
      </w:hyperlink>
      <w:r>
        <w:rPr>
          <w:b w:val="0"/>
          <w:i w:val="0"/>
        </w:rPr>
        <w:t xml:space="preserve">: the mystery is real, his framing is the trap. Full rebound theory: </w:t>
      </w:r>
      <w:hyperlink r:id="rId43">
        <w:r>
          <w:rPr>
            <w:b w:val="0"/>
            <w:i w:val="0"/>
            <w:color w:val="B8860B"/>
          </w:rPr>
          <w:t>The Mars Catastrophe</w:t>
        </w:r>
      </w:hyperlink>
      <w:r>
        <w:rPr>
          <w:b w:val="0"/>
          <w:i w:val="0"/>
        </w:rPr>
        <w:t>.</w:t>
      </w:r>
    </w:p>
    <w:p>
      <w:pPr>
        <w:pBdr>
          <w:bottom w:val="single" w:sz="6" w:space="1" w:color="CCCCCC"/>
        </w:pBdr>
      </w:pPr>
    </w:p>
    <w:p>
      <w:pPr>
        <w:pStyle w:val="Heading2"/>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58">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59">
        <w:r>
          <w:rPr>
            <w:b w:val="0"/>
            <w:i w:val="0"/>
            <w:color w:val="B8860B"/>
          </w:rPr>
          <w:t>Aftermath of 1812</w:t>
        </w:r>
      </w:hyperlink>
      <w:r>
        <w:rPr>
          <w:b w:val="0"/>
          <w:i w:val="0"/>
        </w:rPr>
        <w:t>.</w:t>
      </w:r>
    </w:p>
    <w:p>
      <w:pPr>
        <w:pBdr>
          <w:bottom w:val="single" w:sz="6" w:space="1" w:color="CCCCCC"/>
        </w:pBdr>
      </w:pPr>
    </w:p>
    <w:p>
      <w:pPr>
        <w:pStyle w:val="Heading2"/>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60">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civilisation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61">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jc w:val="center"/>
      </w:pPr>
      <w:r>
        <w:rPr>
          <w:color w:val="B8860B"/>
          <w:sz w:val="24"/>
        </w:rPr>
        <w:t>— ✦ —</w:t>
      </w:r>
    </w:p>
    <w:p>
      <w:r>
        <w:rPr>
          <w:b w:val="0"/>
          <w:i w:val="0"/>
        </w:rPr>
        <w:t xml:space="preserve">This appendix provides detailed author profiles and textual evidence supporting the argument in </w:t>
      </w:r>
      <w:hyperlink r:id="rId62">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pPr>
      <w:r>
        <w:t>Nonfiction Authors: The Astronomical Record</w:t>
      </w:r>
    </w:p>
    <w:p>
      <w:pPr>
        <w:pStyle w:val="Heading4"/>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civilisation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pPr>
      <w:r>
        <w:t>Pre-Wells Fiction Authors (1880–1897)</w:t>
      </w:r>
    </w:p>
    <w:p>
      <w:pPr>
        <w:pStyle w:val="Heading4"/>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civilisation, political intrigue, and a dictatorial theocracy. The novel includes detailed social and political structures — not the vague "alien civilisation" of later SF but specific institutions of governance and religious control. Greg died in 1889, nine years before Wells; his Mars is entirely pre-inversion.</w:t>
      </w:r>
    </w:p>
    <w:p>
      <w:pPr>
        <w:pStyle w:val="Heading4"/>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civilisations.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civilisations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pPr>
      <w:r>
        <w:t>Post-Wells Pulp Authors (1905–1960s)</w:t>
      </w:r>
    </w:p>
    <w:p>
      <w:pPr>
        <w:pStyle w:val="Heading4"/>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pPr>
        <w:pStyle w:val="Heading4"/>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civilisation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17">
        <w:r>
          <w:rPr>
            <w:b w:val="0"/>
            <w:i w:val="0"/>
            <w:color w:val="B8860B"/>
          </w:rPr>
          <w:t>Historical Antibodies: Detailed Profiles</w:t>
        </w:r>
      </w:hyperlink>
      <w:r>
        <w:rPr>
          <w:b w:val="0"/>
          <w:i w:val="0"/>
        </w:rPr>
        <w:t>.</w:t>
      </w:r>
    </w:p>
    <w:p>
      <w:pPr>
        <w:pStyle w:val="Heading4"/>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civilisations,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civilisation by colonisers, a narrative that maps onto the proposed </w:t>
      </w:r>
      <w:hyperlink r:id="rId63">
        <w:r>
          <w:rPr>
            <w:b w:val="0"/>
            <w:i w:val="0"/>
            <w:color w:val="B8860B"/>
          </w:rPr>
          <w:t>Mars Catastrophe</w:t>
        </w:r>
      </w:hyperlink>
      <w:r>
        <w:rPr>
          <w:b w:val="0"/>
          <w:i w:val="0"/>
        </w:rPr>
        <w:t xml:space="preserve"> read through the lens of Martian victims rather than Earth aggressors.</w:t>
      </w:r>
    </w:p>
    <w:p>
      <w:pPr>
        <w:pStyle w:val="Heading4"/>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64">
        <w:r>
          <w:rPr>
            <w:b w:val="0"/>
            <w:i w:val="0"/>
            <w:color w:val="B8860B"/>
          </w:rPr>
          <w:t>Asimov: Marx in Space!</w:t>
        </w:r>
      </w:hyperlink>
      <w:r>
        <w:rPr>
          <w:b w:val="0"/>
          <w:i w:val="0"/>
        </w:rPr>
        <w:t xml:space="preserve"> for full analysis.</w:t>
      </w:r>
    </w:p>
    <w:p>
      <w:pPr>
        <w:pBdr>
          <w:bottom w:val="single" w:sz="6" w:space="1" w:color="CCCCCC"/>
        </w:pBdr>
      </w:pPr>
    </w:p>
    <w:p>
      <w:pPr>
        <w:pStyle w:val="Heading3"/>
      </w:pPr>
      <w:r>
        <w:t>Cold War and Late 20th Century Authors</w:t>
      </w:r>
    </w:p>
    <w:p>
      <w:pPr>
        <w:pStyle w:val="Heading4"/>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65">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civilisation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61">
              <w:r>
                <w:rPr>
                  <w:b w:val="0"/>
                  <w:i w:val="0"/>
                  <w:color w:val="B8860B"/>
                  <w:sz w:val="18"/>
                </w:rPr>
                <w:t>massacre reference</w:t>
              </w:r>
            </w:hyperlink>
          </w:p>
        </w:tc>
      </w:tr>
    </w:tbl>
    <w:p/>
    <w:p>
      <w:pPr>
        <w:pBdr>
          <w:bottom w:val="single" w:sz="6" w:space="1" w:color="CCCCCC"/>
        </w:pBdr>
      </w:pPr>
    </w:p>
    <w:p>
      <w:pPr>
        <w:pStyle w:val="Heading3"/>
      </w:pPr>
      <w:r>
        <w:t>See Also</w:t>
      </w:r>
    </w:p>
    <w:p>
      <w:pPr>
        <w:pStyle w:val="ListBullet"/>
        <w:spacing w:before="20" w:after="20"/>
      </w:pPr>
      <w:hyperlink r:id="rId64">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62">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63">
        <w:r>
          <w:rPr>
            <w:b w:val="0"/>
            <w:i w:val="0"/>
            <w:color w:val="B8860B"/>
            <w:sz w:val="19"/>
          </w:rPr>
          <w:t>The Mars Catastrophe</w:t>
        </w:r>
      </w:hyperlink>
      <w:r>
        <w:rPr>
          <w:b w:val="0"/>
          <w:i w:val="0"/>
          <w:sz w:val="19"/>
        </w:rPr>
        <w:t xml:space="preserve"> — core theory</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66">
        <w:r>
          <w:rPr>
            <w:b w:val="0"/>
            <w:i w:val="0"/>
            <w:color w:val="B8860B"/>
            <w:sz w:val="19"/>
          </w:rPr>
          <w:t>Mars Fiction Survey</w:t>
        </w:r>
      </w:hyperlink>
      <w:r>
        <w:rPr>
          <w:b w:val="0"/>
          <w:i w:val="0"/>
          <w:sz w:val="19"/>
        </w:rPr>
        <w:t xml:space="preserve"> — the full investigation file</w:t>
      </w:r>
    </w:p>
    <w:p/>
    <w:p>
      <w:pPr>
        <w:sectPr>
          <w:headerReference w:type="default" r:id="rId52"/>
          <w:footerReference w:type="default" r:id="rId53"/>
          <w:pgSz w:w="8640" w:h="12960"/>
          <w:pgMar w:top="1020" w:right="1134" w:bottom="1134" w:left="1134" w:header="720" w:footer="720" w:gutter="0"/>
          <w:cols w:space="720"/>
          <w:titlePg/>
          <w:docGrid w:linePitch="360"/>
        </w:sectPr>
      </w:pPr>
    </w:p>
    <w:p>
      <w:pPr>
        <w:pStyle w:val="Heading2"/>
      </w:pPr>
      <w:r>
        <w:rPr>
          <w:b/>
        </w:rPr>
        <w:t>Chapter 3: Controlled Opposition: Appendix</w:t>
      </w:r>
    </w:p>
    <w:p>
      <w:r>
        <w:rPr>
          <w:b w:val="0"/>
          <w:i w:val="0"/>
        </w:rPr>
        <w:t>Supplementary material on controlled opposition, managed disclosure, and narrative control.</w:t>
      </w:r>
    </w:p>
    <w:p>
      <w:pPr>
        <w:pBdr>
          <w:bottom w:val="single" w:sz="6" w:space="1" w:color="CCCCCC"/>
        </w:pBdr>
      </w:pPr>
    </w:p>
    <w:p>
      <w:pPr>
        <w:pStyle w:val="Heading2"/>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
      <w:pPr>
        <w:jc w:val="center"/>
      </w:pPr>
      <w:r>
        <w:rPr>
          <w:color w:val="B8860B"/>
          <w:sz w:val="24"/>
        </w:rPr>
        <w:t>— ✦ —</w:t>
      </w:r>
    </w:p>
    <w:p>
      <w:r>
        <w:rPr>
          <w:b w:val="0"/>
          <w:i w:val="0"/>
        </w:rPr>
        <w:t xml:space="preserve">This article provides the detailed evidentiary record supporting the assessment in </w:t>
      </w:r>
      <w:hyperlink r:id="rId69">
        <w:r>
          <w:rPr>
            <w:b w:val="0"/>
            <w:i w:val="0"/>
            <w:color w:val="B8860B"/>
          </w:rPr>
          <w:t>Controlled Opposition: Managed Disclosure and Gatekeeping</w:t>
        </w:r>
      </w:hyperlink>
      <w:r>
        <w:rPr>
          <w:b w:val="0"/>
          <w:i w:val="0"/>
        </w:rPr>
        <w:t>. For the general pattern of controlled opposition, see that article.</w:t>
      </w:r>
    </w:p>
    <w:p>
      <w:pPr>
        <w:pStyle w:val="Heading3"/>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civilisation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49">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pPr>
      <w:r>
        <w:t>Ship of Fools (1494)</w:t>
      </w:r>
    </w:p>
    <w:p>
      <w:r>
        <w:rPr>
          <w:b w:val="0"/>
          <w:i w:val="0"/>
        </w:rPr>
        <w:t xml:space="preserve">Brant's </w:t>
      </w:r>
      <w:r>
        <w:rPr>
          <w:b w:val="0"/>
          <w:i/>
        </w:rPr>
        <w:t>Ship of Fools</w:t>
      </w:r>
      <w:r>
        <w:rPr>
          <w:b w:val="0"/>
          <w:i w:val="0"/>
        </w:rPr>
        <w:t xml:space="preserve"> (Fomenko: </w:t>
      </w:r>
      <w:hyperlink r:id="rId70">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71">
        <w:r>
          <w:rPr>
            <w:b w:val="0"/>
            <w:i w:val="0"/>
            <w:color w:val="B8860B"/>
          </w:rPr>
          <w:t>King James Version</w:t>
        </w:r>
      </w:hyperlink>
      <w:r>
        <w:rPr>
          <w:b w:val="0"/>
          <w:i w:val="0"/>
        </w:rPr>
        <w:t xml:space="preserve"> and Vulgate are Reformation propaganda — Hordian chronicles seized, redacted, translated into </w:t>
      </w:r>
      <w:hyperlink r:id="rId45">
        <w:r>
          <w:rPr>
            <w:b w:val="0"/>
            <w:i w:val="0"/>
            <w:color w:val="B8860B"/>
          </w:rPr>
          <w:t>Latin</w:t>
        </w:r>
      </w:hyperlink>
      <w:r>
        <w:rPr>
          <w:b w:val="0"/>
          <w:i w:val="0"/>
        </w:rPr>
        <w:t>, displaced via Scaligerian chronology. Same desks, same patrons, same agenda.</w:t>
      </w:r>
    </w:p>
    <w:p>
      <w:pPr>
        <w:pStyle w:val="Heading3"/>
      </w:pPr>
      <w:r>
        <w:t>The Chain Continues</w:t>
      </w:r>
    </w:p>
    <w:p>
      <w:r>
        <w:rPr>
          <w:b w:val="0"/>
          <w:i w:val="0"/>
        </w:rPr>
        <w:t xml:space="preserve">The chain begins with the </w:t>
      </w:r>
      <w:hyperlink r:id="rId72">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45">
        <w:r>
          <w:rPr>
            <w:b w:val="0"/>
            <w:i w:val="0"/>
            <w:color w:val="B8860B"/>
          </w:rPr>
          <w:t>Latin</w:t>
        </w:r>
      </w:hyperlink>
      <w:r>
        <w:rPr>
          <w:b w:val="0"/>
          <w:i w:val="0"/>
        </w:rPr>
        <w:t xml:space="preserve"> derivatives, systematically erasing the memory of the empire. Those who remembered </w:t>
      </w:r>
      <w:hyperlink r:id="rId72">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73">
        <w:r>
          <w:rPr>
            <w:b w:val="0"/>
            <w:i w:val="0"/>
            <w:color w:val="B8860B"/>
          </w:rPr>
          <w:t>Jerusalem</w:t>
        </w:r>
      </w:hyperlink>
      <w:r>
        <w:rPr>
          <w:b w:val="0"/>
          <w:i w:val="0"/>
        </w:rPr>
        <w:t xml:space="preserve"> were accused of blasphemy and put to death.</w:t>
      </w:r>
    </w:p>
    <w:p>
      <w:r>
        <w:rPr>
          <w:b w:val="0"/>
          <w:i w:val="0"/>
        </w:rPr>
        <w:t xml:space="preserve">The </w:t>
      </w:r>
      <w:hyperlink r:id="rId74">
        <w:r>
          <w:rPr>
            <w:b w:val="0"/>
            <w:i w:val="0"/>
            <w:color w:val="B8860B"/>
          </w:rPr>
          <w:t>Romanov seizure</w:t>
        </w:r>
      </w:hyperlink>
      <w:r>
        <w:rPr>
          <w:b w:val="0"/>
          <w:i w:val="0"/>
        </w:rPr>
        <w:t xml:space="preserve"> formalized this into state policy for Russia. The </w:t>
      </w:r>
      <w:hyperlink r:id="rId75">
        <w:r>
          <w:rPr>
            <w:b w:val="0"/>
            <w:i w:val="0"/>
            <w:color w:val="B8860B"/>
          </w:rPr>
          <w:t>Scaligerian chronology</w:t>
        </w:r>
      </w:hyperlink>
      <w:r>
        <w:rPr>
          <w:b w:val="0"/>
          <w:i w:val="0"/>
        </w:rPr>
        <w:t xml:space="preserve"> provided the fraudulent timeline. The </w:t>
      </w:r>
      <w:hyperlink r:id="rId76">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77">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sectPr>
          <w:headerReference w:type="default" r:id="rId67"/>
          <w:footerReference w:type="default" r:id="rId68"/>
          <w:pgSz w:w="8640" w:h="12960"/>
          <w:pgMar w:top="1020" w:right="1134" w:bottom="1134" w:left="1134" w:header="720" w:footer="720" w:gutter="0"/>
          <w:cols w:space="720"/>
          <w:titlePg/>
          <w:docGrid w:linePitch="360"/>
        </w:sectPr>
      </w:pPr>
    </w:p>
    <w:p>
      <w:pPr>
        <w:pStyle w:val="Heading2"/>
      </w:pPr>
      <w:r>
        <w:rPr>
          <w:b/>
        </w:rPr>
        <w:t>Chapter 4: Censorship and Book Burning: The Historical Record</w:t>
      </w:r>
    </w:p>
    <w:p>
      <w:r>
        <w:rPr>
          <w:b w:val="0"/>
          <w:i w:val="0"/>
        </w:rPr>
        <w:t xml:space="preserve">This article provides the detailed historical timeline supporting </w:t>
      </w:r>
      <w:hyperlink r:id="rId80">
        <w:r>
          <w:rPr>
            <w:b w:val="0"/>
            <w:i w:val="0"/>
            <w:color w:val="B8860B"/>
          </w:rPr>
          <w:t>Censorship and Book Burning: From Alexandria to the Internet</w:t>
        </w:r>
      </w:hyperlink>
      <w:r>
        <w:rPr>
          <w:b w:val="0"/>
          <w:i w:val="0"/>
        </w:rPr>
        <w:t>. For the pattern analysis and 21st century censorship, see that article.</w:t>
      </w:r>
    </w:p>
    <w:p>
      <w:pPr>
        <w:pStyle w:val="Heading2"/>
      </w:pPr>
      <w:r>
        <w:t>Ancient Record Destruction</w:t>
      </w:r>
    </w:p>
    <w:p>
      <w:pPr>
        <w:pStyle w:val="Heading3"/>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pPr>
      <w:r>
        <w:t>Medieval and Early Modern Destruction</w:t>
      </w:r>
    </w:p>
    <w:p>
      <w:pPr>
        <w:pStyle w:val="Heading3"/>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pPr>
      <w:r>
        <w:t>18th–19th Century: Systematic Restructuring</w:t>
      </w:r>
    </w:p>
    <w:p>
      <w:pPr>
        <w:pStyle w:val="Heading3"/>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pPr>
      <w:r>
        <w:t>20th Century: Industrial-Scale Destruction</w:t>
      </w:r>
    </w:p>
    <w:p>
      <w:r>
        <w:rPr>
          <w:b w:val="0"/>
          <w:i w:val="0"/>
        </w:rPr>
        <w:t>The 20th century brought censorship to an industrial scale, with multiple overlapping campaigns:</w:t>
      </w:r>
    </w:p>
    <w:p>
      <w:pPr>
        <w:pStyle w:val="Heading3"/>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49">
        <w:r>
          <w:rPr>
            <w:b w:val="0"/>
            <w:i w:val="0"/>
            <w:color w:val="B8860B"/>
          </w:rPr>
          <w:t>Operation Mockingbird</w:t>
        </w:r>
      </w:hyperlink>
      <w:r>
        <w:rPr>
          <w:b w:val="0"/>
          <w:i w:val="0"/>
        </w:rPr>
        <w:t>.</w:t>
      </w:r>
    </w:p>
    <w:p>
      <w:pPr>
        <w:pStyle w:val="Heading2"/>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ectPr>
          <w:headerReference w:type="default" r:id="rId78"/>
          <w:footerReference w:type="default" r:id="rId79"/>
          <w:pgSz w:w="8640" w:h="12960"/>
          <w:pgMar w:top="1020" w:right="1134" w:bottom="1134" w:left="1134" w:header="720" w:footer="720" w:gutter="0"/>
          <w:cols w:space="720"/>
          <w:titlePg/>
          <w:docGrid w:linePitch="360"/>
        </w:sectPr>
      </w:pPr>
    </w:p>
    <w:p>
      <w:pPr>
        <w:pStyle w:val="Heading2"/>
      </w:pPr>
      <w:r>
        <w:rPr>
          <w:b/>
        </w:rPr>
        <w:t>Chapter 5: Historical Antibodies: Detailed Profiles</w:t>
      </w:r>
    </w:p>
    <w:p>
      <w:r>
        <w:rPr>
          <w:b w:val="0"/>
          <w:i w:val="0"/>
        </w:rPr>
        <w:t xml:space="preserve">This appendix provides the full evidentiary record for the antibody figures introduced in </w:t>
      </w:r>
      <w:hyperlink r:id="rId83">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pPr>
      <w:r>
        <w:t>C.S. Lewis (1898–1963): Full Encoding Analysis</w:t>
      </w:r>
    </w:p>
    <w:p>
      <w:pPr>
        <w:pStyle w:val="Heading3"/>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pPr>
      <w:r>
        <w:t>Daniel Ellsberg (1931–2023): Full Chronology</w:t>
      </w:r>
    </w:p>
    <w:p>
      <w:pPr>
        <w:pStyle w:val="Heading3"/>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pPr>
      <w:r>
        <w:t>Sources</w:t>
      </w:r>
    </w:p>
    <w:p>
      <w:pPr>
        <w:pStyle w:val="Heading3"/>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ectPr>
          <w:headerReference w:type="default" r:id="rId81"/>
          <w:footerReference w:type="default" r:id="rId82"/>
          <w:pgSz w:w="8640" w:h="12960"/>
          <w:pgMar w:top="1020" w:right="1134" w:bottom="1134" w:left="1134" w:header="720" w:footer="720" w:gutter="0"/>
          <w:cols w:space="720"/>
          <w:titlePg/>
          <w:docGrid w:linePitch="360"/>
        </w:sectPr>
      </w:pPr>
    </w:p>
    <w:p>
      <w:pPr>
        <w:pStyle w:val="Heading2"/>
      </w:pPr>
      <w:r>
        <w:rPr>
          <w:b/>
        </w:rPr>
        <w:t>Chapter 6: False Flags Investigation: Evidence Dossier</w:t>
      </w:r>
    </w:p>
    <w:p>
      <w:r>
        <w:rPr>
          <w:b w:val="0"/>
          <w:i w:val="0"/>
        </w:rPr>
        <w:t xml:space="preserve">This appendix collects the primary source evidence, references, and detailed analysis supporting the </w:t>
      </w:r>
      <w:hyperlink r:id="rId60">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pPr>
      <w:r>
        <w:t>I. Pearl Harbor: The Evidence of Advance Knowledge</w:t>
      </w:r>
    </w:p>
    <w:p>
      <w:pPr>
        <w:pStyle w:val="Heading3"/>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86">
        <w:r>
          <w:rPr>
            <w:b w:val="0"/>
            <w:i w:val="0"/>
            <w:color w:val="B8860B"/>
          </w:rPr>
          <w:t>McCollum Memo</w:t>
        </w:r>
      </w:hyperlink>
      <w:r>
        <w:rPr>
          <w:b w:val="0"/>
          <w:i w:val="0"/>
        </w:rPr>
        <w:t>, National Archives.</w:t>
      </w:r>
    </w:p>
    <w:p>
      <w:pPr>
        <w:pStyle w:val="Heading3"/>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87">
        <w:r>
          <w:rPr>
            <w:b w:val="0"/>
            <w:i w:val="0"/>
            <w:color w:val="B8860B"/>
          </w:rPr>
          <w:t>Pearl Harbor advance-knowledge conspiracy theory</w:t>
        </w:r>
      </w:hyperlink>
      <w:r>
        <w:rPr>
          <w:b w:val="0"/>
          <w:i w:val="0"/>
        </w:rPr>
        <w:t>.</w:t>
      </w:r>
    </w:p>
    <w:p>
      <w:pPr>
        <w:pStyle w:val="Heading3"/>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88">
        <w:r>
          <w:rPr>
            <w:b w:val="0"/>
            <w:i w:val="0"/>
            <w:color w:val="B8860B"/>
          </w:rPr>
          <w:t>ibiblio.org/pha/myths/Missing_Carriers</w:t>
        </w:r>
      </w:hyperlink>
      <w:r>
        <w:rPr>
          <w:b w:val="0"/>
          <w:i w:val="0"/>
        </w:rPr>
        <w:t>.</w:t>
      </w:r>
    </w:p>
    <w:p>
      <w:pPr>
        <w:pStyle w:val="Heading3"/>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pPr>
      <w:r>
        <w:t>II. The Nuclear Question</w:t>
      </w:r>
    </w:p>
    <w:p>
      <w:pPr>
        <w:pStyle w:val="Heading3"/>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89">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90">
        <w:r>
          <w:rPr>
            <w:b w:val="0"/>
            <w:i w:val="0"/>
            <w:color w:val="B8860B"/>
            <w:sz w:val="19"/>
          </w:rPr>
          <w:t>"A Forgotten Holocaust"</w:t>
        </w:r>
      </w:hyperlink>
      <w:r>
        <w:rPr>
          <w:b w:val="0"/>
          <w:i w:val="0"/>
          <w:sz w:val="19"/>
        </w:rPr>
        <w:t xml:space="preserve"> — Asia Pacific Journal</w:t>
      </w:r>
    </w:p>
    <w:p>
      <w:pPr>
        <w:pStyle w:val="ListBullet"/>
        <w:spacing w:before="20" w:after="20"/>
      </w:pPr>
      <w:hyperlink r:id="rId91">
        <w:r>
          <w:rPr>
            <w:b w:val="0"/>
            <w:i w:val="0"/>
            <w:color w:val="B8860B"/>
            <w:sz w:val="19"/>
          </w:rPr>
          <w:t>heiwaco.tripod.com/bomb.htm</w:t>
        </w:r>
      </w:hyperlink>
    </w:p>
    <w:p>
      <w:pPr>
        <w:pStyle w:val="Heading3"/>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92">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pPr>
      <w:r>
        <w:t>III. The Battle of Los Angeles (February 24–25, 1942)</w:t>
      </w:r>
    </w:p>
    <w:p>
      <w:pPr>
        <w:pStyle w:val="Heading3"/>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93">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pPr>
      <w:r>
        <w:t>IV. The Encyclopedia of 20th-Century False Flags</w:t>
      </w:r>
    </w:p>
    <w:p>
      <w:pPr>
        <w:pStyle w:val="Heading3"/>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pPr>
      <w:r>
        <w:t>Reichstag Fire (1933)</w:t>
      </w:r>
    </w:p>
    <w:p>
      <w:r>
        <w:rPr>
          <w:b w:val="0"/>
          <w:i w:val="0"/>
        </w:rPr>
        <w:t xml:space="preserve">The burning of the German parliament building was blamed on communist Marinus van der Lubbe. Hitler used it to suspend civil liberties via the </w:t>
      </w:r>
      <w:hyperlink r:id="rId94">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pPr>
      <w:r>
        <w:t>Gulf of Tonkin (1964)</w:t>
      </w:r>
    </w:p>
    <w:p>
      <w:r>
        <w:rPr>
          <w:b w:val="0"/>
          <w:i w:val="0"/>
        </w:rPr>
        <w:t xml:space="preserve">The alleged North Vietnamese attack on USS Maddox — used by LBJ to escalate the Vietnam War through the Gulf of Tonkin Resolution — was </w:t>
      </w:r>
      <w:hyperlink r:id="rId95">
        <w:r>
          <w:rPr>
            <w:b w:val="0"/>
            <w:i w:val="0"/>
            <w:color w:val="B8860B"/>
          </w:rPr>
          <w:t>later acknowledged to have been largely fabricated</w:t>
        </w:r>
      </w:hyperlink>
      <w:r>
        <w:rPr>
          <w:b w:val="0"/>
          <w:i w:val="0"/>
        </w:rPr>
        <w:t>. NSA documents declassified in 2005 confirmed the second attack never occurred.</w:t>
      </w:r>
    </w:p>
    <w:p>
      <w:pPr>
        <w:pStyle w:val="Heading3"/>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pPr>
      <w:r>
        <w:t>V. Controlled Opposition Militant Groups</w:t>
      </w:r>
    </w:p>
    <w:p>
      <w:pPr>
        <w:pStyle w:val="Heading3"/>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pPr>
      <w:r>
        <w:t>VI. Source Bibliography</w:t>
      </w:r>
    </w:p>
    <w:p>
      <w:pPr>
        <w:pStyle w:val="Heading3"/>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pPr>
      <w:r>
        <w:t>Articles and Documents</w:t>
      </w:r>
    </w:p>
    <w:p>
      <w:pPr>
        <w:pStyle w:val="ListBullet"/>
        <w:spacing w:before="20" w:after="20"/>
      </w:pPr>
      <w:r>
        <w:rPr>
          <w:b w:val="0"/>
          <w:i w:val="0"/>
          <w:sz w:val="19"/>
        </w:rPr>
        <w:t xml:space="preserve">James Perloff, </w:t>
      </w:r>
      <w:hyperlink r:id="rId96">
        <w:r>
          <w:rPr>
            <w:b w:val="0"/>
            <w:i w:val="0"/>
            <w:color w:val="B8860B"/>
            <w:sz w:val="19"/>
          </w:rPr>
          <w:t>"Pearl Harbor: Roosevelt's 9/11"</w:t>
        </w:r>
      </w:hyperlink>
      <w:r>
        <w:rPr>
          <w:b w:val="0"/>
          <w:i w:val="0"/>
          <w:sz w:val="19"/>
        </w:rPr>
        <w:t xml:space="preserve"> (2014)</w:t>
      </w:r>
    </w:p>
    <w:p>
      <w:pPr>
        <w:pStyle w:val="ListBullet"/>
        <w:spacing w:before="20" w:after="20"/>
      </w:pPr>
      <w:hyperlink r:id="rId97">
        <w:r>
          <w:rPr>
            <w:b w:val="0"/>
            <w:i w:val="0"/>
            <w:color w:val="B8860B"/>
            <w:sz w:val="19"/>
          </w:rPr>
          <w:t>FalseFlag.info: Pearl Harbor</w:t>
        </w:r>
      </w:hyperlink>
    </w:p>
    <w:p>
      <w:pPr>
        <w:pStyle w:val="ListBullet"/>
        <w:spacing w:before="20" w:after="20"/>
      </w:pPr>
      <w:hyperlink r:id="rId98">
        <w:r>
          <w:rPr>
            <w:b w:val="0"/>
            <w:i w:val="0"/>
            <w:color w:val="B8860B"/>
            <w:sz w:val="19"/>
          </w:rPr>
          <w:t>The Encyclopedia of False Flag Staged Operations</w:t>
        </w:r>
      </w:hyperlink>
    </w:p>
    <w:p>
      <w:pPr>
        <w:pStyle w:val="ListBullet"/>
        <w:spacing w:before="20" w:after="20"/>
      </w:pPr>
      <w:hyperlink r:id="rId87">
        <w:r>
          <w:rPr>
            <w:b w:val="0"/>
            <w:i w:val="0"/>
            <w:color w:val="B8860B"/>
            <w:sz w:val="19"/>
          </w:rPr>
          <w:t>Pearl Harbor advance-knowledge conspiracy theory</w:t>
        </w:r>
      </w:hyperlink>
      <w:r>
        <w:rPr>
          <w:b w:val="0"/>
          <w:i w:val="0"/>
          <w:sz w:val="19"/>
        </w:rPr>
        <w:t>, Wikipedia</w:t>
      </w:r>
    </w:p>
    <w:p>
      <w:pPr>
        <w:pStyle w:val="ListBullet"/>
        <w:spacing w:before="20" w:after="20"/>
      </w:pPr>
      <w:hyperlink r:id="rId86">
        <w:r>
          <w:rPr>
            <w:b w:val="0"/>
            <w:i w:val="0"/>
            <w:color w:val="B8860B"/>
            <w:sz w:val="19"/>
          </w:rPr>
          <w:t>McCollum memo</w:t>
        </w:r>
      </w:hyperlink>
      <w:r>
        <w:rPr>
          <w:b w:val="0"/>
          <w:i w:val="0"/>
          <w:sz w:val="19"/>
        </w:rPr>
        <w:t>, Wikipedia</w:t>
      </w:r>
    </w:p>
    <w:p>
      <w:pPr>
        <w:pStyle w:val="ListBullet"/>
        <w:spacing w:before="20" w:after="20"/>
      </w:pPr>
      <w:hyperlink r:id="rId99">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90">
        <w:r>
          <w:rPr>
            <w:b w:val="0"/>
            <w:i w:val="0"/>
            <w:color w:val="B8860B"/>
            <w:sz w:val="19"/>
          </w:rPr>
          <w:t>"A Forgotten Holocaust"</w:t>
        </w:r>
      </w:hyperlink>
      <w:r>
        <w:rPr>
          <w:b w:val="0"/>
          <w:i w:val="0"/>
          <w:sz w:val="19"/>
        </w:rPr>
        <w:t>, Asia Pacific Journal</w:t>
      </w:r>
    </w:p>
    <w:p>
      <w:pPr>
        <w:pStyle w:val="ListBullet"/>
        <w:spacing w:before="20" w:after="20"/>
      </w:pPr>
      <w:hyperlink r:id="rId89">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100">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pPr>
      <w:r>
        <w:t>Cross-References in This Timeline</w:t>
      </w:r>
    </w:p>
    <w:p>
      <w:pPr>
        <w:pStyle w:val="ListBullet"/>
        <w:spacing w:before="20" w:after="20"/>
      </w:pPr>
      <w:hyperlink r:id="rId49">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47">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69">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101">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93">
        <w:r>
          <w:rPr>
            <w:b w:val="0"/>
            <w:i w:val="0"/>
            <w:color w:val="B8860B"/>
            <w:sz w:val="19"/>
          </w:rPr>
          <w:t>Mars Contacts Timeline</w:t>
        </w:r>
      </w:hyperlink>
      <w:r>
        <w:rPr>
          <w:b w:val="0"/>
          <w:i w:val="0"/>
          <w:sz w:val="19"/>
        </w:rPr>
        <w:t xml:space="preserve"> — the Battle of Los Angeles in the context of anomalous aerial phenomena</w:t>
      </w:r>
    </w:p>
    <w:p/>
    <w:p>
      <w:pPr>
        <w:sectPr>
          <w:headerReference w:type="default" r:id="rId84"/>
          <w:footerReference w:type="default" r:id="rId85"/>
          <w:pgSz w:w="8640" w:h="12960"/>
          <w:pgMar w:top="1020" w:right="1134" w:bottom="1134" w:left="1134" w:header="720" w:footer="720" w:gutter="0"/>
          <w:cols w:space="720"/>
          <w:titlePg/>
          <w:docGrid w:linePitch="360"/>
        </w:sectPr>
      </w:pPr>
    </w:p>
    <w:p>
      <w:pPr>
        <w:pStyle w:val="Heading2"/>
      </w:pPr>
      <w:r>
        <w:rPr>
          <w:b/>
        </w:rPr>
        <w:t>Chapter 7: 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pPr>
      <w:r>
        <w:t>Categorization</w:t>
      </w:r>
    </w:p>
    <w:p>
      <w:r>
        <w:rPr>
          <w:b w:val="0"/>
          <w:i w:val="0"/>
        </w:rPr>
        <w:t>Researchers fall into two broad categories, though many straddle both:</w:t>
      </w:r>
    </w:p>
    <w:p>
      <w:pPr>
        <w:pStyle w:val="Heading3"/>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104">
        <w:r>
          <w:rPr>
            <w:b w:val="0"/>
            <w:i w:val="0"/>
            <w:color w:val="B8860B"/>
          </w:rPr>
          <w:t>Authors Challenging the Mainstream Timeline</w:t>
        </w:r>
      </w:hyperlink>
    </w:p>
    <w:p>
      <w:pPr>
        <w:pStyle w:val="Heading3"/>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See also: </w:t>
      </w:r>
      <w:hyperlink r:id="rId105">
        <w:r>
          <w:rPr>
            <w:b w:val="0"/>
            <w:i w:val="0"/>
            <w:color w:val="B8860B"/>
          </w:rPr>
          <w:t>Authors Who Read Ancient Sources as World Cataclysm</w:t>
        </w:r>
      </w:hyperlink>
    </w:p>
    <w:p>
      <w:pPr>
        <w:pBdr>
          <w:bottom w:val="single" w:sz="6" w:space="1" w:color="CCCCCC"/>
        </w:pBdr>
      </w:pPr>
    </w:p>
    <w:p>
      <w:pPr>
        <w:pStyle w:val="Heading2"/>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106">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107">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108">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109">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110">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111">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112">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113">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114">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115">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116">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117">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118">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119">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120">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121">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122">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123">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124">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125">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126">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127">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128">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129">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Russian</w:t>
      </w:r>
      <w:r>
        <w:rPr>
          <w:b w:val="0"/>
          <w:i w:val="0"/>
        </w:rPr>
        <w:t xml:space="preserve"> | </w:t>
      </w:r>
      <w:r>
        <w:rPr>
          <w:b/>
          <w:i w:val="0"/>
        </w:rPr>
        <w:t>Mathematics, astronomy, chemistry, linguistics</w:t>
      </w:r>
      <w:r>
        <w:rPr>
          <w:b w:val="0"/>
          <w:i w:val="0"/>
        </w:rPr>
      </w:r>
    </w:p>
    <w:p>
      <w:r>
        <w:rPr>
          <w:b w:val="0"/>
          <w:i w:val="0"/>
        </w:rPr>
        <w:t xml:space="preserve">Nikolai Alexandrovich Morozov (1854–1946) was a Russian revolutionary, scientist, and polymath who pioneered the astronomical analysis of biblical and historical texts, making him the foundational precursor to Fomenko's New Chronology. Imprisoned for decades in the Shlisselburg Fortress, he used the time to produce his most significant scholarship. His 1907 </w:t>
      </w:r>
      <w:r>
        <w:rPr>
          <w:b w:val="0"/>
          <w:i/>
        </w:rPr>
        <w:t>Revelation in Storm and Thunder</w:t>
      </w:r>
      <w:r>
        <w:rPr>
          <w:b w:val="0"/>
          <w:i w:val="0"/>
        </w:rPr>
        <w:t xml:space="preserve"> reinterpreted the Book of Revelation as a symbolic record of a specific astronomical event on September 30, 395 AD — not prophecy. His seven-volume </w:t>
      </w:r>
      <w:r>
        <w:rPr>
          <w:b w:val="0"/>
          <w:i/>
        </w:rPr>
        <w:t>Khristos</w:t>
      </w:r>
      <w:r>
        <w:rPr>
          <w:b w:val="0"/>
          <w:i w:val="0"/>
        </w:rPr>
        <w:t xml:space="preserve"> (1924–1932) applied astronomical, physical, and mathematical methods to overhaul traditional historical chronology, arguing that much of ancient history was fabricated and that many ancient events actually occurred in the Middle Ages. He also physically examined Codex Sinaiticus, noting its suspiciously excellent preservation for a supposedly 4th-century manuscript.</w:t>
      </w:r>
    </w:p>
    <w:p>
      <w:r>
        <w:rPr>
          <w:b w:val="0"/>
          <w:i w:val="0"/>
        </w:rPr>
      </w:r>
      <w:r>
        <w:rPr>
          <w:b/>
          <w:i w:val="0"/>
        </w:rPr>
        <w:t>Key Works:</w:t>
      </w:r>
      <w:r>
        <w:rPr>
          <w:b w:val="0"/>
          <w:i w:val="0"/>
        </w:rPr>
        <w:t xml:space="preserve"> </w:t>
      </w:r>
      <w:r>
        <w:rPr>
          <w:b w:val="0"/>
          <w:i/>
        </w:rPr>
        <w:t>The Revelation in Storm and Thunder</w:t>
      </w:r>
      <w:r>
        <w:rPr>
          <w:b w:val="0"/>
          <w:i w:val="0"/>
        </w:rPr>
        <w:t xml:space="preserve"> (1907); </w:t>
      </w:r>
      <w:r>
        <w:rPr>
          <w:b w:val="0"/>
          <w:i/>
        </w:rPr>
        <w:t>Prophets</w:t>
      </w:r>
      <w:r>
        <w:rPr>
          <w:b w:val="0"/>
          <w:i w:val="0"/>
        </w:rPr>
        <w:t xml:space="preserve"> (1914); </w:t>
      </w:r>
      <w:r>
        <w:rPr>
          <w:b w:val="0"/>
          <w:i/>
        </w:rPr>
        <w:t>Khristos</w:t>
      </w:r>
      <w:r>
        <w:rPr>
          <w:b w:val="0"/>
          <w:i w:val="0"/>
        </w:rPr>
        <w:t xml:space="preserve"> (7 vols, 1924–1932)</w:t>
      </w:r>
    </w:p>
    <w:p>
      <w:pPr>
        <w:pBdr>
          <w:bottom w:val="single" w:sz="6" w:space="1" w:color="CCCCCC"/>
        </w:pBdr>
      </w:pPr>
    </w:p>
    <w:p>
      <w:pPr>
        <w:pStyle w:val="Heading3"/>
      </w:pPr>
      <w:r>
        <w:t>See Also</w:t>
      </w:r>
    </w:p>
    <w:p>
      <w:pPr>
        <w:pStyle w:val="ListBullet"/>
        <w:spacing w:before="20" w:after="20"/>
      </w:pPr>
      <w:hyperlink r:id="rId110">
        <w:r>
          <w:rPr>
            <w:b w:val="0"/>
            <w:i w:val="0"/>
            <w:color w:val="B8860B"/>
            <w:sz w:val="19"/>
          </w:rPr>
          <w:t>Anatoly Fomenko</w:t>
        </w:r>
      </w:hyperlink>
      <w:r>
        <w:rPr>
          <w:b w:val="0"/>
          <w:i w:val="0"/>
          <w:sz w:val="19"/>
        </w:rPr>
        <w:t xml:space="preserve"> — built New Chronology directly on Morozov's astronomical methods</w:t>
      </w:r>
    </w:p>
    <w:p>
      <w:pPr>
        <w:pStyle w:val="ListBullet"/>
        <w:spacing w:before="20" w:after="20"/>
      </w:pPr>
      <w:hyperlink r:id="rId104">
        <w:r>
          <w:rPr>
            <w:b w:val="0"/>
            <w:i w:val="0"/>
            <w:color w:val="B8860B"/>
            <w:sz w:val="19"/>
          </w:rPr>
          <w:t>Authors Challenging the Mainstream Timeline</w:t>
        </w:r>
      </w:hyperlink>
    </w:p>
    <w:p/>
    <w:p>
      <w:pPr>
        <w:jc w:val="center"/>
      </w:pPr>
      <w:r>
        <w:rPr>
          <w:color w:val="B8860B"/>
          <w:sz w:val="24"/>
        </w:rPr>
        <w:t>— ✦ —</w:t>
      </w:r>
    </w:p>
    <w:p>
      <w:r>
        <w:rPr>
          <w:b w:val="0"/>
          <w:i w:val="0"/>
        </w:rPr>
      </w:r>
      <w:r>
        <w:rPr>
          <w:b/>
          <w:i w:val="0"/>
        </w:rPr>
        <w:t>Australian</w:t>
      </w:r>
      <w:r>
        <w:rPr>
          <w:b w:val="0"/>
          <w:i w:val="0"/>
        </w:rPr>
        <w:t xml:space="preserve"> | </w:t>
      </w:r>
      <w:r>
        <w:rPr>
          <w:b/>
          <w:i w:val="0"/>
        </w:rPr>
        <w:t>Physics, plasma cosmology</w:t>
      </w:r>
      <w:r>
        <w:rPr>
          <w:b w:val="0"/>
          <w:i w:val="0"/>
        </w:rPr>
      </w:r>
    </w:p>
    <w:p>
      <w:r>
        <w:rPr>
          <w:b w:val="0"/>
          <w:i w:val="0"/>
        </w:rPr>
        <w:t xml:space="preserve">Wallace "Wal" Thornhill (1942–2023) was the principal theorist of the Electric Universe model and co-founder of the Thunderbolts Project with David Talbott. Inspired by Velikovsky's </w:t>
      </w:r>
      <w:r>
        <w:rPr>
          <w:b w:val="0"/>
          <w:i/>
        </w:rPr>
        <w:t>Worlds in Collision</w:t>
      </w:r>
      <w:r>
        <w:rPr>
          <w:b w:val="0"/>
          <w:i w:val="0"/>
        </w:rPr>
        <w:t xml:space="preserve"> as a teenager, he spent five decades building an alternative cosmology grounded in plasma physics and classical electromagnetism. His core framework holds that electricity and plasma — not gravity alone — govern stars, planets, comets, and large-scale cosmic structure. He proposed the electric sun (externally powered by galactic currents, confirmed in his view by the SAFIRE experiment), electric gravity (an emergent electromagnetic phenomenon), and electric comets (rocky bodies discharging in the solar wind). His most historically significant contribution is the Saturn-Earth connection model: Saturn as a former brown dwarf that once served as Earth's host star, with the polar configuration breakup producing the catastrophes recorded in world mythology. This model is the primary scientific framework underlying this timeline's earliest chapters.</w:t>
      </w:r>
    </w:p>
    <w:p>
      <w:r>
        <w:rPr>
          <w:b w:val="0"/>
          <w:i w:val="0"/>
        </w:rPr>
      </w:r>
      <w:r>
        <w:rPr>
          <w:b/>
          <w:i w:val="0"/>
        </w:rPr>
        <w:t>Key Works:</w:t>
      </w:r>
      <w:r>
        <w:rPr>
          <w:b w:val="0"/>
          <w:i w:val="0"/>
        </w:rPr>
        <w:t xml:space="preserve"> </w:t>
      </w:r>
      <w:r>
        <w:rPr>
          <w:b w:val="0"/>
          <w:i/>
        </w:rPr>
        <w:t>Thunderbolts of the Gods</w:t>
      </w:r>
      <w:r>
        <w:rPr>
          <w:b w:val="0"/>
          <w:i w:val="0"/>
        </w:rPr>
        <w:t xml:space="preserve"> (2005, with Talbott); </w:t>
      </w:r>
      <w:r>
        <w:rPr>
          <w:b w:val="0"/>
          <w:i/>
        </w:rPr>
        <w:t>The Electric Universe</w:t>
      </w:r>
      <w:r>
        <w:rPr>
          <w:b w:val="0"/>
          <w:i w:val="0"/>
        </w:rPr>
        <w:t xml:space="preserve"> (2007, with Talbott)</w:t>
      </w:r>
    </w:p>
    <w:p>
      <w:r>
        <w:rPr>
          <w:b w:val="0"/>
          <w:i w:val="0"/>
        </w:rPr>
      </w:r>
      <w:r>
        <w:rPr>
          <w:b/>
          <w:i w:val="0"/>
        </w:rPr>
        <w:t>Primary resource:</w:t>
      </w:r>
      <w:r>
        <w:rPr>
          <w:b w:val="0"/>
          <w:i w:val="0"/>
        </w:rPr>
        <w:t xml:space="preserve"> </w:t>
      </w:r>
      <w:hyperlink r:id="rId130">
        <w:r>
          <w:rPr>
            <w:b w:val="0"/>
            <w:i w:val="0"/>
            <w:color w:val="B8860B"/>
          </w:rPr>
          <w:t>holoscience.com</w:t>
        </w:r>
      </w:hyperlink>
      <w:r>
        <w:rPr>
          <w:b w:val="0"/>
          <w:i w:val="0"/>
        </w:rPr>
        <w:t xml:space="preserve"> | </w:t>
      </w:r>
      <w:hyperlink r:id="rId131">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r>
        <w:rPr>
          <w:b w:val="0"/>
          <w:i w:val="0"/>
          <w:sz w:val="19"/>
        </w:rPr>
        <w:t xml:space="preserve"> — mythology partner and Thunderbolts co-founder</w:t>
      </w:r>
    </w:p>
    <w:p>
      <w:pPr>
        <w:pStyle w:val="ListBullet"/>
        <w:spacing w:before="20" w:after="20"/>
      </w:pPr>
      <w:hyperlink r:id="rId108">
        <w:r>
          <w:rPr>
            <w:b w:val="0"/>
            <w:i w:val="0"/>
            <w:color w:val="B8860B"/>
            <w:sz w:val="19"/>
          </w:rPr>
          <w:t>Ralph Juergens</w:t>
        </w:r>
      </w:hyperlink>
      <w:r>
        <w:rPr>
          <w:b w:val="0"/>
          <w:i w:val="0"/>
          <w:sz w:val="19"/>
        </w:rPr>
        <w:t xml:space="preserve"> — originated the Electric Sun hypothesis Thornhill built upon</w:t>
      </w:r>
    </w:p>
    <w:p>
      <w:pPr>
        <w:pStyle w:val="ListBullet"/>
        <w:spacing w:before="20" w:after="20"/>
      </w:pPr>
      <w:hyperlink r:id="rId120">
        <w:r>
          <w:rPr>
            <w:b w:val="0"/>
            <w:i w:val="0"/>
            <w:color w:val="B8860B"/>
            <w:sz w:val="19"/>
          </w:rPr>
          <w:t>Dwardu Cardona</w:t>
        </w:r>
      </w:hyperlink>
      <w:r>
        <w:rPr>
          <w:b w:val="0"/>
          <w:i w:val="0"/>
          <w:sz w:val="19"/>
        </w:rPr>
        <w:t xml:space="preserve"> — God Star mythological sequence</w:t>
      </w:r>
    </w:p>
    <w:p/>
    <w:p>
      <w:pPr>
        <w:jc w:val="center"/>
      </w:pPr>
      <w:r>
        <w:rPr>
          <w:color w:val="B8860B"/>
          <w:sz w:val="24"/>
        </w:rPr>
        <w:t>— ✦ —</w:t>
      </w:r>
    </w:p>
    <w:p>
      <w:r>
        <w:rPr>
          <w:b w:val="0"/>
          <w:i w:val="0"/>
        </w:rPr>
      </w:r>
      <w:r>
        <w:rPr>
          <w:b/>
          <w:i w:val="0"/>
        </w:rPr>
        <w:t>American</w:t>
      </w:r>
      <w:r>
        <w:rPr>
          <w:b w:val="0"/>
          <w:i w:val="0"/>
        </w:rPr>
        <w:t xml:space="preserve"> | </w:t>
      </w:r>
      <w:r>
        <w:rPr>
          <w:b/>
          <w:i w:val="0"/>
        </w:rPr>
        <w:t>Civil engineering, independent cosmology</w:t>
      </w:r>
      <w:r>
        <w:rPr>
          <w:b w:val="0"/>
          <w:i w:val="0"/>
        </w:rPr>
      </w:r>
    </w:p>
    <w:p>
      <w:r>
        <w:rPr>
          <w:b w:val="0"/>
          <w:i w:val="0"/>
        </w:rPr>
        <w:t xml:space="preserve">Ralph E. Juergens (1924–1979) originated the Electric Sun hypothesis — the foundational claim that the Sun is powered by external cosmic electric discharge rather than internal thermonuclear fusion. A civil engineer by training (Case Western Reserve), he became an editor at McGraw-Hill, then associate editor of </w:t>
      </w:r>
      <w:r>
        <w:rPr>
          <w:b w:val="0"/>
          <w:i/>
        </w:rPr>
        <w:t>Pensée</w:t>
      </w:r>
      <w:r>
        <w:rPr>
          <w:b w:val="0"/>
          <w:i w:val="0"/>
        </w:rPr>
        <w:t xml:space="preserve"> and senior editor of </w:t>
      </w:r>
      <w:r>
        <w:rPr>
          <w:b w:val="0"/>
          <w:i/>
        </w:rPr>
        <w:t>Kronos</w:t>
      </w:r>
      <w:r>
        <w:rPr>
          <w:b w:val="0"/>
          <w:i w:val="0"/>
        </w:rPr>
        <w:t xml:space="preserve">. He co-founded FOSMOS (Foundation for Studies of Modern Science) in 1968 with de Grazia and Stecchini, and co-authored </w:t>
      </w:r>
      <w:r>
        <w:rPr>
          <w:b w:val="0"/>
          <w:i/>
        </w:rPr>
        <w:t>The Velikovsky Affair</w:t>
      </w:r>
      <w:r>
        <w:rPr>
          <w:b w:val="0"/>
          <w:i w:val="0"/>
        </w:rPr>
        <w:t xml:space="preserve"> (1966), documenting the institutional suppression of Velikovsky. His 1972 </w:t>
      </w:r>
      <w:r>
        <w:rPr>
          <w:b w:val="0"/>
          <w:i/>
        </w:rPr>
        <w:t>Pensée</w:t>
      </w:r>
      <w:r>
        <w:rPr>
          <w:b w:val="0"/>
          <w:i w:val="0"/>
        </w:rPr>
        <w:t xml:space="preserve"> paper first proposed the Sun as the focus of a cosmic electric discharge — the theoretical cornerstone on which Thornhill's entire Electric Universe was built. He died November 2, 1979, of officially unknown causes, two months after publishing his most mature Electric Sun papers. In 2007, Wikipedia deleted his entry, erasing the primary public record of the originator of one of the most significant heterodox cosmological frameworks of the 20th century.</w:t>
      </w:r>
    </w:p>
    <w:p>
      <w:r>
        <w:rPr>
          <w:b w:val="0"/>
          <w:i w:val="0"/>
        </w:rPr>
      </w:r>
      <w:r>
        <w:rPr>
          <w:b/>
          <w:i w:val="0"/>
        </w:rPr>
        <w:t>Key Works:</w:t>
      </w:r>
      <w:r>
        <w:rPr>
          <w:b w:val="0"/>
          <w:i w:val="0"/>
        </w:rPr>
        <w:t xml:space="preserve"> </w:t>
      </w:r>
      <w:r>
        <w:rPr>
          <w:b w:val="0"/>
          <w:i/>
        </w:rPr>
        <w:t>The Velikovsky Affair</w:t>
      </w:r>
      <w:r>
        <w:rPr>
          <w:b w:val="0"/>
          <w:i w:val="0"/>
        </w:rPr>
        <w:t xml:space="preserve"> (1966, with de Grazia and Stecchini); Electric Sun papers in </w:t>
      </w:r>
      <w:r>
        <w:rPr>
          <w:b w:val="0"/>
          <w:i/>
        </w:rPr>
        <w:t>Pensée</w:t>
      </w:r>
      <w:r>
        <w:rPr>
          <w:b w:val="0"/>
          <w:i w:val="0"/>
        </w:rPr>
        <w:t xml:space="preserve"> and </w:t>
      </w:r>
      <w:r>
        <w:rPr>
          <w:b w:val="0"/>
          <w:i/>
        </w:rPr>
        <w:t>Kronos</w:t>
      </w:r>
      <w:r>
        <w:rPr>
          <w:b w:val="0"/>
          <w:i w:val="0"/>
        </w:rPr>
        <w:t xml:space="preserve"> (1972–1979)</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07">
        <w:r>
          <w:rPr>
            <w:b w:val="0"/>
            <w:i w:val="0"/>
            <w:color w:val="B8860B"/>
            <w:sz w:val="19"/>
          </w:rPr>
          <w:t>Wal Thornhill</w:t>
        </w:r>
      </w:hyperlink>
      <w:r>
        <w:rPr>
          <w:b w:val="0"/>
          <w:i w:val="0"/>
          <w:sz w:val="19"/>
        </w:rPr>
        <w:t xml:space="preserve"> — built the Electric Universe on Juergens' foundation</w:t>
      </w:r>
    </w:p>
    <w:p>
      <w:pPr>
        <w:pStyle w:val="ListBullet"/>
        <w:spacing w:before="20" w:after="20"/>
      </w:pPr>
      <w:hyperlink r:id="rId114">
        <w:r>
          <w:rPr>
            <w:b w:val="0"/>
            <w:i w:val="0"/>
            <w:color w:val="B8860B"/>
            <w:sz w:val="19"/>
          </w:rPr>
          <w:t>Alfred de Grazia</w:t>
        </w:r>
      </w:hyperlink>
      <w:r>
        <w:rPr>
          <w:b w:val="0"/>
          <w:i w:val="0"/>
          <w:sz w:val="19"/>
        </w:rPr>
        <w:t xml:space="preserve"> — co-author and FOSMOS co-founder</w:t>
      </w:r>
    </w:p>
    <w:p>
      <w:pPr>
        <w:pStyle w:val="ListBullet"/>
        <w:spacing w:before="20" w:after="20"/>
      </w:pPr>
      <w:hyperlink r:id="rId122">
        <w:r>
          <w:rPr>
            <w:b w:val="0"/>
            <w:i w:val="0"/>
            <w:color w:val="B8860B"/>
            <w:sz w:val="19"/>
          </w:rPr>
          <w:t>Livio Stecchini</w:t>
        </w:r>
      </w:hyperlink>
      <w:r>
        <w:rPr>
          <w:b w:val="0"/>
          <w:i w:val="0"/>
          <w:sz w:val="19"/>
        </w:rPr>
        <w:t xml:space="preserve"> — collaborator on </w:t>
      </w:r>
      <w:r>
        <w:rPr>
          <w:b w:val="0"/>
          <w:i/>
          <w:sz w:val="19"/>
        </w:rPr>
        <w:t>The Velikovsky Affair</w:t>
      </w:r>
    </w:p>
    <w:p/>
    <w:p>
      <w:pPr>
        <w:jc w:val="center"/>
      </w:pPr>
      <w:r>
        <w:rPr>
          <w:color w:val="B8860B"/>
          <w:sz w:val="24"/>
        </w:rPr>
        <w:t>— ✦ —</w:t>
      </w:r>
    </w:p>
    <w:p>
      <w:r>
        <w:rPr>
          <w:b w:val="0"/>
          <w:i w:val="0"/>
        </w:rPr>
      </w:r>
      <w:r>
        <w:rPr>
          <w:b/>
          <w:i w:val="0"/>
        </w:rPr>
        <w:t>Russian-Jewish, later American</w:t>
      </w:r>
      <w:r>
        <w:rPr>
          <w:b w:val="0"/>
          <w:i w:val="0"/>
        </w:rPr>
        <w:t xml:space="preserve"> | </w:t>
      </w:r>
      <w:r>
        <w:rPr>
          <w:b/>
          <w:i w:val="0"/>
        </w:rPr>
        <w:t>Psychiatry, comparative mythology, ancient history, catastrophism</w:t>
      </w:r>
      <w:r>
        <w:rPr>
          <w:b w:val="0"/>
          <w:i w:val="0"/>
        </w:rPr>
      </w:r>
    </w:p>
    <w:p>
      <w:r>
        <w:rPr>
          <w:b w:val="0"/>
          <w:i w:val="0"/>
        </w:rPr>
        <w:t xml:space="preserve">Velikovsky argued that Venus was ejected from Jupiter as a comet within human memory, making multiple near-passes to Earth that caused the plagues of Exodus and Joshua's sun standing still, before settling into its present orbit. His </w:t>
      </w:r>
      <w:r>
        <w:rPr>
          <w:b w:val="0"/>
          <w:i/>
        </w:rPr>
        <w:t>Ages in Chaos</w:t>
      </w:r>
      <w:r>
        <w:rPr>
          <w:b w:val="0"/>
          <w:i w:val="0"/>
        </w:rPr>
        <w:t xml:space="preserve"> (1952) proposed Egyptian chronology was mismatched with biblical history by ~500 years. Ancient myths, he insisted, are literal eyewitness records of celestial events. His work was suppressed with organized ferocity — an academic boycott forced his publisher to transfer </w:t>
      </w:r>
      <w:r>
        <w:rPr>
          <w:b w:val="0"/>
          <w:i/>
        </w:rPr>
        <w:t>Worlds in Collision</w:t>
      </w:r>
      <w:r>
        <w:rPr>
          <w:b w:val="0"/>
          <w:i w:val="0"/>
        </w:rPr>
        <w:t>, and Carl Sagan led a widely criticized campaign against him at the 1974 AAAS. Velikovsky was a pioneer but not the final word: his insistence on preserving Scaligerian chronology was a limitation the Saturnian Cosmology framework (Talbott, Cook, Thornhill) later transcended.</w:t>
      </w:r>
    </w:p>
    <w:p>
      <w:r>
        <w:rPr>
          <w:b w:val="0"/>
          <w:i w:val="0"/>
        </w:rPr>
      </w:r>
      <w:r>
        <w:rPr>
          <w:b/>
          <w:i w:val="0"/>
        </w:rPr>
        <w:t>Key Works:</w:t>
      </w:r>
      <w:r>
        <w:rPr>
          <w:b w:val="0"/>
          <w:i w:val="0"/>
        </w:rPr>
        <w:t xml:space="preserve"> </w:t>
      </w:r>
      <w:r>
        <w:rPr>
          <w:b w:val="0"/>
          <w:i/>
        </w:rPr>
        <w:t>Worlds in Collision</w:t>
      </w:r>
      <w:r>
        <w:rPr>
          <w:b w:val="0"/>
          <w:i w:val="0"/>
        </w:rPr>
        <w:t xml:space="preserve"> (1950); </w:t>
      </w:r>
      <w:r>
        <w:rPr>
          <w:b w:val="0"/>
          <w:i/>
        </w:rPr>
        <w:t>Ages in Chaos</w:t>
      </w:r>
      <w:r>
        <w:rPr>
          <w:b w:val="0"/>
          <w:i w:val="0"/>
        </w:rPr>
        <w:t xml:space="preserve"> (1952); </w:t>
      </w:r>
      <w:r>
        <w:rPr>
          <w:b w:val="0"/>
          <w:i/>
        </w:rPr>
        <w:t>Earth in Upheaval</w:t>
      </w:r>
      <w:r>
        <w:rPr>
          <w:b w:val="0"/>
          <w:i w:val="0"/>
        </w:rPr>
        <w:t xml:space="preserve"> (1955)</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6">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114">
        <w:r>
          <w:rPr>
            <w:b w:val="0"/>
            <w:i w:val="0"/>
            <w:color w:val="B8860B"/>
            <w:sz w:val="19"/>
          </w:rPr>
          <w:t>Alfred de Grazia</w:t>
        </w:r>
      </w:hyperlink>
      <w:r>
        <w:rPr>
          <w:b w:val="0"/>
          <w:i w:val="0"/>
          <w:sz w:val="19"/>
        </w:rPr>
        <w:t xml:space="preserve"> — documented the suppression</w:t>
      </w:r>
    </w:p>
    <w:p>
      <w:pPr>
        <w:pStyle w:val="ListBullet"/>
        <w:spacing w:before="20" w:after="20"/>
      </w:pPr>
      <w:hyperlink r:id="rId111">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Russian</w:t>
      </w:r>
      <w:r>
        <w:rPr>
          <w:b w:val="0"/>
          <w:i w:val="0"/>
        </w:rPr>
        <w:t xml:space="preserve"> | </w:t>
      </w:r>
      <w:r>
        <w:rPr>
          <w:b/>
          <w:i w:val="0"/>
        </w:rPr>
        <w:t>Mathematics, topology, statistics, historical chronology</w:t>
      </w:r>
      <w:r>
        <w:rPr>
          <w:b w:val="0"/>
          <w:i w:val="0"/>
        </w:rPr>
      </w:r>
    </w:p>
    <w:p>
      <w:r>
        <w:rPr>
          <w:b w:val="0"/>
          <w:i w:val="0"/>
        </w:rPr>
        <w:t>Fomenko is a full professor at Moscow State University, a member of the Russian Academy of Sciences, and a leading topologist who turned statistical analysis toward historical records beginning in 1973. Analyzing over 2,200 sources, he discovered systematic misdating throughout conventional history — identifying three major chronological shifts of approximately 333, 1,053, and 1,800 years embedded in Scaligerian chronology. His New Chronology argues that all "ancient" Greek, Roman, and Egyptian civilization is actually medieval (no earlier than ~900 CE), and that the historical Christ was born December 25, 1152 CE in the Crimea and crucified outside Constantinople in 1185 CE. His seven-volume work provides the backbone chronological framework for this timeline's medieval and post-medieval sections.</w:t>
      </w:r>
    </w:p>
    <w:p>
      <w:r>
        <w:rPr>
          <w:b w:val="0"/>
          <w:i w:val="0"/>
        </w:rPr>
      </w:r>
      <w:r>
        <w:rPr>
          <w:b/>
          <w:i w:val="0"/>
        </w:rPr>
        <w:t>Key Works:</w:t>
      </w:r>
      <w:r>
        <w:rPr>
          <w:b w:val="0"/>
          <w:i w:val="0"/>
        </w:rPr>
        <w:t xml:space="preserve"> </w:t>
      </w:r>
      <w:r>
        <w:rPr>
          <w:b w:val="0"/>
          <w:i/>
        </w:rPr>
        <w:t>History: Fiction or Science?</w:t>
      </w:r>
      <w:r>
        <w:rPr>
          <w:b w:val="0"/>
          <w:i w:val="0"/>
        </w:rPr>
        <w:t xml:space="preserve"> (7 vols, 1999–2006)</w:t>
      </w:r>
    </w:p>
    <w:p>
      <w:r>
        <w:rPr>
          <w:b w:val="0"/>
          <w:i w:val="0"/>
        </w:rPr>
      </w:r>
      <w:r>
        <w:rPr>
          <w:b/>
          <w:i w:val="0"/>
        </w:rPr>
        <w:t>Primary resource:</w:t>
      </w:r>
      <w:r>
        <w:rPr>
          <w:b w:val="0"/>
          <w:i w:val="0"/>
        </w:rPr>
        <w:t xml:space="preserve"> </w:t>
      </w:r>
      <w:hyperlink r:id="rId132">
        <w:r>
          <w:rPr>
            <w:b w:val="0"/>
            <w:i w:val="0"/>
            <w:color w:val="B8860B"/>
          </w:rPr>
          <w:t>chronologia.org</w:t>
        </w:r>
      </w:hyperlink>
    </w:p>
    <w:p>
      <w:pPr>
        <w:pStyle w:val="Heading3"/>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w:t>
      </w:r>
    </w:p>
    <w:p>
      <w:pPr>
        <w:pStyle w:val="ListBullet"/>
        <w:spacing w:before="20" w:after="20"/>
      </w:pPr>
      <w:r>
        <w:rPr>
          <w:b w:val="0"/>
          <w:i w:val="0"/>
          <w:sz w:val="19"/>
        </w:rPr>
        <w:t xml:space="preserve">→ See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See </w:t>
      </w:r>
      <w:hyperlink r:id="rId105">
        <w:r>
          <w:rPr>
            <w:b w:val="0"/>
            <w:i w:val="0"/>
            <w:color w:val="B8860B"/>
            <w:sz w:val="19"/>
          </w:rPr>
          <w:t>Authors Who Read Ancient Sources as World Cataclysm</w:t>
        </w:r>
      </w:hyperlink>
    </w:p>
    <w:p/>
    <w:p>
      <w:pPr>
        <w:jc w:val="center"/>
      </w:pPr>
      <w:r>
        <w:rPr>
          <w:color w:val="B8860B"/>
          <w:sz w:val="24"/>
        </w:rPr>
        <w:t>— ✦ —</w:t>
      </w:r>
    </w:p>
    <w:p>
      <w:r>
        <w:rPr>
          <w:b w:val="0"/>
          <w:i w:val="0"/>
        </w:rPr>
      </w:r>
      <w:r>
        <w:rPr>
          <w:b/>
          <w:i w:val="0"/>
        </w:rPr>
        <w:t>American</w:t>
      </w:r>
      <w:r>
        <w:rPr>
          <w:b w:val="0"/>
          <w:i w:val="0"/>
        </w:rPr>
        <w:t xml:space="preserve"> | </w:t>
      </w:r>
      <w:r>
        <w:rPr>
          <w:b/>
          <w:i w:val="0"/>
        </w:rPr>
        <w:t>Comparative mythology, independent research, catastrophism</w:t>
      </w:r>
      <w:r>
        <w:rPr>
          <w:b w:val="0"/>
          <w:i w:val="0"/>
        </w:rPr>
      </w:r>
    </w:p>
    <w:p>
      <w:r>
        <w:rPr>
          <w:b w:val="0"/>
          <w:i w:val="0"/>
        </w:rPr>
        <w:t xml:space="preserve">Talbott reconstructed the Golden Age polar configuration from comparative mythology. His 1980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planets. He identified consistent cross-cultural archetypes — the Wheel of Heaven, the World Column, the Great Catastrophe — as independent records of the same sky, verified across 30+ unrelated ancient cultures. His polar configuration framework (Saturn → Venus → Mars aligned along a common polar axis) is the primary mythological scaffold for this entire timeline, with Cook providing specific calendar dates and Thornhill providing the plasma physics mechanism.</w:t>
      </w:r>
    </w:p>
    <w:p>
      <w:r>
        <w:rPr>
          <w:b w:val="0"/>
          <w:i w:val="0"/>
        </w:rPr>
      </w:r>
      <w:r>
        <w:rPr>
          <w:b/>
          <w:i w:val="0"/>
        </w:rPr>
        <w:t>Key Works:</w:t>
      </w:r>
      <w:r>
        <w:rPr>
          <w:b w:val="0"/>
          <w:i w:val="0"/>
        </w:rPr>
        <w:t xml:space="preserve"> </w:t>
      </w:r>
      <w:r>
        <w:rPr>
          <w:b w:val="0"/>
          <w:i/>
        </w:rPr>
        <w:t>The Saturn Myth</w:t>
      </w:r>
      <w:r>
        <w:rPr>
          <w:b w:val="0"/>
          <w:i w:val="0"/>
        </w:rPr>
        <w:t xml:space="preserve"> (1980); </w:t>
      </w:r>
      <w:r>
        <w:rPr>
          <w:b w:val="0"/>
          <w:i/>
        </w:rPr>
        <w:t>Thunderbolts of the Gods</w:t>
      </w:r>
      <w:r>
        <w:rPr>
          <w:b w:val="0"/>
          <w:i w:val="0"/>
        </w:rPr>
        <w:t xml:space="preserve"> (2005, with Thornhill); </w:t>
      </w:r>
      <w:r>
        <w:rPr>
          <w:b w:val="0"/>
          <w:i/>
        </w:rPr>
        <w:t>The Electric Universe</w:t>
      </w:r>
      <w:r>
        <w:rPr>
          <w:b w:val="0"/>
          <w:i w:val="0"/>
        </w:rPr>
        <w:t xml:space="preserve"> (2007, with Thornhill)</w:t>
      </w:r>
    </w:p>
    <w:p>
      <w:r>
        <w:rPr>
          <w:b w:val="0"/>
          <w:i w:val="0"/>
        </w:rPr>
      </w:r>
      <w:r>
        <w:rPr>
          <w:b/>
          <w:i w:val="0"/>
        </w:rPr>
        <w:t>Primary resource:</w:t>
      </w:r>
      <w:r>
        <w:rPr>
          <w:b w:val="0"/>
          <w:i w:val="0"/>
        </w:rPr>
        <w:t xml:space="preserve"> </w:t>
      </w:r>
      <w:hyperlink r:id="rId131">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07">
        <w:r>
          <w:rPr>
            <w:b w:val="0"/>
            <w:i w:val="0"/>
            <w:color w:val="B8860B"/>
            <w:sz w:val="19"/>
          </w:rPr>
          <w:t>Wal Thornhill</w:t>
        </w:r>
      </w:hyperlink>
      <w:r>
        <w:rPr>
          <w:b w:val="0"/>
          <w:i w:val="0"/>
          <w:sz w:val="19"/>
        </w:rPr>
        <w:t xml:space="preserve"> — physics partner</w:t>
      </w:r>
    </w:p>
    <w:p>
      <w:pPr>
        <w:pStyle w:val="ListBullet"/>
        <w:spacing w:before="20" w:after="20"/>
      </w:pPr>
      <w:hyperlink r:id="rId120">
        <w:r>
          <w:rPr>
            <w:b w:val="0"/>
            <w:i w:val="0"/>
            <w:color w:val="B8860B"/>
            <w:sz w:val="19"/>
          </w:rPr>
          <w:t>Dwardu Cardona</w:t>
        </w:r>
      </w:hyperlink>
      <w:r>
        <w:rPr>
          <w:b w:val="0"/>
          <w:i w:val="0"/>
          <w:sz w:val="19"/>
        </w:rPr>
        <w:t xml:space="preserve"> — extended the God Star sequence</w:t>
      </w:r>
    </w:p>
    <w:p>
      <w:pPr>
        <w:pStyle w:val="ListBullet"/>
        <w:spacing w:before="20" w:after="20"/>
      </w:pPr>
      <w:hyperlink r:id="rId113">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American</w:t>
      </w:r>
      <w:r>
        <w:rPr>
          <w:b w:val="0"/>
          <w:i w:val="0"/>
        </w:rPr>
        <w:t xml:space="preserve"> | </w:t>
      </w:r>
      <w:r>
        <w:rPr>
          <w:b/>
          <w:i w:val="0"/>
        </w:rPr>
        <w:t>Plasma physics, archaeoastronomy</w:t>
      </w:r>
      <w:r>
        <w:rPr>
          <w:b w:val="0"/>
          <w:i w:val="0"/>
        </w:rPr>
      </w:r>
    </w:p>
    <w:p>
      <w:r>
        <w:rPr>
          <w:b w:val="0"/>
          <w:i w:val="0"/>
        </w:rPr>
        <w:t>Peratt is a plasma physicist from Los Alamos National Laboratory and student of Nobel laureate Hannes Alfvén. He discovered that ancient petroglyphs worldwide depict patterns identical to those produced in laboratory high-current Z-pinch plasma discharge experiments — over 100 distinct petroglyph types on every inhabited continent mapping precisely to specific discharge phases. His 2003 paper identified three plasma columns in the ancient southern sky corresponding to the Saturnian lower configuration (squatting-man, columnar stacks, dot-in-circle motifs). The angle of incidence of petroglyph imagery relative to the horizon matches predictions for specific latitudes, confirming a common celestial source. This is the hardest physical evidence linking ancient rock art to actual plasma events.</w:t>
      </w:r>
    </w:p>
    <w:p>
      <w:r>
        <w:rPr>
          <w:b w:val="0"/>
          <w:i w:val="0"/>
        </w:rPr>
      </w:r>
      <w:r>
        <w:rPr>
          <w:b/>
          <w:i w:val="0"/>
        </w:rPr>
        <w:t>Key Works:</w:t>
      </w:r>
      <w:r>
        <w:rPr>
          <w:b w:val="0"/>
          <w:i w:val="0"/>
        </w:rPr>
        <w:t xml:space="preserve"> </w:t>
      </w:r>
      <w:r>
        <w:rPr>
          <w:b w:val="0"/>
          <w:i/>
        </w:rPr>
        <w:t>Characteristics for the Occurrence of a High Current Z-Pinch Aurora as Recorded in Antiquity</w:t>
      </w:r>
      <w:r>
        <w:rPr>
          <w:b w:val="0"/>
          <w:i w:val="0"/>
        </w:rPr>
        <w:t xml:space="preserve"> (Parts I &amp; II, 2003)</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5">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111">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American</w:t>
      </w:r>
      <w:r>
        <w:rPr>
          <w:b w:val="0"/>
          <w:i w:val="0"/>
        </w:rPr>
        <w:t xml:space="preserve"> | </w:t>
      </w:r>
      <w:r>
        <w:rPr>
          <w:b/>
          <w:i w:val="0"/>
        </w:rPr>
        <w:t>Independent research, catastrophist chronology, Mesoamerican calendrics</w:t>
      </w:r>
      <w:r>
        <w:rPr>
          <w:b w:val="0"/>
          <w:i w:val="0"/>
        </w:rPr>
      </w:r>
    </w:p>
    <w:p>
      <w:r>
        <w:rPr>
          <w:b w:val="0"/>
          <w:i w:val="0"/>
        </w:rPr>
        <w:t>Cook authored the most detailed chronological reconstruction of Saturnian events with specific calendar dates, published at saturniancosmology.org. His unique contribution is cross-cultural calendar triangulation — applying Mesoamerican Long Count data, Chinese annals, and Mesopotamian king lists simultaneously against the mythological sequence to produce specific year assignments. This timeline's Golden Age and Dark Ages event dates come primarily from Cook: 4077 BCE (start of polar configuration), 3147 BCE (end of the Golden Age), and 685 BCE (orbital stabilization, from Rose &amp; Vaughan). The site is not original independent research but a synthesis of the entire catastrophist tradition, continuously revised since 2001.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35"/>
        <w:gridCol w:w="4738"/>
      </w:tblGrid>
      <w:tr>
        <w:tc>
          <w:tcPr>
            <w:tcW w:type="dxa" w:w="1635"/>
            <w:shd w:val="clear" w:color="auto" w:fill="F0F0F0"/>
          </w:tcPr>
          <w:p>
            <w:pPr>
              <w:spacing w:before="20" w:after="20"/>
              <w:jc w:val="center"/>
            </w:pPr>
            <w:r>
              <w:rPr>
                <w:rFonts w:ascii="Libre Franklin" w:hAnsi="Libre Franklin"/>
                <w:b/>
                <w:sz w:val="18"/>
              </w:rPr>
              <w:t>Source</w:t>
            </w:r>
          </w:p>
        </w:tc>
        <w:tc>
          <w:tcPr>
            <w:tcW w:type="dxa" w:w="4738"/>
            <w:shd w:val="clear" w:color="auto" w:fill="F0F0F0"/>
          </w:tcPr>
          <w:p>
            <w:pPr>
              <w:spacing w:before="20" w:after="20"/>
              <w:jc w:val="center"/>
            </w:pPr>
            <w:r>
              <w:rPr>
                <w:rFonts w:ascii="Libre Franklin" w:hAnsi="Libre Franklin"/>
                <w:b/>
                <w:sz w:val="18"/>
              </w:rPr>
              <w:t>Contribution to Cook's framework</w:t>
            </w:r>
          </w:p>
        </w:tc>
      </w:tr>
      <w:tr>
        <w:tc>
          <w:tcPr>
            <w:tcW w:type="dxa" w:w="1635"/>
          </w:tcPr>
          <w:p>
            <w:pPr>
              <w:spacing w:before="20" w:after="20"/>
            </w:pPr>
            <w:r>
              <w:rPr>
                <w:b w:val="0"/>
                <w:i w:val="0"/>
                <w:sz w:val="18"/>
              </w:rPr>
              <w:t>Talbott</w:t>
            </w:r>
          </w:p>
        </w:tc>
        <w:tc>
          <w:tcPr>
            <w:tcW w:type="dxa" w:w="4738"/>
          </w:tcPr>
          <w:p>
            <w:pPr>
              <w:spacing w:before="20" w:after="20"/>
            </w:pPr>
            <w:r>
              <w:rPr>
                <w:b w:val="0"/>
                <w:i w:val="0"/>
                <w:sz w:val="18"/>
              </w:rPr>
              <w:t>Polar configuration mythology</w:t>
            </w:r>
          </w:p>
        </w:tc>
      </w:tr>
      <w:tr>
        <w:tc>
          <w:tcPr>
            <w:tcW w:type="dxa" w:w="1635"/>
          </w:tcPr>
          <w:p>
            <w:pPr>
              <w:spacing w:before="20" w:after="20"/>
            </w:pPr>
            <w:r>
              <w:rPr>
                <w:b w:val="0"/>
                <w:i w:val="0"/>
                <w:sz w:val="18"/>
              </w:rPr>
              <w:t>Thornhill</w:t>
            </w:r>
          </w:p>
        </w:tc>
        <w:tc>
          <w:tcPr>
            <w:tcW w:type="dxa" w:w="4738"/>
          </w:tcPr>
          <w:p>
            <w:pPr>
              <w:spacing w:before="20" w:after="20"/>
            </w:pPr>
            <w:r>
              <w:rPr>
                <w:b w:val="0"/>
                <w:i w:val="0"/>
                <w:sz w:val="18"/>
              </w:rPr>
              <w:t>EU physics mechanism</w:t>
            </w:r>
          </w:p>
        </w:tc>
      </w:tr>
      <w:tr>
        <w:tc>
          <w:tcPr>
            <w:tcW w:type="dxa" w:w="1635"/>
          </w:tcPr>
          <w:p>
            <w:pPr>
              <w:spacing w:before="20" w:after="20"/>
            </w:pPr>
            <w:r>
              <w:rPr>
                <w:b w:val="0"/>
                <w:i w:val="0"/>
                <w:sz w:val="18"/>
              </w:rPr>
              <w:t>Peratt</w:t>
            </w:r>
          </w:p>
        </w:tc>
        <w:tc>
          <w:tcPr>
            <w:tcW w:type="dxa" w:w="4738"/>
          </w:tcPr>
          <w:p>
            <w:pPr>
              <w:spacing w:before="20" w:after="20"/>
            </w:pPr>
            <w:r>
              <w:rPr>
                <w:b w:val="0"/>
                <w:i w:val="0"/>
                <w:sz w:val="18"/>
              </w:rPr>
              <w:t>Petroglyph dating</w:t>
            </w:r>
          </w:p>
        </w:tc>
      </w:tr>
      <w:tr>
        <w:tc>
          <w:tcPr>
            <w:tcW w:type="dxa" w:w="1635"/>
          </w:tcPr>
          <w:p>
            <w:pPr>
              <w:spacing w:before="20" w:after="20"/>
            </w:pPr>
            <w:r>
              <w:rPr>
                <w:b w:val="0"/>
                <w:i w:val="0"/>
                <w:sz w:val="18"/>
              </w:rPr>
              <w:t>Cardona</w:t>
            </w:r>
          </w:p>
        </w:tc>
        <w:tc>
          <w:tcPr>
            <w:tcW w:type="dxa" w:w="4738"/>
          </w:tcPr>
          <w:p>
            <w:pPr>
              <w:spacing w:before="20" w:after="20"/>
            </w:pPr>
            <w:r>
              <w:rPr>
                <w:b w:val="0"/>
                <w:i w:val="0"/>
                <w:sz w:val="18"/>
              </w:rPr>
              <w:t>God Star sequence</w:t>
            </w:r>
          </w:p>
        </w:tc>
      </w:tr>
      <w:tr>
        <w:tc>
          <w:tcPr>
            <w:tcW w:type="dxa" w:w="1635"/>
          </w:tcPr>
          <w:p>
            <w:pPr>
              <w:spacing w:before="20" w:after="20"/>
            </w:pPr>
            <w:r>
              <w:rPr>
                <w:b w:val="0"/>
                <w:i w:val="0"/>
                <w:sz w:val="18"/>
              </w:rPr>
              <w:t>Rose &amp; Vaughan</w:t>
            </w:r>
          </w:p>
        </w:tc>
        <w:tc>
          <w:tcPr>
            <w:tcW w:type="dxa" w:w="4738"/>
          </w:tcPr>
          <w:p>
            <w:pPr>
              <w:spacing w:before="20" w:after="20"/>
            </w:pPr>
            <w:r>
              <w:rPr>
                <w:b w:val="0"/>
                <w:i w:val="0"/>
                <w:sz w:val="18"/>
              </w:rPr>
              <w:t>685 BCE Venus stabilization</w:t>
            </w:r>
          </w:p>
        </w:tc>
      </w:tr>
    </w:tbl>
    <w:p/>
    <w:p>
      <w:r>
        <w:rPr>
          <w:b w:val="0"/>
          <w:i w:val="0"/>
        </w:rPr>
      </w:r>
      <w:r>
        <w:rPr>
          <w:b/>
          <w:i w:val="0"/>
        </w:rPr>
        <w:t>Key Works:</w:t>
      </w:r>
      <w:r>
        <w:rPr>
          <w:b w:val="0"/>
          <w:i w:val="0"/>
        </w:rPr>
        <w:t xml:space="preserve"> </w:t>
      </w:r>
      <w:hyperlink r:id="rId133">
        <w:r>
          <w:rPr>
            <w:b w:val="0"/>
            <w:i w:val="0"/>
            <w:color w:val="B8860B"/>
          </w:rPr>
          <w:t>saturniancosmology.org</w:t>
        </w:r>
      </w:hyperlink>
      <w:r>
        <w:rPr>
          <w:b w:val="0"/>
          <w:i w:val="0"/>
        </w:rPr>
        <w:t xml:space="preserve"> (ongoing, rev. 42.42)</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p>
    <w:p>
      <w:pPr>
        <w:pStyle w:val="ListBullet"/>
        <w:spacing w:before="20" w:after="20"/>
      </w:pPr>
      <w:hyperlink r:id="rId107">
        <w:r>
          <w:rPr>
            <w:b w:val="0"/>
            <w:i w:val="0"/>
            <w:color w:val="B8860B"/>
            <w:sz w:val="19"/>
          </w:rPr>
          <w:t>Wal Thornhill</w:t>
        </w:r>
      </w:hyperlink>
    </w:p>
    <w:p>
      <w:pPr>
        <w:pStyle w:val="ListBullet"/>
        <w:spacing w:before="20" w:after="20"/>
      </w:pPr>
      <w:hyperlink r:id="rId123">
        <w:r>
          <w:rPr>
            <w:b w:val="0"/>
            <w:i w:val="0"/>
            <w:color w:val="B8860B"/>
            <w:sz w:val="19"/>
          </w:rPr>
          <w:t>Lynn Rose &amp; Raymond Vaughan</w:t>
        </w:r>
      </w:hyperlink>
    </w:p>
    <w:p/>
    <w:p>
      <w:pPr>
        <w:jc w:val="center"/>
      </w:pPr>
      <w:r>
        <w:rPr>
          <w:color w:val="B8860B"/>
          <w:sz w:val="24"/>
        </w:rPr>
        <w:t>— ✦ —</w:t>
      </w:r>
    </w:p>
    <w:p>
      <w:r>
        <w:rPr>
          <w:b w:val="0"/>
          <w:i w:val="0"/>
        </w:rPr>
      </w:r>
      <w:r>
        <w:rPr>
          <w:b/>
          <w:i w:val="0"/>
        </w:rPr>
        <w:t>American</w:t>
      </w:r>
      <w:r>
        <w:rPr>
          <w:b w:val="0"/>
          <w:i w:val="0"/>
        </w:rPr>
        <w:t xml:space="preserve"> | </w:t>
      </w:r>
      <w:r>
        <w:rPr>
          <w:b/>
          <w:i w:val="0"/>
        </w:rPr>
        <w:t>Political science, catastrophism, quantavolution</w:t>
      </w:r>
      <w:r>
        <w:rPr>
          <w:b w:val="0"/>
          <w:i w:val="0"/>
        </w:rPr>
      </w:r>
    </w:p>
    <w:p>
      <w:r>
        <w:rPr>
          <w:b w:val="0"/>
          <w:i w:val="0"/>
        </w:rPr>
        <w:t xml:space="preserve">De Grazia coined "quantavolution" to describe sudden, catastrophic change as the driver of geological and human history — as opposed to uniformitarian gradualism. A close associate of Velikovsky and the principal systematizer of the catastrophist intellectual project, he produced the 15-volume </w:t>
      </w:r>
      <w:r>
        <w:rPr>
          <w:b w:val="0"/>
          <w:i/>
        </w:rPr>
        <w:t>Quantavolution &amp; Catastrophe</w:t>
      </w:r>
      <w:r>
        <w:rPr>
          <w:b w:val="0"/>
          <w:i w:val="0"/>
        </w:rPr>
        <w:t xml:space="preserve"> series covering cosmology, Earth science, myth, psychology, and history from a unified catastrophist perspective. He co-authored </w:t>
      </w:r>
      <w:r>
        <w:rPr>
          <w:b w:val="0"/>
          <w:i/>
        </w:rPr>
        <w:t>The Velikovsky Affair</w:t>
      </w:r>
      <w:r>
        <w:rPr>
          <w:b w:val="0"/>
          <w:i w:val="0"/>
        </w:rPr>
        <w:t xml:space="preserve"> (1966) with Juergens and Stecchini, the foundational documentation of Velikovsky's institutional suppression. His </w:t>
      </w:r>
      <w:r>
        <w:rPr>
          <w:b w:val="0"/>
          <w:i/>
        </w:rPr>
        <w:t>Cosmic Heretics</w:t>
      </w:r>
      <w:r>
        <w:rPr>
          <w:b w:val="0"/>
          <w:i w:val="0"/>
        </w:rPr>
        <w:t xml:space="preserve"> (1984) is the insider memoir of the catastrophist movement. Cook credits his </w:t>
      </w:r>
      <w:r>
        <w:rPr>
          <w:b w:val="0"/>
          <w:i/>
        </w:rPr>
        <w:t>Iron Age of Mars</w:t>
      </w:r>
      <w:r>
        <w:rPr>
          <w:b w:val="0"/>
          <w:i w:val="0"/>
        </w:rPr>
        <w:t xml:space="preserve"> as the "most noteworthy resource" for that era.</w:t>
      </w:r>
    </w:p>
    <w:p>
      <w:r>
        <w:rPr>
          <w:b w:val="0"/>
          <w:i w:val="0"/>
        </w:rPr>
      </w:r>
      <w:r>
        <w:rPr>
          <w:b/>
          <w:i w:val="0"/>
        </w:rPr>
        <w:t>Key Works:</w:t>
      </w:r>
      <w:r>
        <w:rPr>
          <w:b w:val="0"/>
          <w:i w:val="0"/>
        </w:rPr>
        <w:t xml:space="preserve"> </w:t>
      </w:r>
      <w:r>
        <w:rPr>
          <w:b w:val="0"/>
          <w:i/>
        </w:rPr>
        <w:t>Quantavolution &amp; Catastrophe</w:t>
      </w:r>
      <w:r>
        <w:rPr>
          <w:b w:val="0"/>
          <w:i w:val="0"/>
        </w:rPr>
        <w:t xml:space="preserve"> series (15 vols); </w:t>
      </w:r>
      <w:r>
        <w:rPr>
          <w:b w:val="0"/>
          <w:i/>
        </w:rPr>
        <w:t>The Velikovsky Affair</w:t>
      </w:r>
      <w:r>
        <w:rPr>
          <w:b w:val="0"/>
          <w:i w:val="0"/>
        </w:rPr>
        <w:t xml:space="preserve"> (1966); </w:t>
      </w:r>
      <w:r>
        <w:rPr>
          <w:b w:val="0"/>
          <w:i/>
        </w:rPr>
        <w:t>Cosmic Heretics</w:t>
      </w:r>
      <w:r>
        <w:rPr>
          <w:b w:val="0"/>
          <w:i w:val="0"/>
        </w:rPr>
        <w:t xml:space="preserve"> (1984)</w:t>
      </w:r>
    </w:p>
    <w:p>
      <w:r>
        <w:rPr>
          <w:b w:val="0"/>
          <w:i w:val="0"/>
        </w:rPr>
      </w:r>
      <w:r>
        <w:rPr>
          <w:b/>
          <w:i w:val="0"/>
        </w:rPr>
        <w:t>Primary resource:</w:t>
      </w:r>
      <w:r>
        <w:rPr>
          <w:b w:val="0"/>
          <w:i w:val="0"/>
        </w:rPr>
        <w:t xml:space="preserve"> </w:t>
      </w:r>
      <w:hyperlink r:id="rId134">
        <w:r>
          <w:rPr>
            <w:b w:val="0"/>
            <w:i w:val="0"/>
            <w:color w:val="B8860B"/>
          </w:rPr>
          <w:t>grazian-archive.com</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2">
        <w:r>
          <w:rPr>
            <w:b w:val="0"/>
            <w:i w:val="0"/>
            <w:color w:val="B8860B"/>
            <w:sz w:val="19"/>
          </w:rPr>
          <w:t>Livio Stecchini</w:t>
        </w:r>
      </w:hyperlink>
      <w:r>
        <w:rPr>
          <w:b w:val="0"/>
          <w:i w:val="0"/>
          <w:sz w:val="19"/>
        </w:rPr>
        <w:t xml:space="preserve"> — primary collaborator</w:t>
      </w:r>
    </w:p>
    <w:p>
      <w:pPr>
        <w:pStyle w:val="ListBullet"/>
        <w:spacing w:before="20" w:after="20"/>
      </w:pPr>
      <w:hyperlink r:id="rId108">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109">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American</w:t>
      </w:r>
      <w:r>
        <w:rPr>
          <w:b w:val="0"/>
          <w:i w:val="0"/>
        </w:rPr>
        <w:t xml:space="preserve"> | </w:t>
      </w:r>
      <w:r>
        <w:rPr>
          <w:b/>
          <w:i w:val="0"/>
        </w:rPr>
        <w:t>Electrical engineering, plasma astrophysics</w:t>
      </w:r>
      <w:r>
        <w:rPr>
          <w:b w:val="0"/>
          <w:i w:val="0"/>
        </w:rPr>
      </w:r>
    </w:p>
    <w:p>
      <w:r>
        <w:rPr>
          <w:b w:val="0"/>
          <w:i w:val="0"/>
        </w:rPr>
        <w:t>Scott is a retired professor of electrical engineering who applied engineering principles directly to astrophysical phenomena, producing the engineering-grade formalization of the Electric Universe plasma model. He formalized the three modes of plasma discharge (dark, glow, arc), built Juergens's electric sun into rigorous engineering analysis with calculated current flows and voltage potentials, and argued that galaxies are organized along Birkeland current filaments. Cook lists him alongside Thornhill as essential for understanding the plasma physics of the polar configuration.</w:t>
      </w:r>
    </w:p>
    <w:p>
      <w:r>
        <w:rPr>
          <w:b w:val="0"/>
          <w:i w:val="0"/>
        </w:rPr>
      </w:r>
      <w:r>
        <w:rPr>
          <w:b/>
          <w:i w:val="0"/>
        </w:rPr>
        <w:t>Key Works:</w:t>
      </w:r>
      <w:r>
        <w:rPr>
          <w:b w:val="0"/>
          <w:i w:val="0"/>
        </w:rPr>
        <w:t xml:space="preserve"> </w:t>
      </w:r>
      <w:r>
        <w:rPr>
          <w:b w:val="0"/>
          <w:i/>
        </w:rPr>
        <w:t>The Electric Sky</w:t>
      </w:r>
      <w:r>
        <w:rPr>
          <w:b w:val="0"/>
          <w:i w:val="0"/>
        </w:rPr>
        <w:t xml:space="preserve"> (2006)</w:t>
      </w:r>
    </w:p>
    <w:p>
      <w:r>
        <w:rPr>
          <w:b w:val="0"/>
          <w:i w:val="0"/>
        </w:rPr>
      </w:r>
      <w:r>
        <w:rPr>
          <w:b/>
          <w:i w:val="0"/>
        </w:rPr>
        <w:t>Primary resource:</w:t>
      </w:r>
      <w:r>
        <w:rPr>
          <w:b w:val="0"/>
          <w:i w:val="0"/>
        </w:rPr>
        <w:t xml:space="preserve"> </w:t>
      </w:r>
      <w:hyperlink r:id="rId135">
        <w:r>
          <w:rPr>
            <w:b w:val="0"/>
            <w:i w:val="0"/>
            <w:color w:val="B8860B"/>
          </w:rPr>
          <w:t>electric-cosmos.org</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08">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107">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American</w:t>
      </w:r>
      <w:r>
        <w:rPr>
          <w:b w:val="0"/>
          <w:i w:val="0"/>
        </w:rPr>
        <w:t xml:space="preserve"> | </w:t>
      </w:r>
      <w:r>
        <w:rPr>
          <w:b/>
          <w:i w:val="0"/>
        </w:rPr>
        <w:t>Independent scholarship, comparative mythology</w:t>
      </w:r>
      <w:r>
        <w:rPr>
          <w:b w:val="0"/>
          <w:i w:val="0"/>
        </w:rPr>
      </w:r>
    </w:p>
    <w:p>
      <w:r>
        <w:rPr>
          <w:b w:val="0"/>
          <w:i w:val="0"/>
        </w:rPr>
        <w:t xml:space="preserve">Cochrane is editor of the journal </w:t>
      </w:r>
      <w:r>
        <w:rPr>
          <w:b w:val="0"/>
          <w:i/>
        </w:rPr>
        <w:t>AEON</w:t>
      </w:r>
      <w:r>
        <w:rPr>
          <w:b w:val="0"/>
          <w:i w:val="0"/>
        </w:rPr>
        <w:t xml:space="preserve"> and the leading systematic analyst of Mars and Venus mythology as catastrophist record. He documented the cross-cultural universal depiction of Venus as a multi-armed, star-like warrior goddess (</w:t>
      </w:r>
      <w:r>
        <w:rPr>
          <w:b w:val="0"/>
          <w:i/>
        </w:rPr>
        <w:t>Inanna</w:t>
      </w:r>
      <w:r>
        <w:rPr>
          <w:b w:val="0"/>
          <w:i w:val="0"/>
        </w:rPr>
        <w:t xml:space="preserve">, </w:t>
      </w:r>
      <w:r>
        <w:rPr>
          <w:b w:val="0"/>
          <w:i/>
        </w:rPr>
        <w:t>Ishtar</w:t>
      </w:r>
      <w:r>
        <w:rPr>
          <w:b w:val="0"/>
          <w:i w:val="0"/>
        </w:rPr>
        <w:t xml:space="preserve">, </w:t>
      </w:r>
      <w:r>
        <w:rPr>
          <w:b w:val="0"/>
          <w:i/>
        </w:rPr>
        <w:t>Athena</w:t>
      </w:r>
      <w:r>
        <w:rPr>
          <w:b w:val="0"/>
          <w:i w:val="0"/>
        </w:rPr>
        <w:t xml:space="preserve">, </w:t>
      </w:r>
      <w:r>
        <w:rPr>
          <w:b w:val="0"/>
          <w:i/>
        </w:rPr>
        <w:t>Quetzalcoatl</w:t>
      </w:r>
      <w:r>
        <w:rPr>
          <w:b w:val="0"/>
          <w:i w:val="0"/>
        </w:rPr>
        <w:t>) consistent with a plasma-discharge column at close approach, and argued that Mars myths (the warrior god, the dragon-slayer) recorded real near-Earth passes within the polar configuration. His methodology holds that if the same "impossible" celestial figure appears independently in 30+ cultures, it was observed — not imagined. His work corroborates Velikovsky's Venus comet claim with mythological evidence Velikovsky himself never assembled.</w:t>
      </w:r>
    </w:p>
    <w:p>
      <w:r>
        <w:rPr>
          <w:b w:val="0"/>
          <w:i w:val="0"/>
        </w:rPr>
      </w:r>
      <w:r>
        <w:rPr>
          <w:b/>
          <w:i w:val="0"/>
        </w:rPr>
        <w:t>Key Works:</w:t>
      </w:r>
      <w:r>
        <w:rPr>
          <w:b w:val="0"/>
          <w:i w:val="0"/>
        </w:rPr>
        <w:t xml:space="preserve"> </w:t>
      </w:r>
      <w:r>
        <w:rPr>
          <w:b w:val="0"/>
          <w:i/>
        </w:rPr>
        <w:t>The Many Faces of Venus</w:t>
      </w:r>
      <w:r>
        <w:rPr>
          <w:b w:val="0"/>
          <w:i w:val="0"/>
        </w:rPr>
        <w:t xml:space="preserve"> (1997); </w:t>
      </w:r>
      <w:r>
        <w:rPr>
          <w:b w:val="0"/>
          <w:i/>
        </w:rPr>
        <w:t>Martian Metamorphoses</w:t>
      </w:r>
      <w:r>
        <w:rPr>
          <w:b w:val="0"/>
          <w:i w:val="0"/>
        </w:rPr>
        <w:t xml:space="preserve"> (1997); </w:t>
      </w:r>
      <w:r>
        <w:rPr>
          <w:b w:val="0"/>
          <w:i/>
        </w:rPr>
        <w:t>Stairway to Heaven</w:t>
      </w:r>
      <w:r>
        <w:rPr>
          <w:b w:val="0"/>
          <w:i w:val="0"/>
        </w:rPr>
        <w:t xml:space="preserve"> (1999)</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r>
        <w:rPr>
          <w:b w:val="0"/>
          <w:i w:val="0"/>
          <w:sz w:val="19"/>
        </w:rPr>
        <w:t xml:space="preserve"> — polar configuration framework</w:t>
      </w:r>
    </w:p>
    <w:p>
      <w:pPr>
        <w:pStyle w:val="ListBullet"/>
        <w:spacing w:before="20" w:after="20"/>
      </w:pPr>
      <w:hyperlink r:id="rId120">
        <w:r>
          <w:rPr>
            <w:b w:val="0"/>
            <w:i w:val="0"/>
            <w:color w:val="B8860B"/>
            <w:sz w:val="19"/>
          </w:rPr>
          <w:t>Dwardu Cardona</w:t>
        </w:r>
      </w:hyperlink>
      <w:r>
        <w:rPr>
          <w:b w:val="0"/>
          <w:i w:val="0"/>
          <w:sz w:val="19"/>
        </w:rPr>
        <w:t xml:space="preserve"> — parallel detailed mythology work</w:t>
      </w:r>
    </w:p>
    <w:p>
      <w:pPr>
        <w:pStyle w:val="ListBullet"/>
        <w:spacing w:before="20" w:after="20"/>
      </w:pPr>
      <w:hyperlink r:id="rId109">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 | </w:t>
      </w:r>
      <w:r>
        <w:rPr>
          <w:b/>
          <w:i w:val="0"/>
        </w:rPr>
        <w:t>Hertha von Dechend (1915–2001):</w:t>
      </w:r>
      <w:r>
        <w:rPr>
          <w:b w:val="0"/>
          <w:i w:val="0"/>
        </w:rPr>
        <w:t xml:space="preserve"> University of Frankfurt</w:t>
      </w:r>
    </w:p>
    <w:p>
      <w:r>
        <w:rPr>
          <w:b w:val="0"/>
          <w:i w:val="0"/>
        </w:rPr>
      </w:r>
      <w:r>
        <w:rPr>
          <w:b/>
          <w:i w:val="0"/>
        </w:rPr>
        <w:t>Fields:</w:t>
      </w:r>
      <w:r>
        <w:rPr>
          <w:b w:val="0"/>
          <w:i w:val="0"/>
        </w:rPr>
        <w:t xml:space="preserve"> History of science, comparative mythology, archaeoastronomy</w:t>
      </w:r>
    </w:p>
    <w:p>
      <w:r>
        <w:rPr>
          <w:b w:val="0"/>
          <w:i w:val="0"/>
        </w:rPr>
        <w:t xml:space="preserve">Their 1969 </w:t>
      </w:r>
      <w:r>
        <w:rPr>
          <w:b w:val="0"/>
          <w:i/>
        </w:rPr>
        <w:t>Hamlet's Mill</w:t>
      </w:r>
      <w:r>
        <w:rPr>
          <w:b w:val="0"/>
          <w:i w:val="0"/>
        </w:rPr>
        <w:t xml:space="preserve"> demonstrated that ancient myth encodes precise astronomical observation — specifically the precession of the equinoxes. The worldwide "mill" metaphor (Hamlet's mill, the Norse Grotti, the Hindu churning of the ocean) is a cross-cultural image for the precessing celestial pole, not a harvest metaphor or psychological archetype. By proving that myth reliably encodes real astronomical observation, </w:t>
      </w:r>
      <w:r>
        <w:rPr>
          <w:b w:val="0"/>
          <w:i/>
        </w:rPr>
        <w:t>Hamlet's Mill</w:t>
      </w:r>
      <w:r>
        <w:rPr>
          <w:b w:val="0"/>
          <w:i w:val="0"/>
        </w:rPr>
        <w:t xml:space="preserve"> is the keystone work that legitimized reading ancient myth as literal celestial record — the methodological foundation on which Talbott's Saturn myth reconstruction and this entire timeline depend. Without de Santillana/von Dechend, the mythological evidence driving the earliest chapters could be dismissed as folklore.</w:t>
      </w:r>
    </w:p>
    <w:p>
      <w:r>
        <w:rPr>
          <w:b w:val="0"/>
          <w:i w:val="0"/>
        </w:rPr>
      </w:r>
      <w:r>
        <w:rPr>
          <w:b/>
          <w:i w:val="0"/>
        </w:rPr>
        <w:t>Key Works:</w:t>
      </w:r>
      <w:r>
        <w:rPr>
          <w:b w:val="0"/>
          <w:i w:val="0"/>
        </w:rPr>
        <w:t xml:space="preserve"> </w:t>
      </w:r>
      <w:r>
        <w:rPr>
          <w:b w:val="0"/>
          <w:i/>
        </w:rPr>
        <w:t>Hamlet's Mill: An Essay Investigating the Origins of Human Knowledge and Its Transmission Through Myth</w:t>
      </w:r>
      <w:r>
        <w:rPr>
          <w:b w:val="0"/>
          <w:i w:val="0"/>
        </w:rPr>
        <w:t xml:space="preserve"> (1969)</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r>
        <w:rPr>
          <w:b w:val="0"/>
          <w:i w:val="0"/>
          <w:sz w:val="19"/>
        </w:rPr>
        <w:t xml:space="preserve"> — directly built on this work</w:t>
      </w:r>
    </w:p>
    <w:p>
      <w:pPr>
        <w:pStyle w:val="ListBullet"/>
        <w:spacing w:before="20" w:after="20"/>
      </w:pPr>
      <w:hyperlink r:id="rId113">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pPr>
      <w:r>
        <w:t>See Also</w:t>
      </w:r>
    </w:p>
    <w:p>
      <w:pPr>
        <w:pStyle w:val="ListBullet"/>
        <w:spacing w:before="20" w:after="20"/>
      </w:pPr>
      <w:hyperlink r:id="rId136">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104">
        <w:r>
          <w:rPr>
            <w:b w:val="0"/>
            <w:i w:val="0"/>
            <w:color w:val="B8860B"/>
            <w:sz w:val="19"/>
          </w:rPr>
          <w:t>Authors Challenging the Mainstream Timeline</w:t>
        </w:r>
      </w:hyperlink>
    </w:p>
    <w:p>
      <w:pPr>
        <w:pStyle w:val="ListBullet"/>
        <w:spacing w:before="20" w:after="20"/>
      </w:pPr>
      <w:hyperlink r:id="rId110">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119">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37">
        <w:r>
          <w:rPr>
            <w:b w:val="0"/>
            <w:i w:val="0"/>
            <w:color w:val="B8860B"/>
          </w:rPr>
          <w:t>q-mag.org</w:t>
        </w:r>
      </w:hyperlink>
    </w:p>
    <w:p>
      <w:pPr>
        <w:pStyle w:val="Heading3"/>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w:t>
      </w:r>
      <w:hyperlink r:id="rId105">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18">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110">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116">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113">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8">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109">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4">
        <w:r>
          <w:rPr>
            <w:b w:val="0"/>
            <w:i w:val="0"/>
            <w:color w:val="B8860B"/>
            <w:sz w:val="19"/>
          </w:rPr>
          <w:t>Alfred de Grazia</w:t>
        </w:r>
      </w:hyperlink>
      <w:r>
        <w:rPr>
          <w:b w:val="0"/>
          <w:i w:val="0"/>
          <w:sz w:val="19"/>
        </w:rPr>
        <w:t xml:space="preserve"> — primary collaborator</w:t>
      </w:r>
    </w:p>
    <w:p>
      <w:pPr>
        <w:pStyle w:val="ListBullet"/>
        <w:spacing w:before="20" w:after="20"/>
      </w:pPr>
      <w:hyperlink r:id="rId108">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123">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2">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113">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109">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38">
        <w:r>
          <w:rPr>
            <w:b w:val="0"/>
            <w:i w:val="0"/>
            <w:color w:val="B8860B"/>
          </w:rPr>
          <w:t>metaresearch.org</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21">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114">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31">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12">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111">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pPr>
      <w:r>
        <w:t>See Also</w:t>
      </w:r>
    </w:p>
    <w:p>
      <w:pPr>
        <w:pStyle w:val="ListBullet"/>
        <w:spacing w:before="20" w:after="20"/>
      </w:pPr>
      <w:hyperlink r:id="rId105">
        <w:r>
          <w:rPr>
            <w:b w:val="0"/>
            <w:i w:val="0"/>
            <w:color w:val="B8860B"/>
            <w:sz w:val="19"/>
          </w:rPr>
          <w:t>Authors Who Read Ancient Sources as World Cataclysm</w:t>
        </w:r>
      </w:hyperlink>
    </w:p>
    <w:p>
      <w:pPr>
        <w:pStyle w:val="ListBullet"/>
        <w:spacing w:before="20" w:after="20"/>
      </w:pPr>
      <w:hyperlink r:id="rId109">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114">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w:t>
      </w:r>
      <w:hyperlink r:id="rId105">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28">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121">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107">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w:t>
      </w:r>
      <w:hyperlink r:id="rId105">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27">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121">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129">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104">
        <w:r>
          <w:rPr>
            <w:b w:val="0"/>
            <w:i w:val="0"/>
            <w:color w:val="B8860B"/>
            <w:sz w:val="19"/>
          </w:rPr>
          <w:t>Authors Challenging the Mainstream Timeline</w:t>
        </w:r>
      </w:hyperlink>
    </w:p>
    <w:p>
      <w:pPr>
        <w:pStyle w:val="ListBullet"/>
        <w:spacing w:before="20" w:after="20"/>
      </w:pPr>
      <w:r>
        <w:rPr>
          <w:b w:val="0"/>
          <w:i w:val="0"/>
          <w:sz w:val="19"/>
        </w:rPr>
        <w:t xml:space="preserve">→ </w:t>
      </w:r>
      <w:hyperlink r:id="rId105">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28">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127">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39">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40">
        <w:r>
          <w:rPr>
            <w:b w:val="0"/>
            <w:i w:val="0"/>
            <w:color w:val="B8860B"/>
          </w:rPr>
          <w:t>companion article</w:t>
        </w:r>
      </w:hyperlink>
      <w:r>
        <w:rPr>
          <w:b w:val="0"/>
          <w:i w:val="0"/>
        </w:rPr>
        <w:t xml:space="preserve"> for the full analysis.</w:t>
      </w:r>
    </w:p>
    <w:p>
      <w:pPr>
        <w:pBdr>
          <w:bottom w:val="single" w:sz="6" w:space="1" w:color="CCCCCC"/>
        </w:pBdr>
      </w:pPr>
    </w:p>
    <w:p>
      <w:pPr>
        <w:pStyle w:val="Heading3"/>
      </w:pPr>
      <w:r>
        <w:t>See Also</w:t>
      </w:r>
    </w:p>
    <w:p>
      <w:pPr>
        <w:pStyle w:val="ListBullet"/>
        <w:spacing w:before="20" w:after="20"/>
      </w:pPr>
      <w:hyperlink r:id="rId140">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39">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0">
        <w:r>
          <w:rPr>
            <w:b w:val="0"/>
            <w:i w:val="0"/>
            <w:color w:val="B8860B"/>
            <w:sz w:val="19"/>
          </w:rPr>
          <w:t>Suppressed Energy Technology: A Cross-Reference</w:t>
        </w:r>
      </w:hyperlink>
      <w:r>
        <w:rPr>
          <w:b w:val="0"/>
          <w:i w:val="0"/>
          <w:sz w:val="19"/>
        </w:rPr>
        <w:t xml:space="preserve"> — appendix mapping all suppressed energy threads</w:t>
      </w:r>
    </w:p>
    <w:p/>
    <w:p>
      <w:pPr>
        <w:sectPr>
          <w:headerReference w:type="default" r:id="rId102"/>
          <w:footerReference w:type="default" r:id="rId103"/>
          <w:pgSz w:w="8640" w:h="12960"/>
          <w:pgMar w:top="1020" w:right="1134" w:bottom="1134" w:left="1134" w:header="720" w:footer="720" w:gutter="0"/>
          <w:cols w:space="720"/>
          <w:titlePg/>
          <w:docGrid w:linePitch="360"/>
        </w:sectPr>
      </w:pPr>
    </w:p>
    <w:p>
      <w:pPr>
        <w:pStyle w:val="Heading2"/>
      </w:pPr>
      <w:r>
        <w:rPr>
          <w:b/>
        </w:rPr>
        <w:t>Chapter 8: Suppressed Energy Technology: A Cross-Reference</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2"/>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3"/>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2"/>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2"/>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39">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143">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143">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144">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145">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93">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146">
              <w:r>
                <w:rPr>
                  <w:b w:val="0"/>
                  <w:i w:val="0"/>
                  <w:color w:val="B8860B"/>
                  <w:sz w:val="18"/>
                </w:rPr>
                <w:t>Nuclear Energy &amp; the Bomb</w:t>
              </w:r>
            </w:hyperlink>
          </w:p>
        </w:tc>
      </w:tr>
    </w:tbl>
    <w:p/>
    <w:p>
      <w:pPr>
        <w:pBdr>
          <w:bottom w:val="single" w:sz="6" w:space="1" w:color="CCCCCC"/>
        </w:pBdr>
      </w:pPr>
    </w:p>
    <w:p>
      <w:pPr>
        <w:pStyle w:val="Heading2"/>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147">
        <w:r>
          <w:rPr>
            <w:b w:val="0"/>
            <w:i w:val="0"/>
            <w:color w:val="B8860B"/>
            <w:sz w:val="19"/>
          </w:rPr>
          <w:t>Weather Modification Investigation</w:t>
        </w:r>
      </w:hyperlink>
    </w:p>
    <w:p>
      <w:pPr>
        <w:pBdr>
          <w:bottom w:val="single" w:sz="6" w:space="1" w:color="CCCCCC"/>
        </w:pBdr>
      </w:pPr>
    </w:p>
    <w:p>
      <w:pPr>
        <w:pStyle w:val="Heading2"/>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148">
        <w:r>
          <w:rPr>
            <w:b w:val="0"/>
            <w:i w:val="0"/>
            <w:color w:val="B8860B"/>
            <w:sz w:val="19"/>
          </w:rPr>
          <w:t>Havana Syndrome Investigation</w:t>
        </w:r>
      </w:hyperlink>
    </w:p>
    <w:p>
      <w:pPr>
        <w:pBdr>
          <w:bottom w:val="single" w:sz="6" w:space="1" w:color="CCCCCC"/>
        </w:pBdr>
      </w:pPr>
    </w:p>
    <w:p>
      <w:pPr>
        <w:pStyle w:val="Heading2"/>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The project's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149">
        <w:r>
          <w:rPr>
            <w:b w:val="0"/>
            <w:i w:val="0"/>
            <w:color w:val="B8860B"/>
            <w:sz w:val="19"/>
          </w:rPr>
          <w:t>CERN &amp; Portal Technology Investigation</w:t>
        </w:r>
      </w:hyperlink>
    </w:p>
    <w:p>
      <w:pPr>
        <w:pBdr>
          <w:bottom w:val="single" w:sz="6" w:space="1" w:color="CCCCCC"/>
        </w:pBdr>
      </w:pPr>
    </w:p>
    <w:p>
      <w:pPr>
        <w:pStyle w:val="Heading2"/>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2"/>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150">
        <w:r>
          <w:rPr>
            <w:b w:val="0"/>
            <w:i w:val="0"/>
            <w:color w:val="B8860B"/>
            <w:sz w:val="19"/>
          </w:rPr>
          <w:t>Remote Viewing as Aether Physics</w:t>
        </w:r>
      </w:hyperlink>
    </w:p>
    <w:p>
      <w:pPr>
        <w:pBdr>
          <w:bottom w:val="single" w:sz="6" w:space="1" w:color="CCCCCC"/>
        </w:pBdr>
      </w:pPr>
    </w:p>
    <w:p>
      <w:pPr>
        <w:pStyle w:val="Heading2"/>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151">
        <w:r>
          <w:rPr>
            <w:b w:val="0"/>
            <w:i w:val="0"/>
            <w:color w:val="B8860B"/>
            <w:sz w:val="19"/>
          </w:rPr>
          <w:t>Nuclear Weapons Investigation</w:t>
        </w:r>
      </w:hyperlink>
    </w:p>
    <w:p>
      <w:pPr>
        <w:pBdr>
          <w:bottom w:val="single" w:sz="6" w:space="1" w:color="CCCCCC"/>
        </w:pBdr>
      </w:pPr>
    </w:p>
    <w:p>
      <w:pPr>
        <w:pStyle w:val="Heading2"/>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2"/>
      </w:pPr>
      <w:r>
        <w:t>Cross-References</w:t>
      </w:r>
    </w:p>
    <w:p>
      <w:pPr>
        <w:pStyle w:val="ListBullet"/>
        <w:spacing w:before="20" w:after="20"/>
      </w:pPr>
      <w:hyperlink r:id="rId139">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43">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144">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145">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146">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93">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152">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49">
        <w:r>
          <w:rPr>
            <w:b w:val="0"/>
            <w:i w:val="0"/>
            <w:color w:val="B8860B"/>
            <w:sz w:val="19"/>
          </w:rPr>
          <w:t>Operation Mockingbird</w:t>
        </w:r>
      </w:hyperlink>
      <w:r>
        <w:rPr>
          <w:b w:val="0"/>
          <w:i w:val="0"/>
          <w:sz w:val="19"/>
        </w:rPr>
        <w:t xml:space="preserve"> — institutional narrative control</w:t>
      </w:r>
    </w:p>
    <w:p>
      <w:pPr>
        <w:pStyle w:val="Heading3"/>
      </w:pPr>
      <w:r>
        <w:t>Investigations</w:t>
      </w:r>
    </w:p>
    <w:p>
      <w:pPr>
        <w:pStyle w:val="ListBullet"/>
        <w:spacing w:before="20" w:after="20"/>
      </w:pPr>
      <w:hyperlink r:id="rId147">
        <w:r>
          <w:rPr>
            <w:b w:val="0"/>
            <w:i w:val="0"/>
            <w:color w:val="B8860B"/>
            <w:sz w:val="19"/>
          </w:rPr>
          <w:t>Weather Modification Investigation</w:t>
        </w:r>
      </w:hyperlink>
    </w:p>
    <w:p>
      <w:pPr>
        <w:pStyle w:val="ListBullet"/>
        <w:spacing w:before="20" w:after="20"/>
      </w:pPr>
      <w:hyperlink r:id="rId148">
        <w:r>
          <w:rPr>
            <w:b w:val="0"/>
            <w:i w:val="0"/>
            <w:color w:val="B8860B"/>
            <w:sz w:val="19"/>
          </w:rPr>
          <w:t>Havana Syndrome Investigation</w:t>
        </w:r>
      </w:hyperlink>
    </w:p>
    <w:p>
      <w:pPr>
        <w:pStyle w:val="ListBullet"/>
        <w:spacing w:before="20" w:after="20"/>
      </w:pPr>
      <w:hyperlink r:id="rId149">
        <w:r>
          <w:rPr>
            <w:b w:val="0"/>
            <w:i w:val="0"/>
            <w:color w:val="B8860B"/>
            <w:sz w:val="19"/>
          </w:rPr>
          <w:t>CERN &amp; Portal Technology</w:t>
        </w:r>
      </w:hyperlink>
    </w:p>
    <w:p>
      <w:pPr>
        <w:pStyle w:val="ListBullet"/>
        <w:spacing w:before="20" w:after="20"/>
      </w:pPr>
      <w:hyperlink r:id="rId153">
        <w:r>
          <w:rPr>
            <w:b w:val="0"/>
            <w:i w:val="0"/>
            <w:color w:val="B8860B"/>
            <w:sz w:val="19"/>
          </w:rPr>
          <w:t>The Burden of Proof: Aether Debate</w:t>
        </w:r>
      </w:hyperlink>
    </w:p>
    <w:p>
      <w:pPr>
        <w:pStyle w:val="ListBullet"/>
        <w:spacing w:before="20" w:after="20"/>
      </w:pPr>
      <w:hyperlink r:id="rId151">
        <w:r>
          <w:rPr>
            <w:b w:val="0"/>
            <w:i w:val="0"/>
            <w:color w:val="B8860B"/>
            <w:sz w:val="19"/>
          </w:rPr>
          <w:t>Nuclear Weapons Investigation</w:t>
        </w:r>
      </w:hyperlink>
    </w:p>
    <w:p>
      <w:pPr>
        <w:pStyle w:val="ListBullet"/>
        <w:spacing w:before="20" w:after="20"/>
      </w:pPr>
      <w:hyperlink r:id="rId150">
        <w:r>
          <w:rPr>
            <w:b w:val="0"/>
            <w:i w:val="0"/>
            <w:color w:val="B8860B"/>
            <w:sz w:val="19"/>
          </w:rPr>
          <w:t>Remote Viewing as Aether Physics</w:t>
        </w:r>
      </w:hyperlink>
    </w:p>
    <w:p>
      <w:pPr>
        <w:pStyle w:val="ListBullet"/>
        <w:spacing w:before="20" w:after="20"/>
      </w:pPr>
      <w:hyperlink r:id="rId154">
        <w:r>
          <w:rPr>
            <w:b w:val="0"/>
            <w:i w:val="0"/>
            <w:color w:val="B8860B"/>
            <w:sz w:val="19"/>
          </w:rPr>
          <w:t>SAFIRE Project Archive</w:t>
        </w:r>
      </w:hyperlink>
    </w:p>
    <w:p/>
    <w:p>
      <w:pPr>
        <w:sectPr>
          <w:headerReference w:type="default" r:id="rId141"/>
          <w:footerReference w:type="default" r:id="rId142"/>
          <w:pgSz w:w="8640" w:h="12960"/>
          <w:pgMar w:top="1020" w:right="1134" w:bottom="1134" w:left="1134" w:header="720" w:footer="720" w:gutter="0"/>
          <w:cols w:space="720"/>
          <w:titlePg/>
          <w:docGrid w:linePitch="360"/>
        </w:sectPr>
      </w:pPr>
    </w:p>
    <w:p>
      <w:pPr>
        <w:pStyle w:val="Heading2"/>
      </w:pPr>
      <w:r>
        <w:rPr>
          <w:b/>
        </w:rPr>
        <w:t>Chapter 9: Population Control: A Timeline (15th–21st Centuries)</w:t>
      </w:r>
    </w:p>
    <w:p>
      <w:r>
        <w:rPr>
          <w:b w:val="0"/>
          <w:i w:val="0"/>
        </w:rPr>
        <w:t xml:space="preserve">This appendix expands on </w:t>
      </w:r>
      <w:hyperlink r:id="rId48">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2"/>
      </w:pPr>
      <w:r>
        <w:t>15th Century: The First Man-Made Apocalypse</w:t>
      </w:r>
    </w:p>
    <w:p>
      <w:r>
        <w:rPr>
          <w:b w:val="0"/>
          <w:i w:val="0"/>
        </w:rPr>
      </w:r>
      <w:hyperlink r:id="rId157">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2"/>
      </w:pPr>
      <w:r>
        <w:t>17th Century: Predicted Apocalypse and Displacement</w:t>
      </w:r>
    </w:p>
    <w:p>
      <w:r>
        <w:rPr>
          <w:b w:val="0"/>
          <w:i w:val="0"/>
        </w:rPr>
      </w:r>
      <w:hyperlink r:id="rId158">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2"/>
      </w:pPr>
      <w:r>
        <w:t>19th–20th Century: Institutional Suppression</w:t>
      </w:r>
    </w:p>
    <w:p>
      <w:r>
        <w:rPr>
          <w:b w:val="0"/>
          <w:i w:val="0"/>
        </w:rPr>
      </w:r>
      <w:hyperlink r:id="rId140">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159">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2"/>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2"/>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2"/>
      </w:pPr>
      <w:r>
        <w:t>Cross-References</w:t>
      </w:r>
    </w:p>
    <w:p>
      <w:pPr>
        <w:pStyle w:val="ListBullet"/>
        <w:spacing w:before="20" w:after="20"/>
      </w:pPr>
      <w:hyperlink r:id="rId48">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157">
        <w:r>
          <w:rPr>
            <w:b w:val="0"/>
            <w:i w:val="0"/>
            <w:color w:val="B8860B"/>
            <w:sz w:val="19"/>
          </w:rPr>
          <w:t>The Apocalypse Crusade</w:t>
        </w:r>
      </w:hyperlink>
    </w:p>
    <w:p>
      <w:pPr>
        <w:pStyle w:val="ListBullet"/>
        <w:spacing w:before="20" w:after="20"/>
      </w:pPr>
      <w:hyperlink r:id="rId158">
        <w:r>
          <w:rPr>
            <w:b w:val="0"/>
            <w:i w:val="0"/>
            <w:color w:val="B8860B"/>
            <w:sz w:val="19"/>
          </w:rPr>
          <w:t>London Burns to the Ground</w:t>
        </w:r>
      </w:hyperlink>
    </w:p>
    <w:p>
      <w:pPr>
        <w:pStyle w:val="ListBullet"/>
        <w:spacing w:before="20" w:after="20"/>
      </w:pPr>
      <w:hyperlink r:id="rId140">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ectPr>
          <w:headerReference w:type="default" r:id="rId155"/>
          <w:footerReference w:type="default" r:id="rId156"/>
          <w:pgSz w:w="8640" w:h="12960"/>
          <w:pgMar w:top="1020" w:right="1134" w:bottom="1134" w:left="1134" w:header="720" w:footer="720" w:gutter="0"/>
          <w:cols w:space="720"/>
          <w:titlePg/>
          <w:docGrid w:linePitch="360"/>
        </w:sectPr>
      </w:pPr>
    </w:p>
    <w:p>
      <w:pPr>
        <w:pStyle w:val="Heading2"/>
      </w:pPr>
      <w:r>
        <w:rPr>
          <w:b/>
        </w:rPr>
        <w:t>Chapter 10: Orphan Trains, Trail of Tears, Siberian Exile — Extended Evidence</w:t>
      </w:r>
    </w:p>
    <w:p>
      <w:r>
        <w:rPr>
          <w:b w:val="0"/>
          <w:i w:val="0"/>
        </w:rPr>
        <w:t xml:space="preserve">This appendix extends </w:t>
      </w:r>
      <w:hyperlink r:id="rId162">
        <w:r>
          <w:rPr>
            <w:b w:val="0"/>
            <w:i w:val="0"/>
            <w:color w:val="B8860B"/>
          </w:rPr>
          <w:t>The Trail of Tears: A Century-Long Erasure (1758–1839+)</w:t>
        </w:r>
      </w:hyperlink>
      <w:r>
        <w:rPr>
          <w:b w:val="0"/>
          <w:i w:val="0"/>
        </w:rPr>
        <w:t xml:space="preserve"> and </w:t>
      </w:r>
      <w:hyperlink r:id="rId159">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57">
        <w:r>
          <w:rPr>
            <w:b w:val="0"/>
            <w:i w:val="0"/>
            <w:color w:val="B8860B"/>
          </w:rPr>
          <w:t>MudFlood Energetic Event</w:t>
        </w:r>
      </w:hyperlink>
      <w:r>
        <w:rPr>
          <w:b w:val="0"/>
          <w:i w:val="0"/>
        </w:rPr>
        <w:t xml:space="preserve"> (~1774) — </w:t>
      </w:r>
      <w:r>
        <w:rPr>
          <w:b/>
          <w:i w:val="0"/>
        </w:rPr>
        <w:t xml:space="preserve">see the primary article: </w:t>
      </w:r>
      <w:hyperlink r:id="rId162">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159">
        <w:r>
          <w:rPr>
            <w:b w:val="0"/>
            <w:i w:val="0"/>
            <w:color w:val="B8860B"/>
          </w:rPr>
          <w:t>Orphan Trains, Trail of Tears, and Exile to Siberia</w:t>
        </w:r>
      </w:hyperlink>
      <w:r>
        <w:rPr>
          <w:b w:val="0"/>
          <w:i w:val="0"/>
        </w:rPr>
        <w:t>.</w:t>
      </w:r>
    </w:p>
    <w:p>
      <w:pPr>
        <w:pBdr>
          <w:bottom w:val="single" w:sz="6" w:space="1" w:color="CCCCCC"/>
        </w:pBdr>
      </w:pPr>
    </w:p>
    <w:p>
      <w:pPr>
        <w:pStyle w:val="Heading2"/>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2"/>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2"/>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57">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2"/>
      </w:pPr>
      <w:r>
        <w:t>See Also</w:t>
      </w:r>
    </w:p>
    <w:p>
      <w:pPr>
        <w:pStyle w:val="ListBullet"/>
        <w:spacing w:before="20" w:after="20"/>
      </w:pPr>
      <w:hyperlink r:id="rId162">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159">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54">
        <w:r>
          <w:rPr>
            <w:b w:val="0"/>
            <w:i w:val="0"/>
            <w:color w:val="B8860B"/>
            <w:sz w:val="19"/>
          </w:rPr>
          <w:t>Pugachev Rebellion</w:t>
        </w:r>
      </w:hyperlink>
      <w:r>
        <w:rPr>
          <w:b w:val="0"/>
          <w:i w:val="0"/>
          <w:sz w:val="19"/>
        </w:rPr>
        <w:t xml:space="preserve"> | </w:t>
      </w:r>
      <w:hyperlink r:id="rId57">
        <w:r>
          <w:rPr>
            <w:b w:val="0"/>
            <w:i w:val="0"/>
            <w:color w:val="B8860B"/>
            <w:sz w:val="19"/>
          </w:rPr>
          <w:t>MudFlood</w:t>
        </w:r>
      </w:hyperlink>
    </w:p>
    <w:p>
      <w:pPr>
        <w:pStyle w:val="ListBullet"/>
        <w:spacing w:before="20" w:after="20"/>
      </w:pPr>
      <w:hyperlink r:id="rId163">
        <w:r>
          <w:rPr>
            <w:b w:val="0"/>
            <w:i w:val="0"/>
            <w:color w:val="B8860B"/>
            <w:sz w:val="19"/>
          </w:rPr>
          <w:t>Orphan Trains Investigation</w:t>
        </w:r>
      </w:hyperlink>
    </w:p>
    <w:p/>
    <w:p>
      <w:pPr>
        <w:sectPr>
          <w:headerReference w:type="default" r:id="rId160"/>
          <w:footerReference w:type="default" r:id="rId161"/>
          <w:pgSz w:w="8640" w:h="12960"/>
          <w:pgMar w:top="1020" w:right="1134" w:bottom="1134" w:left="1134" w:header="720" w:footer="720" w:gutter="0"/>
          <w:cols w:space="720"/>
          <w:titlePg/>
          <w:docGrid w:linePitch="360"/>
        </w:sectPr>
      </w:pPr>
    </w:p>
    <w:p>
      <w:pPr>
        <w:pStyle w:val="Heading2"/>
      </w:pPr>
      <w:r>
        <w:rPr>
          <w:b/>
        </w:rPr>
        <w:t>Chapter 11: Napoleonic Wars and 1812 — Extended Evidence</w:t>
      </w:r>
    </w:p>
    <w:p>
      <w:r>
        <w:rPr>
          <w:b w:val="0"/>
          <w:i w:val="0"/>
        </w:rPr>
        <w:t xml:space="preserve">This appendix extends </w:t>
      </w:r>
      <w:hyperlink r:id="rId166">
        <w:r>
          <w:rPr>
            <w:b w:val="0"/>
            <w:i w:val="0"/>
            <w:color w:val="B8860B"/>
          </w:rPr>
          <w:t>Napoleonic Wars</w:t>
        </w:r>
      </w:hyperlink>
      <w:r>
        <w:rPr>
          <w:b w:val="0"/>
          <w:i w:val="0"/>
        </w:rPr>
        <w:t xml:space="preserve"> and </w:t>
      </w:r>
      <w:hyperlink r:id="rId59">
        <w:r>
          <w:rPr>
            <w:b w:val="0"/>
            <w:i w:val="0"/>
            <w:color w:val="B8860B"/>
          </w:rPr>
          <w:t>Aftermath of 1812</w:t>
        </w:r>
      </w:hyperlink>
      <w:r>
        <w:rPr>
          <w:b w:val="0"/>
          <w:i w:val="0"/>
        </w:rPr>
        <w:t>.</w:t>
      </w:r>
    </w:p>
    <w:p>
      <w:pPr>
        <w:pBdr>
          <w:bottom w:val="single" w:sz="6" w:space="1" w:color="CCCCCC"/>
        </w:pBdr>
      </w:pPr>
    </w:p>
    <w:p>
      <w:pPr>
        <w:pStyle w:val="Heading2"/>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167">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2"/>
      </w:pPr>
      <w:r>
        <w:t>Napoleon's Egyptian Campaign (1798–1801)</w:t>
      </w:r>
    </w:p>
    <w:p>
      <w:r>
        <w:rPr>
          <w:b w:val="0"/>
          <w:i w:val="0"/>
        </w:rPr>
        <w:t xml:space="preserve">French scholars encountered ruins Scaligerian chronology claimed as "ancient Egypt" — producing the </w:t>
      </w:r>
      <w:hyperlink r:id="rId168">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2"/>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169">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2"/>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technology generations ahead — electromagnetic or plasma-based systems inherited from the breakaway civilization that had </w:t>
      </w:r>
      <w:hyperlink r:id="rId170">
        <w:r>
          <w:rPr>
            <w:b w:val="0"/>
            <w:i w:val="0"/>
            <w:color w:val="B8860B"/>
          </w:rPr>
          <w:t>fired on Earth from Mars</w:t>
        </w:r>
      </w:hyperlink>
      <w:r>
        <w:rPr>
          <w:b w:val="0"/>
          <w:i w:val="0"/>
        </w:rPr>
        <w:t xml:space="preserve"> during Pugachev. Floating stone airships, directed-energy siege weapons — devastating in temperate conditions, never tested against Russian winter.</w:t>
      </w:r>
    </w:p>
    <w:p/>
    <w:p>
      <w:pPr>
        <w:jc w:val="center"/>
      </w:pPr>
      <w:r>
        <w:rPr>
          <w:color w:val="B8860B"/>
          <w:sz w:val="24"/>
        </w:rPr>
        <w:t>— ✦ —</w:t>
      </w:r>
    </w:p>
    <w:p>
      <w:r>
        <w:rPr>
          <w:b w:val="0"/>
          <w:i w:val="0"/>
        </w:rPr>
        <w:t xml:space="preserve">This appendix extends </w:t>
      </w:r>
      <w:hyperlink r:id="rId171">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172">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59">
        <w:r>
          <w:rPr>
            <w:b w:val="0"/>
            <w:i w:val="0"/>
            <w:color w:val="B8860B"/>
          </w:rPr>
          <w:t>Aftermath of 1812</w:t>
        </w:r>
      </w:hyperlink>
      <w:r>
        <w:rPr>
          <w:b w:val="0"/>
          <w:i w:val="0"/>
        </w:rPr>
        <w:t xml:space="preserve"> for the full Reverse Crusade framework.</w:t>
      </w:r>
    </w:p>
    <w:p>
      <w:pPr>
        <w:pStyle w:val="Heading3"/>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173">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pPr>
      <w:r>
        <w:t>The Battle of Borodino and Its Aftermath</w:t>
      </w:r>
    </w:p>
    <w:p>
      <w:r>
        <w:rPr>
          <w:b w:val="0"/>
          <w:i w:val="0"/>
        </w:rPr>
        <w:t xml:space="preserve">The </w:t>
      </w:r>
      <w:hyperlink r:id="rId174">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pPr>
      <w:r>
        <w:t>Why the Winter Was Unpredictable</w:t>
      </w:r>
    </w:p>
    <w:p>
      <w:r>
        <w:rPr>
          <w:b w:val="0"/>
          <w:i w:val="0"/>
        </w:rPr>
        <w:t xml:space="preserve">The conventional explanation — that Napoleon was simply arrogant about logistics — misses two critical factors. First, the </w:t>
      </w:r>
      <w:hyperlink r:id="rId57">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59">
        <w:r>
          <w:rPr>
            <w:b w:val="0"/>
            <w:i w:val="0"/>
            <w:color w:val="B8860B"/>
          </w:rPr>
          <w:t>Aftermath of 1812</w:t>
        </w:r>
      </w:hyperlink>
      <w:r>
        <w:rPr>
          <w:b w:val="0"/>
          <w:i w:val="0"/>
        </w:rPr>
        <w:t>.</w:t>
      </w:r>
    </w:p>
    <w:p>
      <w:pPr>
        <w:pStyle w:val="Heading3"/>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civilisational statement: a population that burns its own holy city will never submit to the force that drove them to it. Napoleon occupied charred ruins for five weeks and found neither allies nor resources.</w:t>
      </w:r>
    </w:p>
    <w:p>
      <w:pPr>
        <w:pStyle w:val="Heading3"/>
      </w:pPr>
      <w:r>
        <w:t>Napoleon and the Hordian Legacy</w:t>
      </w:r>
    </w:p>
    <w:p>
      <w:r>
        <w:rPr>
          <w:b w:val="0"/>
          <w:i w:val="0"/>
        </w:rPr>
        <w:t xml:space="preserve">Tchaikovsky's </w:t>
      </w:r>
      <w:hyperlink r:id="rId175">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59">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ectPr>
          <w:headerReference w:type="default" r:id="rId164"/>
          <w:footerReference w:type="default" r:id="rId165"/>
          <w:pgSz w:w="8640" w:h="12960"/>
          <w:pgMar w:top="1020" w:right="1134" w:bottom="1134" w:left="1134" w:header="720" w:footer="720" w:gutter="0"/>
          <w:cols w:space="720"/>
          <w:titlePg/>
          <w:docGrid w:linePitch="360"/>
        </w:sectPr>
      </w:pPr>
    </w:p>
    <w:p>
      <w:pPr>
        <w:pStyle w:val="Heading2"/>
      </w:pPr>
      <w:r>
        <w:rPr>
          <w:b/>
        </w:rPr>
        <w:t>Chapter 12: Timeline Synchronization: Date Tables (Extended)</w:t>
      </w:r>
    </w:p>
    <w:p>
      <w:r>
        <w:rPr>
          <w:b w:val="0"/>
          <w:i w:val="0"/>
        </w:rPr>
        <w:t xml:space="preserve">This appendix extends </w:t>
      </w:r>
      <w:hyperlink r:id="rId178">
        <w:r>
          <w:rPr>
            <w:b w:val="0"/>
            <w:i w:val="0"/>
            <w:color w:val="B8860B"/>
          </w:rPr>
          <w:t>Timeline Synchronization</w:t>
        </w:r>
      </w:hyperlink>
      <w:r>
        <w:rPr>
          <w:b w:val="0"/>
          <w:i w:val="0"/>
        </w:rPr>
        <w:t>. Full date tables and validation.</w:t>
      </w:r>
    </w:p>
    <w:p>
      <w:pPr>
        <w:pBdr>
          <w:bottom w:val="single" w:sz="6" w:space="1" w:color="CCCCCC"/>
        </w:pBdr>
      </w:pPr>
    </w:p>
    <w:p>
      <w:pPr>
        <w:pStyle w:val="Heading2"/>
      </w:pPr>
      <w:r>
        <w:t>Conflicting Creation Dates</w:t>
      </w:r>
    </w:p>
    <w:p>
      <w:r>
        <w:rPr>
          <w:b w:val="0"/>
          <w:i w:val="0"/>
        </w:rPr>
      </w:r>
      <w:r>
        <w:rPr>
          <w:b/>
          <w:i w:val="0"/>
        </w:rPr>
        <w:t>~5500 B.C. cluster</w:t>
      </w:r>
      <w:r>
        <w:rPr>
          <w:b w:val="0"/>
          <w:i w:val="0"/>
        </w:rPr>
        <w:t xml:space="preserve"> (Septuagint): Antiochian (5969), Byzantine (5508), Alexandrian (5493), Jerome (5199)</w:t>
      </w:r>
    </w:p>
    <w:p>
      <w:r>
        <w:rPr>
          <w:b w:val="0"/>
          <w:i w:val="0"/>
        </w:rPr>
      </w:r>
      <w:r>
        <w:rPr>
          <w:b/>
          <w:i w:val="0"/>
        </w:rPr>
        <w:t>~3100–4100 B.C. cluster</w:t>
      </w:r>
      <w:r>
        <w:rPr>
          <w:b w:val="0"/>
          <w:i w:val="0"/>
        </w:rPr>
        <w:t xml:space="preserve"> (indigenous/pre-Hellenistic): Ussher (4004), Judaic (3761), Maya Long Count (3114), Hindu Kali Yuga (3102), Egyptian (c. 3000)</w:t>
      </w:r>
    </w:p>
    <w:p>
      <w:r>
        <w:rPr>
          <w:b w:val="0"/>
          <w:i w:val="0"/>
        </w:rPr>
        <w:t xml:space="preserve">Validation: </w:t>
      </w:r>
      <w:hyperlink r:id="rId179">
        <w:r>
          <w:rPr>
            <w:b w:val="0"/>
            <w:i w:val="0"/>
            <w:color w:val="B8860B"/>
          </w:rPr>
          <w:t>creation-dates validation</w:t>
        </w:r>
      </w:hyperlink>
      <w:r>
        <w:rPr>
          <w:b w:val="0"/>
          <w:i w:val="0"/>
        </w:rPr>
        <w:t>.</w:t>
      </w:r>
    </w:p>
    <w:p>
      <w:pPr>
        <w:pStyle w:val="Heading2"/>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This appendix extends </w:t>
      </w:r>
      <w:hyperlink r:id="rId180">
        <w:r>
          <w:rPr>
            <w:b w:val="0"/>
            <w:i w:val="0"/>
            <w:color w:val="B8860B"/>
          </w:rPr>
          <w:t>The Length of a Year</w:t>
        </w:r>
      </w:hyperlink>
      <w:r>
        <w:rPr>
          <w:b w:val="0"/>
          <w:i w:val="0"/>
        </w:rPr>
        <w:t xml:space="preserve"> and </w:t>
      </w:r>
      <w:hyperlink r:id="rId181">
        <w:r>
          <w:rPr>
            <w:b w:val="0"/>
            <w:i w:val="0"/>
            <w:color w:val="B8860B"/>
          </w:rPr>
          <w:t>The 225-Day Year</w:t>
        </w:r>
      </w:hyperlink>
      <w:r>
        <w:rPr>
          <w:b w:val="0"/>
          <w:i w:val="0"/>
        </w:rPr>
        <w:t>. Tables and era detail.</w:t>
      </w:r>
    </w:p>
    <w:p>
      <w:pPr>
        <w:pBdr>
          <w:bottom w:val="single" w:sz="6" w:space="1" w:color="CCCCCC"/>
        </w:pBdr>
      </w:pPr>
    </w:p>
    <w:p>
      <w:pPr>
        <w:pStyle w:val="Heading3"/>
      </w:pPr>
      <w:r>
        <w:t>Solar Year Variables (00.03.01)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pPr>
      <w:r>
        <w:t>Where Fomenko Falls Short</w:t>
      </w:r>
    </w:p>
    <w:p>
      <w:pPr>
        <w:pStyle w:val="Heading4"/>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civilisations,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civilisation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jc w:val="center"/>
      </w:pPr>
      <w:r>
        <w:rPr>
          <w:color w:val="B8860B"/>
          <w:sz w:val="24"/>
        </w:rPr>
        <w:t>— ✦ —</w:t>
      </w:r>
    </w:p>
    <w:p>
      <w:r>
        <w:rPr>
          <w:b w:val="0"/>
          <w:i w:val="0"/>
        </w:rPr>
        <w:t xml:space="preserve">This appendix extends </w:t>
      </w:r>
      <w:hyperlink r:id="rId182">
        <w:r>
          <w:rPr>
            <w:b w:val="0"/>
            <w:i w:val="0"/>
            <w:color w:val="B8860B"/>
          </w:rPr>
          <w:t>Pyramids: Myths vs Reality</w:t>
        </w:r>
      </w:hyperlink>
      <w:r>
        <w:rPr>
          <w:b w:val="0"/>
          <w:i w:val="0"/>
        </w:rPr>
        <w:t>. Detailed evidence for each myth rebuttal.</w:t>
      </w:r>
    </w:p>
    <w:p>
      <w:pPr>
        <w:pBdr>
          <w:bottom w:val="single" w:sz="6" w:space="1" w:color="CCCCCC"/>
        </w:pBdr>
      </w:pPr>
    </w:p>
    <w:p>
      <w:pPr>
        <w:pStyle w:val="Heading3"/>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83">
        <w:r>
          <w:rPr>
            <w:b w:val="0"/>
            <w:i w:val="0"/>
            <w:color w:val="B8860B"/>
          </w:rPr>
          <w:t>Fomenko, HiW §4.13</w:t>
        </w:r>
      </w:hyperlink>
      <w:r>
        <w:rPr>
          <w:b w:val="0"/>
          <w:i w:val="0"/>
        </w:rPr>
        <w:t>). Worst-designed tomb ever: no burial goods, no identification, no remains.</w:t>
      </w:r>
    </w:p>
    <w:p>
      <w:pPr>
        <w:pStyle w:val="Heading3"/>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84">
        <w:r>
          <w:rPr>
            <w:b w:val="0"/>
            <w:i w:val="0"/>
            <w:color w:val="B8860B"/>
          </w:rPr>
          <w:t>The Pyramids: An Enigma Solved</w:t>
        </w:r>
      </w:hyperlink>
      <w:r>
        <w:rPr>
          <w:b w:val="0"/>
          <w:i w:val="0"/>
        </w:rPr>
        <w:t xml:space="preserve">). Matting marks from casting visible above 50 m. See </w:t>
      </w:r>
      <w:hyperlink r:id="rId185">
        <w:r>
          <w:rPr>
            <w:b w:val="0"/>
            <w:i w:val="0"/>
            <w:color w:val="B8860B"/>
          </w:rPr>
          <w:t>Geopolymer Concrete</w:t>
        </w:r>
      </w:hyperlink>
      <w:r>
        <w:rPr>
          <w:b w:val="0"/>
          <w:i w:val="0"/>
        </w:rPr>
        <w:t>.</w:t>
      </w:r>
    </w:p>
    <w:p>
      <w:pPr>
        <w:pStyle w:val="Heading3"/>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3"/>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sectPr>
          <w:headerReference w:type="default" r:id="rId176"/>
          <w:footerReference w:type="default" r:id="rId177"/>
          <w:pgSz w:w="8640" w:h="12960"/>
          <w:pgMar w:top="1020" w:right="1134" w:bottom="1134" w:left="1134" w:header="720" w:footer="720" w:gutter="0"/>
          <w:cols w:space="720"/>
          <w:titlePg/>
          <w:docGrid w:linePitch="360"/>
        </w:sectPr>
      </w:pPr>
    </w:p>
    <w:p>
      <w:pPr>
        <w:pStyle w:val="Heading2"/>
      </w:pPr>
      <w:r>
        <w:rPr>
          <w:b/>
        </w:rPr>
        <w:t>Chapter 13: Asimov: Three Laws and Marx Encoding — Extended Evidence</w:t>
      </w:r>
    </w:p>
    <w:p>
      <w:r>
        <w:rPr>
          <w:b w:val="0"/>
          <w:i w:val="0"/>
        </w:rPr>
        <w:t xml:space="preserve">This appendix extends </w:t>
      </w:r>
      <w:hyperlink r:id="rId64">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2"/>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2"/>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2"/>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2"/>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2"/>
      </w:pPr>
      <w:r>
        <w:t>See Also</w:t>
      </w:r>
    </w:p>
    <w:p>
      <w:pPr>
        <w:pStyle w:val="ListBullet"/>
        <w:spacing w:before="20" w:after="20"/>
      </w:pPr>
      <w:hyperlink r:id="rId64">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sectPr>
          <w:headerReference w:type="default" r:id="rId186"/>
          <w:footerReference w:type="default" r:id="rId187"/>
          <w:pgSz w:w="8640" w:h="12960"/>
          <w:pgMar w:top="1020" w:right="1134" w:bottom="1134" w:left="1134" w:header="720" w:footer="720" w:gutter="0"/>
          <w:cols w:space="720"/>
          <w:titlePg/>
          <w:docGrid w:linePitch="360"/>
        </w:sectPr>
      </w:pPr>
    </w:p>
    <w:p>
      <w:pPr>
        <w:pStyle w:val="Heading2"/>
      </w:pPr>
      <w:r>
        <w:rPr>
          <w:b/>
        </w:rPr>
        <w:t>Chapter 14: Deep State breaks up the Hordian Empire (Extended)</w:t>
      </w:r>
    </w:p>
    <w:p>
      <w:r>
        <w:rPr>
          <w:b w:val="0"/>
          <w:i w:val="0"/>
        </w:rPr>
        <w:t xml:space="preserve">This appendix extends </w:t>
      </w:r>
      <w:hyperlink r:id="rId72">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190">
        <w:r>
          <w:rPr>
            <w:b w:val="0"/>
            <w:i w:val="0"/>
            <w:color w:val="B8860B"/>
          </w:rPr>
          <w:t>modernization campaign</w:t>
        </w:r>
      </w:hyperlink>
      <w:r>
        <w:rPr>
          <w:b w:val="0"/>
          <w:i w:val="0"/>
        </w:rPr>
        <w:t xml:space="preserve"> — reformed calendar and </w:t>
      </w:r>
      <w:hyperlink r:id="rId191">
        <w:r>
          <w:rPr>
            <w:b w:val="0"/>
            <w:i w:val="0"/>
            <w:color w:val="B8860B"/>
          </w:rPr>
          <w:t>alphabet</w:t>
        </w:r>
      </w:hyperlink>
      <w:r>
        <w:rPr>
          <w:b w:val="0"/>
          <w:i w:val="0"/>
        </w:rPr>
        <w:t xml:space="preserve">, moved capital to St Petersburg — pressured Orthodox Church's autonomy. </w:t>
      </w:r>
      <w:hyperlink r:id="rId192">
        <w:r>
          <w:rPr>
            <w:b w:val="0"/>
            <w:i w:val="0"/>
            <w:color w:val="B8860B"/>
          </w:rPr>
          <w:t>Anti-Russian Sentiment</w:t>
        </w:r>
      </w:hyperlink>
      <w:r>
        <w:rPr>
          <w:b w:val="0"/>
          <w:i w:val="0"/>
        </w:rPr>
        <w:t xml:space="preserve"> continues three centuries; </w:t>
      </w:r>
      <w:hyperlink r:id="rId193">
        <w:r>
          <w:rPr>
            <w:b w:val="0"/>
            <w:i w:val="0"/>
            <w:color w:val="B8860B"/>
          </w:rPr>
          <w:t>still active</w:t>
        </w:r>
      </w:hyperlink>
      <w:r>
        <w:rPr>
          <w:b w:val="0"/>
          <w:i w:val="0"/>
        </w:rPr>
        <w:t>.</w:t>
      </w:r>
    </w:p>
    <w:p>
      <w:pPr>
        <w:jc w:val="center"/>
      </w:pPr>
      <w:r>
        <w:drawing>
          <wp:inline xmlns:a="http://schemas.openxmlformats.org/drawingml/2006/main" xmlns:pic="http://schemas.openxmlformats.org/drawingml/2006/picture">
            <wp:extent cx="3657600" cy="5420563"/>
            <wp:docPr id="2" name="Picture 2"/>
            <wp:cNvGraphicFramePr>
              <a:graphicFrameLocks noChangeAspect="1"/>
            </wp:cNvGraphicFramePr>
            <a:graphic>
              <a:graphicData uri="http://schemas.openxmlformats.org/drawingml/2006/picture">
                <pic:pic>
                  <pic:nvPicPr>
                    <pic:cNvPr id="0" name="image.jpg"/>
                    <pic:cNvPicPr/>
                  </pic:nvPicPr>
                  <pic:blipFill>
                    <a:blip r:embed="rId194"/>
                    <a:stretch>
                      <a:fillRect/>
                    </a:stretch>
                  </pic:blipFill>
                  <pic:spPr>
                    <a:xfrm>
                      <a:off x="0" y="0"/>
                      <a:ext cx="3657600" cy="5420563"/>
                    </a:xfrm>
                    <a:prstGeom prst="rect"/>
                  </pic:spPr>
                </pic:pic>
              </a:graphicData>
            </a:graphic>
          </wp:inline>
        </w:drawing>
      </w:r>
    </w:p>
    <w:p>
      <w:pPr>
        <w:pStyle w:val="Caption"/>
      </w:pPr>
      <w:r>
        <w:t>Coins with Eight pointed star and crescent symbol</w:t>
      </w:r>
    </w:p>
    <w:p>
      <w:pPr>
        <w:pStyle w:val="Heading2"/>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195">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196">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197">
        <w:r>
          <w:rPr>
            <w:b w:val="0"/>
            <w:i w:val="0"/>
            <w:color w:val="B8860B"/>
          </w:rPr>
          <w:t>religious schism</w:t>
        </w:r>
      </w:hyperlink>
      <w:r>
        <w:rPr>
          <w:b w:val="0"/>
          <w:i w:val="0"/>
        </w:rPr>
        <w:t xml:space="preserve">, </w:t>
      </w:r>
      <w:hyperlink r:id="rId198">
        <w:r>
          <w:rPr>
            <w:b w:val="0"/>
            <w:i w:val="0"/>
            <w:color w:val="B8860B"/>
          </w:rPr>
          <w:t>Inquisition</w:t>
        </w:r>
      </w:hyperlink>
      <w:r>
        <w:rPr>
          <w:b w:val="0"/>
          <w:i w:val="0"/>
        </w:rPr>
        <w:t xml:space="preserve">, </w:t>
      </w:r>
      <w:hyperlink r:id="rId45">
        <w:r>
          <w:rPr>
            <w:b w:val="0"/>
            <w:i w:val="0"/>
            <w:color w:val="B8860B"/>
          </w:rPr>
          <w:t>Latin</w:t>
        </w:r>
      </w:hyperlink>
      <w:r>
        <w:rPr>
          <w:b w:val="0"/>
          <w:i w:val="0"/>
        </w:rPr>
        <w:t xml:space="preserve">, </w:t>
      </w:r>
      <w:hyperlink r:id="rId74">
        <w:r>
          <w:rPr>
            <w:b w:val="0"/>
            <w:i w:val="0"/>
            <w:color w:val="B8860B"/>
          </w:rPr>
          <w:t>Romanov usurpers</w:t>
        </w:r>
      </w:hyperlink>
      <w:r>
        <w:rPr>
          <w:b w:val="0"/>
          <w:i w:val="0"/>
        </w:rPr>
        <w:t>. The silence was memory, not mystery.</w:t>
      </w:r>
    </w:p>
    <w:p>
      <w:pPr>
        <w:pStyle w:val="Heading2"/>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199">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2"/>
      </w:pPr>
      <w:r>
        <w:t>The Double-Headed Eagle as Crescent-and-Star</w:t>
      </w:r>
    </w:p>
    <w:p>
      <w:r>
        <w:rPr>
          <w:b w:val="0"/>
          <w:i w:val="0"/>
        </w:rPr>
        <w:t>Per Fomenko (</w:t>
      </w:r>
      <w:hyperlink r:id="rId199">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2"/>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00">
        <w:r>
          <w:rPr>
            <w:b w:val="0"/>
            <w:i w:val="0"/>
            <w:color w:val="B8860B"/>
          </w:rPr>
          <w:t>Ch.8 §1</w:t>
        </w:r>
      </w:hyperlink>
      <w:r>
        <w:rPr>
          <w:b w:val="0"/>
          <w:i w:val="0"/>
        </w:rPr>
        <w:t>)</w:t>
      </w:r>
    </w:p>
    <w:p/>
    <w:p>
      <w:pPr>
        <w:sectPr>
          <w:headerReference w:type="default" r:id="rId188"/>
          <w:footerReference w:type="default" r:id="rId189"/>
          <w:pgSz w:w="8640" w:h="12960"/>
          <w:pgMar w:top="1020" w:right="1134" w:bottom="1134" w:left="1134" w:header="720" w:footer="720" w:gutter="0"/>
          <w:cols w:space="720"/>
          <w:titlePg/>
          <w:docGrid w:linePitch="360"/>
        </w:sectPr>
      </w:pPr>
    </w:p>
    <w:p>
      <w:pPr>
        <w:pStyle w:val="Heading2"/>
      </w:pPr>
      <w:r>
        <w:rPr>
          <w:b/>
        </w:rPr>
        <w:t>Chapter 15: The MudFlood and World Cataclysm: Extended Evidence</w:t>
      </w:r>
    </w:p>
    <w:p>
      <w:r>
        <w:rPr>
          <w:b w:val="0"/>
          <w:i w:val="0"/>
        </w:rPr>
        <w:t xml:space="preserve">This appendix extends </w:t>
      </w:r>
      <w:hyperlink r:id="rId57">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(See </w:t>
      </w:r>
      <w:hyperlink r:id="rId162">
        <w:r>
          <w:rPr>
            <w:b w:val="0"/>
            <w:i w:val="0"/>
            <w:color w:val="B8860B"/>
          </w:rPr>
          <w:t>The Trail of Tears: A Century-Long Erasure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
      <w:pPr>
        <w:sectPr>
          <w:headerReference w:type="default" r:id="rId201"/>
          <w:footerReference w:type="default" r:id="rId202"/>
          <w:pgSz w:w="8640" w:h="12960"/>
          <w:pgMar w:top="1020" w:right="1134" w:bottom="1134" w:left="1134" w:header="720" w:footer="720" w:gutter="0"/>
          <w:cols w:space="720"/>
          <w:titlePg/>
          <w:docGrid w:linePitch="360"/>
        </w:sectPr>
      </w:pPr>
    </w:p>
    <w:p>
      <w:pPr>
        <w:pStyle w:val="Heading2"/>
      </w:pPr>
      <w:r>
        <w:rPr>
          <w:b/>
        </w:rPr>
        <w:t>Chapter 16: Soviet Historiography: Bogdanov and Suppressed Science (Extended)</w:t>
      </w:r>
    </w:p>
    <w:p>
      <w:r>
        <w:rPr>
          <w:b w:val="0"/>
          <w:i w:val="0"/>
        </w:rPr>
        <w:t xml:space="preserve">This appendix extends </w:t>
      </w:r>
      <w:hyperlink r:id="rId76">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sectPr>
          <w:headerReference w:type="default" r:id="rId203"/>
          <w:footerReference w:type="default" r:id="rId204"/>
          <w:pgSz w:w="8640" w:h="12960"/>
          <w:pgMar w:top="1020" w:right="1134" w:bottom="1134" w:left="1134" w:header="720" w:footer="720" w:gutter="0"/>
          <w:cols w:space="720"/>
          <w:titlePg/>
          <w:docGrid w:linePitch="360"/>
        </w:sectPr>
      </w:pPr>
    </w:p>
    <w:p>
      <w:pPr>
        <w:pStyle w:val="Heading2"/>
      </w:pPr>
      <w:r>
        <w:rPr>
          <w:b/>
        </w:rPr>
        <w:t>Chapter 17: Slave Trades: Evidence and Horde-Fracture Thesis (Extended)</w:t>
      </w:r>
    </w:p>
    <w:p>
      <w:r>
        <w:rPr>
          <w:b w:val="0"/>
          <w:i w:val="0"/>
        </w:rPr>
        <w:t xml:space="preserve">This appendix extends </w:t>
      </w:r>
      <w:hyperlink r:id="rId207">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2"/>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2"/>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2"/>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08">
        <w:r>
          <w:rPr>
            <w:b w:val="0"/>
            <w:i w:val="0"/>
            <w:color w:val="B8860B"/>
          </w:rPr>
          <w:t>Romanov Seizure</w:t>
        </w:r>
      </w:hyperlink>
      <w:r>
        <w:rPr>
          <w:b w:val="0"/>
          <w:i w:val="0"/>
        </w:rPr>
        <w:t xml:space="preserve">, </w:t>
      </w:r>
      <w:hyperlink r:id="rId28">
        <w:r>
          <w:rPr>
            <w:b w:val="0"/>
            <w:i w:val="0"/>
            <w:color w:val="B8860B"/>
          </w:rPr>
          <w:t>Deep State breaks up the Hordian Empire</w:t>
        </w:r>
      </w:hyperlink>
      <w:r>
        <w:rPr>
          <w:b w:val="0"/>
          <w:i w:val="0"/>
        </w:rPr>
        <w:t xml:space="preserve">, </w:t>
      </w:r>
      <w:hyperlink r:id="rId209">
        <w:r>
          <w:rPr>
            <w:b w:val="0"/>
            <w:i w:val="0"/>
            <w:color w:val="B8860B"/>
          </w:rPr>
          <w:t>British Empire as Deep State</w:t>
        </w:r>
      </w:hyperlink>
      <w:r>
        <w:rPr>
          <w:b w:val="0"/>
          <w:i w:val="0"/>
        </w:rPr>
        <w:t>.</w:t>
      </w:r>
    </w:p>
    <w:p>
      <w:pPr>
        <w:pBdr>
          <w:bottom w:val="single" w:sz="6" w:space="1" w:color="CCCCCC"/>
        </w:pBdr>
      </w:pPr>
    </w:p>
    <w:p>
      <w:pPr>
        <w:pStyle w:val="Heading2"/>
      </w:pPr>
      <w:r>
        <w:t>Cross-References</w:t>
      </w:r>
    </w:p>
    <w:p>
      <w:pPr>
        <w:pStyle w:val="ListBullet"/>
        <w:spacing w:before="20" w:after="20"/>
      </w:pPr>
      <w:hyperlink r:id="rId32">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10">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48">
        <w:r>
          <w:rPr>
            <w:b w:val="0"/>
            <w:i w:val="0"/>
            <w:color w:val="B8860B"/>
            <w:sz w:val="19"/>
          </w:rPr>
          <w:t>Population Control</w:t>
        </w:r>
      </w:hyperlink>
      <w:r>
        <w:rPr>
          <w:b w:val="0"/>
          <w:i w:val="0"/>
          <w:sz w:val="19"/>
        </w:rPr>
        <w:t xml:space="preserve"> — Long-span thesis (1492+)</w:t>
      </w:r>
    </w:p>
    <w:p/>
    <w:p>
      <w:pPr>
        <w:sectPr>
          <w:headerReference w:type="default" r:id="rId205"/>
          <w:footerReference w:type="default" r:id="rId206"/>
          <w:pgSz w:w="8640" w:h="12960"/>
          <w:pgMar w:top="1020" w:right="1134" w:bottom="1134" w:left="1134" w:header="720" w:footer="720" w:gutter="0"/>
          <w:cols w:space="720"/>
          <w:titlePg/>
          <w:docGrid w:linePitch="360"/>
        </w:sectPr>
      </w:pPr>
    </w:p>
    <w:p>
      <w:pPr>
        <w:pStyle w:val="Heading2"/>
      </w:pPr>
      <w:r>
        <w:rPr>
          <w:b/>
        </w:rPr>
        <w:t>Chapter 18: British Empire as Deep State: Case Studies (Extended)</w:t>
      </w:r>
    </w:p>
    <w:p>
      <w:r>
        <w:rPr>
          <w:b w:val="0"/>
          <w:i w:val="0"/>
        </w:rPr>
        <w:t xml:space="preserve">This appendix extends </w:t>
      </w:r>
      <w:hyperlink r:id="rId209">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13">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14">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60">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15">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07">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16">
        <w:r>
          <w:rPr>
            <w:b w:val="0"/>
            <w:i w:val="0"/>
            <w:color w:val="B8860B"/>
          </w:rPr>
          <w:t>Opium Wars</w:t>
        </w:r>
      </w:hyperlink>
      <w:r>
        <w:rPr>
          <w:b w:val="0"/>
          <w:i w:val="0"/>
        </w:rPr>
        <w:t xml:space="preserve"> broke Chinese sovereignty; </w:t>
      </w:r>
      <w:hyperlink r:id="rId217">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sectPr>
          <w:headerReference w:type="default" r:id="rId211"/>
          <w:footerReference w:type="default" r:id="rId212"/>
          <w:pgSz w:w="8640" w:h="12960"/>
          <w:pgMar w:top="1020" w:right="1134" w:bottom="1134" w:left="1134" w:header="720" w:footer="720" w:gutter="0"/>
          <w:cols w:space="720"/>
          <w:titlePg/>
          <w:docGrid w:linePitch="360"/>
        </w:sectPr>
      </w:pPr>
    </w:p>
    <w:p>
      <w:pPr>
        <w:pStyle w:val="Heading2"/>
      </w:pPr>
      <w:r>
        <w:rPr>
          <w:b/>
        </w:rPr>
        <w:t>Chapter 19: Seven Days of Creation (Extended)</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220">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pPr>
      <w:r>
        <w:t>Kronos: The Original Timekeeping Sun</w:t>
      </w:r>
    </w:p>
    <w:p>
      <w:r>
        <w:rPr>
          <w:b w:val="0"/>
          <w:i w:val="0"/>
        </w:rPr>
        <w:t xml:space="preserve">Saturn was called </w:t>
      </w:r>
      <w:hyperlink r:id="rId221">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81">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been dimly visible since approximately 4900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222">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223">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224">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223">
        <w:r>
          <w:rPr>
            <w:b w:val="0"/>
            <w:i w:val="0"/>
            <w:color w:val="B8860B"/>
          </w:rPr>
          <w:t>Saturn's Collinear Planetary Configuration — The Tree of Life</w:t>
        </w:r>
      </w:hyperlink>
    </w:p>
    <w:p>
      <w:pPr>
        <w:pStyle w:val="Heading3"/>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225">
        <w:r>
          <w:rPr>
            <w:b w:val="0"/>
            <w:i w:val="0"/>
            <w:color w:val="B8860B"/>
          </w:rPr>
          <w:t>Northern Hemisphere Configuration</w:t>
        </w:r>
      </w:hyperlink>
      <w:r>
        <w:rPr>
          <w:b w:val="0"/>
          <w:i w:val="0"/>
        </w:rPr>
        <w:t xml:space="preserve"> | </w:t>
      </w:r>
      <w:hyperlink r:id="rId226">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227">
        <w:r>
          <w:rPr>
            <w:b w:val="0"/>
            <w:i w:val="0"/>
            <w:color w:val="B8860B"/>
          </w:rPr>
          <w:t>The Golden Age</w:t>
        </w:r>
      </w:hyperlink>
    </w:p>
    <w:p>
      <w:pPr>
        <w:pStyle w:val="Heading3"/>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225">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civilisation at Earth's north pole, corresponds to this apex. The priest-class who kept time by Kronos, built pyramids along the plasma column, and held authority over all knowledge — these are the humans of Day 6. See </w:t>
      </w:r>
      <w:hyperlink r:id="rId37">
        <w:r>
          <w:rPr>
            <w:b w:val="0"/>
            <w:i w:val="0"/>
            <w:color w:val="B8860B"/>
          </w:rPr>
          <w:t>Atlantis and the Tree of Knowledge</w:t>
        </w:r>
      </w:hyperlink>
      <w:r>
        <w:rPr>
          <w:b w:val="0"/>
          <w:i w:val="0"/>
        </w:rPr>
        <w:t>.</w:t>
      </w:r>
    </w:p>
    <w:p>
      <w:pPr>
        <w:pStyle w:val="Heading3"/>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228">
        <w:r>
          <w:rPr>
            <w:b w:val="0"/>
            <w:i w:val="0"/>
            <w:color w:val="B8860B"/>
          </w:rPr>
          <w:t>The Golden Age Ends Violently</w:t>
        </w:r>
      </w:hyperlink>
      <w:r>
        <w:rPr>
          <w:b w:val="0"/>
          <w:i w:val="0"/>
        </w:rPr>
        <w:t xml:space="preserve"> | </w:t>
      </w:r>
      <w:hyperlink r:id="rId229">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226">
        <w:r>
          <w:rPr>
            <w:b w:val="0"/>
            <w:i w:val="0"/>
            <w:color w:val="B8860B"/>
          </w:rPr>
          <w:t>Southern Hemisphere Configuration</w:t>
        </w:r>
      </w:hyperlink>
      <w:r>
        <w:rPr>
          <w:b w:val="0"/>
          <w:i w:val="0"/>
        </w:rPr>
        <w:t xml:space="preserve"> | </w:t>
      </w:r>
      <w:hyperlink r:id="rId220">
        <w:r>
          <w:rPr>
            <w:b w:val="0"/>
            <w:i w:val="0"/>
            <w:color w:val="B8860B"/>
          </w:rPr>
          <w:t>Before Creation</w:t>
        </w:r>
      </w:hyperlink>
    </w:p>
    <w:p>
      <w:pPr>
        <w:pBdr>
          <w:bottom w:val="single" w:sz="6" w:space="1" w:color="CCCCCC"/>
        </w:pBdr>
      </w:pPr>
    </w:p>
    <w:p>
      <w:pPr>
        <w:pStyle w:val="Heading2"/>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228">
        <w:r>
          <w:rPr>
            <w:b w:val="0"/>
            <w:i w:val="0"/>
            <w:color w:val="B8860B"/>
          </w:rPr>
          <w:t>The Golden Age Ends Violently</w:t>
        </w:r>
      </w:hyperlink>
      <w:r>
        <w:rPr>
          <w:b w:val="0"/>
          <w:i w:val="0"/>
        </w:rPr>
        <w:t xml:space="preserve"> and </w:t>
      </w:r>
      <w:hyperlink r:id="rId229">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0">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231">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232">
        <w:r>
          <w:rPr>
            <w:b w:val="0"/>
            <w:i w:val="0"/>
            <w:color w:val="B8860B"/>
            <w:sz w:val="19"/>
          </w:rPr>
          <w:t>Genesis 7:4</w:t>
        </w:r>
      </w:hyperlink>
    </w:p>
    <w:p>
      <w:pPr>
        <w:pStyle w:val="ListBullet"/>
        <w:spacing w:before="20" w:after="20"/>
      </w:pPr>
      <w:hyperlink r:id="rId233">
        <w:r>
          <w:rPr>
            <w:b w:val="0"/>
            <w:i w:val="0"/>
            <w:color w:val="B8860B"/>
            <w:sz w:val="19"/>
          </w:rPr>
          <w:t>Isaiah 30:26</w:t>
        </w:r>
      </w:hyperlink>
    </w:p>
    <w:p>
      <w:pPr>
        <w:pBdr>
          <w:bottom w:val="single" w:sz="6" w:space="1" w:color="CCCCCC"/>
        </w:pBdr>
      </w:pPr>
    </w:p>
    <w:p>
      <w:pPr>
        <w:pStyle w:val="Heading2"/>
      </w:pPr>
      <w:r>
        <w:t>Cross-References</w:t>
      </w:r>
    </w:p>
    <w:p>
      <w:pPr>
        <w:pStyle w:val="ListBullet"/>
        <w:spacing w:before="20" w:after="20"/>
      </w:pPr>
      <w:hyperlink r:id="rId222">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81">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223">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224">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225">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226">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37">
        <w:r>
          <w:rPr>
            <w:b w:val="0"/>
            <w:i w:val="0"/>
            <w:color w:val="B8860B"/>
            <w:sz w:val="19"/>
          </w:rPr>
          <w:t>Atlantis and the Tree of Knowledge</w:t>
        </w:r>
      </w:hyperlink>
      <w:r>
        <w:rPr>
          <w:b w:val="0"/>
          <w:i w:val="0"/>
          <w:sz w:val="19"/>
        </w:rPr>
        <w:t xml:space="preserve"> — Day 6 civilisation apex</w:t>
      </w:r>
    </w:p>
    <w:p>
      <w:pPr>
        <w:pStyle w:val="ListBullet"/>
        <w:spacing w:before="20" w:after="20"/>
      </w:pPr>
      <w:hyperlink r:id="rId228">
        <w:r>
          <w:rPr>
            <w:b w:val="0"/>
            <w:i w:val="0"/>
            <w:color w:val="B8860B"/>
            <w:sz w:val="19"/>
          </w:rPr>
          <w:t>The Golden Age Ends Violently</w:t>
        </w:r>
      </w:hyperlink>
      <w:r>
        <w:rPr>
          <w:b w:val="0"/>
          <w:i w:val="0"/>
          <w:sz w:val="19"/>
        </w:rPr>
        <w:t xml:space="preserve"> — Day 7 catastrophe</w:t>
      </w:r>
    </w:p>
    <w:p>
      <w:pPr>
        <w:pStyle w:val="ListBullet"/>
        <w:spacing w:before="20" w:after="20"/>
      </w:pPr>
      <w:hyperlink r:id="rId229">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4">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5">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6">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30">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231">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237">
        <w:r>
          <w:rPr>
            <w:b w:val="0"/>
            <w:i w:val="0"/>
            <w:color w:val="B8860B"/>
            <w:sz w:val="19"/>
          </w:rPr>
          <w:t>Genesis 1–2, KJV</w:t>
        </w:r>
      </w:hyperlink>
    </w:p>
    <w:p>
      <w:pPr>
        <w:pStyle w:val="ListBullet"/>
        <w:spacing w:before="20" w:after="20"/>
      </w:pPr>
      <w:hyperlink r:id="rId232">
        <w:r>
          <w:rPr>
            <w:b w:val="0"/>
            <w:i w:val="0"/>
            <w:color w:val="B8860B"/>
            <w:sz w:val="19"/>
          </w:rPr>
          <w:t>Genesis 7:4, KJV</w:t>
        </w:r>
      </w:hyperlink>
      <w:r>
        <w:rPr>
          <w:b w:val="0"/>
          <w:i w:val="0"/>
          <w:sz w:val="19"/>
        </w:rPr>
        <w:t xml:space="preserve"> — seven-day delay before the Flood</w:t>
      </w:r>
    </w:p>
    <w:p>
      <w:pPr>
        <w:pStyle w:val="ListBullet"/>
        <w:spacing w:before="20" w:after="20"/>
      </w:pPr>
      <w:hyperlink r:id="rId233">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221">
        <w:r>
          <w:rPr>
            <w:b w:val="0"/>
            <w:i w:val="0"/>
            <w:color w:val="B8860B"/>
            <w:sz w:val="19"/>
          </w:rPr>
          <w:t>Cronus / Kronos — Wikipedia</w:t>
        </w:r>
      </w:hyperlink>
    </w:p>
    <w:p>
      <w:pPr>
        <w:pStyle w:val="ListBullet"/>
        <w:spacing w:before="20" w:after="20"/>
      </w:pPr>
      <w:hyperlink r:id="rId238">
        <w:r>
          <w:rPr>
            <w:b w:val="0"/>
            <w:i w:val="0"/>
            <w:color w:val="B8860B"/>
            <w:sz w:val="19"/>
          </w:rPr>
          <w:t>Week — Wikipedia: Origin of the seven-day week</w:t>
        </w:r>
      </w:hyperlink>
    </w:p>
    <w:p/>
    <w:p>
      <w:pPr>
        <w:sectPr>
          <w:headerReference w:type="default" r:id="rId218"/>
          <w:footerReference w:type="default" r:id="rId219"/>
          <w:pgSz w:w="8640" w:h="12960"/>
          <w:pgMar w:top="1020" w:right="1134" w:bottom="1134" w:left="1134" w:header="720" w:footer="720" w:gutter="0"/>
          <w:cols w:space="720"/>
          <w:titlePg/>
          <w:docGrid w:linePitch="360"/>
        </w:sectPr>
      </w:pPr>
    </w:p>
    <w:p>
      <w:pPr>
        <w:pStyle w:val="Heading2"/>
      </w:pPr>
      <w:r>
        <w:rPr>
          <w:b/>
        </w:rPr>
        <w:t>Chapter 20: Controlled Opposition: Managed Disclosure and Gatekeeping (Extended)</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2"/>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2"/>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t xml:space="preserve">This mechanism is most visible in the case of </w:t>
      </w:r>
      <w:hyperlink r:id="rId62">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2"/>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241">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2"/>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49">
        <w:r>
          <w:rPr>
            <w:b w:val="0"/>
            <w:i w:val="0"/>
            <w:color w:val="B8860B"/>
          </w:rPr>
          <w:t>Mockingbird</w:t>
        </w:r>
      </w:hyperlink>
      <w:r>
        <w:rPr>
          <w:b w:val="0"/>
          <w:i w:val="0"/>
        </w:rPr>
        <w:t xml:space="preserve">, genre reclassification (1926–50s), </w:t>
      </w:r>
      <w:hyperlink r:id="rId60">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2"/>
      </w:pPr>
      <w:r>
        <w:t>Cross-References</w:t>
      </w:r>
    </w:p>
    <w:p>
      <w:pPr>
        <w:pStyle w:val="ListBullet"/>
        <w:spacing w:before="20" w:after="20"/>
      </w:pPr>
      <w:hyperlink r:id="rId62">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80">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49">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ectPr>
          <w:headerReference w:type="default" r:id="rId239"/>
          <w:footerReference w:type="default" r:id="rId240"/>
          <w:pgSz w:w="8640" w:h="12960"/>
          <w:pgMar w:top="1020" w:right="1134" w:bottom="1134" w:left="1134" w:header="720" w:footer="720" w:gutter="0"/>
          <w:cols w:space="720"/>
          <w:titlePg/>
          <w:docGrid w:linePitch="360"/>
        </w:sectPr>
      </w:pPr>
    </w:p>
    <w:p>
      <w:pPr>
        <w:pStyle w:val="Heading2"/>
      </w:pPr>
      <w:r>
        <w:rPr>
          <w:b/>
        </w:rPr>
        <w:t>Chapter 21: Historical Antibodies: Pattern Analysis (Extended)</w:t>
      </w:r>
    </w:p>
    <w:p>
      <w:r>
        <w:rPr>
          <w:b w:val="0"/>
          <w:i w:val="0"/>
        </w:rPr>
        <w:t xml:space="preserve">Antibodies = independent agents who preserved suppressed knowledge or exposed covert operations through personal courage and ingenuity. Not </w:t>
      </w:r>
      <w:hyperlink r:id="rId69">
        <w:r>
          <w:rPr>
            <w:b w:val="0"/>
            <w:i w:val="0"/>
            <w:color w:val="B8860B"/>
          </w:rPr>
          <w:t>controlled opposition</w:t>
        </w:r>
      </w:hyperlink>
      <w:r>
        <w:rPr>
          <w:b w:val="0"/>
          <w:i w:val="0"/>
        </w:rPr>
        <w:t>. The Pyramidal Empire has created its own antibodies — individuals who acted before the machinery caught up.</w:t>
      </w:r>
    </w:p>
    <w:p>
      <w:r>
        <w:rPr>
          <w:b w:val="0"/>
          <w:i w:val="0"/>
        </w:rPr>
        <w:t>There may be millions — or billions — of such people across history. Priority number one for the Deep State has always been to ensure that nobody finds out when such behavior occurs, because resistance is contagious. If one person stands and others see it, the behavior spreads. So we don't know who most of them are. Their names were never recorded, or the records were destroyed, or the stories were rewritten to make them villains. But I believe these people represent the vast majority of humans — on Earth and, if the Saturnian cosmology is correct, on other planets too. The few profiled here are simply the ones whose shields held long enough for the evidence to survive.</w:t>
      </w:r>
    </w:p>
    <w:p>
      <w:r>
        <w:rPr>
          <w:b w:val="0"/>
          <w:i w:val="0"/>
        </w:rPr>
        <w:t xml:space="preserve">The defining characteristic of an antibody is </w:t>
      </w:r>
      <w:r>
        <w:rPr>
          <w:b/>
          <w:i w:val="0"/>
        </w:rPr>
        <w:t>asymmetry</w:t>
      </w:r>
      <w:r>
        <w:rPr>
          <w:b w:val="0"/>
          <w:i w:val="0"/>
        </w:rPr>
        <w:t xml:space="preserve">: a single person, acting alone, permanently alters the information landscape in ways that billion-dollar institutions cannot reverse. The controlled-opposition apparatus (see </w:t>
      </w:r>
      <w:hyperlink r:id="rId69">
        <w:r>
          <w:rPr>
            <w:b w:val="0"/>
            <w:i w:val="0"/>
            <w:color w:val="B8860B"/>
          </w:rPr>
          <w:t>Managed Disclosure</w:t>
        </w:r>
      </w:hyperlink>
      <w:r>
        <w:rPr>
          <w:b w:val="0"/>
          <w:i w:val="0"/>
        </w:rPr>
        <w:t>) exists precisely because antibodies keep appearing and cannot be predicted.</w:t>
      </w:r>
    </w:p>
    <w:p>
      <w:pPr>
        <w:pStyle w:val="Heading2"/>
      </w:pPr>
      <w:r>
        <w:t>The Antibodies</w:t>
      </w:r>
    </w:p>
    <w:p>
      <w:r>
        <w:rPr>
          <w:b w:val="0"/>
          <w:i w:val="0"/>
        </w:rPr>
      </w:r>
      <w:r>
        <w:rPr>
          <w:b/>
          <w:i w:val="0"/>
        </w:rPr>
        <w:t>C.S. Lewis</w:t>
      </w:r>
      <w:r>
        <w:rPr>
          <w:b w:val="0"/>
          <w:i w:val="0"/>
        </w:rPr>
        <w:t xml:space="preserve"> — Christian apologist who encoded the pre-Copernican planetary cosmology (each planet governed by an Intelligence) in </w:t>
      </w:r>
      <w:r>
        <w:rPr>
          <w:b w:val="0"/>
          <w:i/>
        </w:rPr>
        <w:t>The Discarded Image</w:t>
      </w:r>
      <w:r>
        <w:rPr>
          <w:b w:val="0"/>
          <w:i w:val="0"/>
        </w:rPr>
        <w:t xml:space="preserve">, </w:t>
      </w:r>
      <w:r>
        <w:rPr>
          <w:b w:val="0"/>
          <w:i/>
        </w:rPr>
        <w:t>Space Trilogy</w:t>
      </w:r>
      <w:r>
        <w:rPr>
          <w:b w:val="0"/>
          <w:i w:val="0"/>
        </w:rPr>
        <w:t xml:space="preserve">, and </w:t>
      </w:r>
      <w:r>
        <w:rPr>
          <w:b w:val="0"/>
          <w:i/>
        </w:rPr>
        <w:t>Narnia</w:t>
      </w:r>
      <w:r>
        <w:rPr>
          <w:b w:val="0"/>
          <w:i w:val="0"/>
        </w:rPr>
        <w:t xml:space="preserve"> (each book keyed to a planet per Ward's </w:t>
      </w:r>
      <w:r>
        <w:rPr>
          <w:b w:val="0"/>
          <w:i/>
        </w:rPr>
        <w:t>Planet Narnia</w:t>
      </w:r>
      <w:r>
        <w:rPr>
          <w:b w:val="0"/>
          <w:i w:val="0"/>
        </w:rPr>
        <w:t>). Shield: beloved children's author.</w:t>
      </w:r>
    </w:p>
    <w:p>
      <w:r>
        <w:rPr>
          <w:b w:val="0"/>
          <w:i w:val="0"/>
        </w:rPr>
      </w:r>
      <w:r>
        <w:rPr>
          <w:b/>
          <w:i w:val="0"/>
        </w:rPr>
        <w:t>Daniel Ellsberg</w:t>
      </w:r>
      <w:r>
        <w:rPr>
          <w:b w:val="0"/>
          <w:i w:val="0"/>
        </w:rPr>
        <w:t xml:space="preserve"> — Pentagon/RAND analyst who knew the Gulf of Tonkin second attack never happened; leaked the Pentagon Papers (1971); spent 52 years exposing government lies. Shield: First Amendment.</w:t>
      </w:r>
    </w:p>
    <w:p>
      <w:r>
        <w:rPr>
          <w:b w:val="0"/>
          <w:i w:val="0"/>
        </w:rPr>
      </w:r>
      <w:r>
        <w:rPr>
          <w:b/>
          <w:i w:val="0"/>
        </w:rPr>
        <w:t>Giordano Bruno</w:t>
      </w:r>
      <w:r>
        <w:rPr>
          <w:b w:val="0"/>
          <w:i w:val="0"/>
        </w:rPr>
        <w:t xml:space="preserve"> — Proposed infinite inhabited worlds, stars as distant suns; burned at the stake in Rome (1600) for refusing to recant. No shield.</w:t>
      </w:r>
    </w:p>
    <w:p>
      <w:r>
        <w:rPr>
          <w:b w:val="0"/>
          <w:i w:val="0"/>
        </w:rPr>
      </w:r>
      <w:r>
        <w:rPr>
          <w:b/>
          <w:i w:val="0"/>
        </w:rPr>
        <w:t>Smedley Butler</w:t>
      </w:r>
      <w:r>
        <w:rPr>
          <w:b w:val="0"/>
          <w:i w:val="0"/>
        </w:rPr>
        <w:t xml:space="preserve"> — Most decorated Marine; testified to the Business Plot (Wall Street fascist coup against FDR); published </w:t>
      </w:r>
      <w:r>
        <w:rPr>
          <w:b w:val="0"/>
          <w:i/>
        </w:rPr>
        <w:t>War Is a Racket</w:t>
      </w:r>
      <w:r>
        <w:rPr>
          <w:b w:val="0"/>
          <w:i w:val="0"/>
        </w:rPr>
        <w:t xml:space="preserve"> (1935). Shield: service record.</w:t>
      </w:r>
    </w:p>
    <w:p>
      <w:r>
        <w:rPr>
          <w:b w:val="0"/>
          <w:i w:val="0"/>
        </w:rPr>
      </w:r>
      <w:r>
        <w:rPr>
          <w:b/>
          <w:i w:val="0"/>
        </w:rPr>
        <w:t>Nikola Tesla</w:t>
      </w:r>
      <w:r>
        <w:rPr>
          <w:b w:val="0"/>
          <w:i w:val="0"/>
        </w:rPr>
        <w:t xml:space="preserve"> — Wardenclyffe Tower for free wireless power; Morgan withdrew funding ("where do we put the meter?"); papers seized at death. Shield: patents.</w:t>
      </w:r>
    </w:p>
    <w:p>
      <w:r>
        <w:rPr>
          <w:b w:val="0"/>
          <w:i w:val="0"/>
        </w:rPr>
      </w:r>
      <w:r>
        <w:rPr>
          <w:b/>
          <w:i w:val="0"/>
        </w:rPr>
        <w:t>Immanuel Velikovsky</w:t>
      </w:r>
      <w:r>
        <w:rPr>
          <w:b w:val="0"/>
          <w:i w:val="0"/>
        </w:rPr>
        <w:t xml:space="preserve"> — </w:t>
      </w:r>
      <w:r>
        <w:rPr>
          <w:b w:val="0"/>
          <w:i/>
        </w:rPr>
        <w:t>Worlds in Collision</w:t>
      </w:r>
      <w:r>
        <w:rPr>
          <w:b w:val="0"/>
          <w:i w:val="0"/>
        </w:rPr>
        <w:t xml:space="preserve"> (1950); Harvard-organized publisher boycott; commercial success outran suppression. Shield: bestseller.</w:t>
      </w:r>
    </w:p>
    <w:p>
      <w:r>
        <w:rPr>
          <w:b w:val="0"/>
          <w:i w:val="0"/>
        </w:rPr>
      </w:r>
      <w:r>
        <w:rPr>
          <w:b/>
          <w:i w:val="0"/>
        </w:rPr>
        <w:t>Mordechai Vanunu</w:t>
      </w:r>
      <w:r>
        <w:rPr>
          <w:b w:val="0"/>
          <w:i w:val="0"/>
        </w:rPr>
        <w:t xml:space="preserve"> — Exposed Israel's secret nuclear program (1986); kidnapped, 18 years prison, 11 in solitary. No shield.</w:t>
      </w:r>
    </w:p>
    <w:p>
      <w:r>
        <w:rPr>
          <w:b w:val="0"/>
          <w:i w:val="0"/>
        </w:rPr>
      </w:r>
      <w:r>
        <w:rPr>
          <w:b/>
          <w:i w:val="0"/>
        </w:rPr>
        <w:t>Gary Webb</w:t>
      </w:r>
      <w:r>
        <w:rPr>
          <w:b w:val="0"/>
          <w:i w:val="0"/>
        </w:rPr>
        <w:t xml:space="preserve"> — "Dark Alliance" (1996) on CIA–Contra–cocaine pipeline; career destroyed; found dead, two gunshots to head, ruled suicide. Shield: press credentials.</w:t>
      </w:r>
    </w:p>
    <w:p>
      <w:r>
        <w:rPr>
          <w:b w:val="0"/>
          <w:i w:val="0"/>
        </w:rPr>
      </w:r>
      <w:r>
        <w:rPr>
          <w:b/>
          <w:i w:val="0"/>
        </w:rPr>
        <w:t>Galen Windsor</w:t>
      </w:r>
      <w:r>
        <w:rPr>
          <w:b w:val="0"/>
          <w:i w:val="0"/>
        </w:rPr>
        <w:t xml:space="preserve"> — Hanford nuclear handler who ate radioactive material on camera to demonstrate the manufactured "nuclear waste crisis"; lived to 82. Shield: fuel-handler license.</w:t>
      </w:r>
    </w:p>
    <w:p>
      <w:r>
        <w:rPr>
          <w:b w:val="0"/>
          <w:i w:val="0"/>
        </w:rPr>
      </w:r>
      <w:r>
        <w:rPr>
          <w:b/>
          <w:i w:val="0"/>
        </w:rPr>
        <w:t>William Cooper</w:t>
      </w:r>
      <w:r>
        <w:rPr>
          <w:b w:val="0"/>
          <w:i w:val="0"/>
        </w:rPr>
        <w:t xml:space="preserve"> — Naval Intelligence; predicted 9/11 and bin Laden blame (June 2001); shot dead by sheriff's deputies (Nov 2001). Shield: military credentials.</w:t>
      </w:r>
    </w:p>
    <w:p>
      <w:r>
        <w:rPr>
          <w:b w:val="0"/>
          <w:i w:val="0"/>
        </w:rPr>
        <w:t xml:space="preserve">For the full evidentiary record, see </w:t>
      </w:r>
      <w:hyperlink r:id="rId17">
        <w:r>
          <w:rPr>
            <w:b w:val="0"/>
            <w:i w:val="0"/>
            <w:color w:val="B8860B"/>
          </w:rPr>
          <w:t>Historical Antibodies: Detailed Profiles</w:t>
        </w:r>
      </w:hyperlink>
      <w:r>
        <w:rPr>
          <w:b w:val="0"/>
          <w:i w:val="0"/>
        </w:rPr>
        <w:t>.</w:t>
      </w:r>
    </w:p>
    <w:p>
      <w:r>
        <w:rPr>
          <w:b w:val="0"/>
          <w:i w:val="0"/>
        </w:rPr>
      </w:r>
      <w:r>
        <w:rPr>
          <w:b/>
          <w:i w:val="0"/>
        </w:rPr>
        <w:t>Tolkien note.</w:t>
      </w:r>
      <w:r>
        <w:rPr>
          <w:b w:val="0"/>
          <w:i w:val="0"/>
        </w:rPr>
        <w:t xml:space="preserve"> Lewis's close friend J.R.R. Tolkien is often placed in the same category; this timeline covers him in </w:t>
      </w:r>
      <w:hyperlink r:id="rId46">
        <w:r>
          <w:rPr>
            <w:b w:val="0"/>
            <w:i w:val="0"/>
            <w:color w:val="B8860B"/>
          </w:rPr>
          <w:t>Predictive Programming: Literature</w:t>
        </w:r>
      </w:hyperlink>
      <w:r>
        <w:rPr>
          <w:b w:val="0"/>
          <w:i w:val="0"/>
        </w:rPr>
        <w:t xml:space="preserve">. Tolkien may have been </w:t>
      </w:r>
      <w:r>
        <w:rPr>
          <w:b/>
          <w:i w:val="0"/>
        </w:rPr>
        <w:t>controlled opposition</w:t>
      </w:r>
      <w:r>
        <w:rPr>
          <w:b w:val="0"/>
          <w:i w:val="0"/>
        </w:rPr>
        <w:t xml:space="preserve"> — the scale of the Elvish languages strains belief as one man's work; Fomenko argues the same for Shakespeare (collective workshops). Until evidence emerges, Tolkien remains in the predictive-programming article.</w:t>
      </w:r>
    </w:p>
    <w:p>
      <w:pPr>
        <w:pStyle w:val="Heading2"/>
      </w:pPr>
      <w:r>
        <w:t>The Pattern</w:t>
      </w:r>
    </w:p>
    <w:p>
      <w:r>
        <w:rPr>
          <w:b w:val="0"/>
          <w:i w:val="0"/>
        </w:rPr>
        <w:t>The more direct the exposure, the more severe the response. Lewis survived because his encoding was invisible. Bruno and Cooper died because they spoke plainly. The Pyramidal Empire can manage controlled opposition; it cannot predict when someone inside will decide the truth matters more than career, freedom, or life.</w:t>
      </w:r>
    </w:p>
    <w:p>
      <w:pPr>
        <w:pStyle w:val="Heading2"/>
      </w:pPr>
      <w:r>
        <w:t>Cross-References</w:t>
      </w:r>
    </w:p>
    <w:p>
      <w:pPr>
        <w:pStyle w:val="ListBullet"/>
        <w:spacing w:before="20" w:after="20"/>
      </w:pPr>
      <w:hyperlink r:id="rId69">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244">
        <w:r>
          <w:rPr>
            <w:b w:val="0"/>
            <w:i w:val="0"/>
            <w:color w:val="B8860B"/>
            <w:sz w:val="19"/>
          </w:rPr>
          <w:t>Shakespeare Encodes the Horde</w:t>
        </w:r>
      </w:hyperlink>
      <w:r>
        <w:rPr>
          <w:b w:val="0"/>
          <w:i w:val="0"/>
          <w:sz w:val="19"/>
        </w:rPr>
        <w:t xml:space="preserve"> — Fomenko's collective-pseudonym thesis, the structural parallel for the Tolkien question</w:t>
      </w:r>
    </w:p>
    <w:p>
      <w:pPr>
        <w:pStyle w:val="ListBullet"/>
        <w:spacing w:before="20" w:after="20"/>
      </w:pPr>
      <w:hyperlink r:id="rId80">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60">
        <w:r>
          <w:rPr>
            <w:b w:val="0"/>
            <w:i w:val="0"/>
            <w:color w:val="B8860B"/>
            <w:sz w:val="19"/>
          </w:rPr>
          <w:t>False Flags</w:t>
        </w:r>
      </w:hyperlink>
      <w:r>
        <w:rPr>
          <w:b w:val="0"/>
          <w:i w:val="0"/>
          <w:sz w:val="19"/>
        </w:rPr>
        <w:t xml:space="preserve"> — manufactured events that antibodies expose</w:t>
      </w:r>
    </w:p>
    <w:p>
      <w:pPr>
        <w:pStyle w:val="ListBullet"/>
        <w:spacing w:before="20" w:after="20"/>
      </w:pPr>
      <w:hyperlink r:id="rId17">
        <w:r>
          <w:rPr>
            <w:b w:val="0"/>
            <w:i w:val="0"/>
            <w:color w:val="B8860B"/>
            <w:sz w:val="19"/>
          </w:rPr>
          <w:t>Historical Antibodies: Detailed Profiles</w:t>
        </w:r>
      </w:hyperlink>
      <w:r>
        <w:rPr>
          <w:b w:val="0"/>
          <w:i w:val="0"/>
          <w:sz w:val="19"/>
        </w:rPr>
        <w:t xml:space="preserve"> — appendix with full evidentiary record</w:t>
      </w:r>
    </w:p>
    <w:p/>
    <w:p>
      <w:pPr>
        <w:sectPr>
          <w:headerReference w:type="default" r:id="rId242"/>
          <w:footerReference w:type="default" r:id="rId243"/>
          <w:pgSz w:w="8640" w:h="12960"/>
          <w:pgMar w:top="1020" w:right="1134" w:bottom="1134" w:left="1134" w:header="720" w:footer="720" w:gutter="0"/>
          <w:cols w:space="720"/>
          <w:titlePg/>
          <w:docGrid w:linePitch="360"/>
        </w:sectPr>
      </w:pPr>
    </w:p>
    <w:p>
      <w:pPr>
        <w:pStyle w:val="Heading2"/>
      </w:pPr>
      <w:r>
        <w:rPr>
          <w:b/>
        </w:rPr>
        <w:t>Chapter 22: False Flags: Architecture of Manufactured War (Extended)</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A </w:t>
      </w:r>
      <w:r>
        <w:rPr>
          <w:b/>
          <w:i w:val="0"/>
        </w:rPr>
        <w:t>false flag</w:t>
      </w:r>
      <w:r>
        <w:rPr>
          <w:b w:val="0"/>
          <w:i w:val="0"/>
        </w:rPr>
        <w:t xml:space="preserve"> is a military or political operation designed to appear as if carried out by someone other than its actual perpetrators. The name comes from the naval practice of flying another nation's flag to approach an enemy ship undetected. In the 20th and 21st centuries, false flags became the </w:t>
      </w:r>
      <w:r>
        <w:rPr>
          <w:b/>
          <w:i w:val="0"/>
        </w:rPr>
        <w:t>primary mechanism</w:t>
      </w:r>
      <w:r>
        <w:rPr>
          <w:b w:val="0"/>
          <w:i w:val="0"/>
        </w:rPr>
        <w:t xml:space="preserve"> by which the Deep State manufactured public consent for wars, domestic surveillance, and regime change — transforming reluctant democracies into all-out war machines overnight.</w:t>
      </w:r>
    </w:p>
    <w:p>
      <w:r>
        <w:rPr>
          <w:b w:val="0"/>
          <w:i w:val="0"/>
        </w:rPr>
        <w:t xml:space="preserve">The pattern is always the same: </w:t>
      </w:r>
      <w:r>
        <w:rPr>
          <w:b/>
          <w:i w:val="0"/>
        </w:rPr>
        <w:t>a spectacular attack occurs, blame is assigned within hours, and pre-drafted legislation or military plans are executed before the public can think.</w:t>
      </w:r>
      <w:r>
        <w:rPr>
          <w:b w:val="0"/>
          <w:i w:val="0"/>
        </w:rPr>
        <w:t xml:space="preserve"> The Gulf of Tonkin. The sinking of the Lusitania. The Reichstag Fire. But none of these compare — in scale, in premeditation, or in consequences — to Pearl Harbor.</w:t>
      </w:r>
    </w:p>
    <w:p>
      <w:pPr>
        <w:pStyle w:val="Heading2"/>
      </w:pPr>
      <w:r>
        <w:t>Pearl Harbor</w:t>
      </w:r>
    </w:p>
    <w:p>
      <w:r>
        <w:rPr>
          <w:b w:val="0"/>
          <w:i w:val="0"/>
        </w:rPr>
        <w:t xml:space="preserve">The </w:t>
      </w:r>
      <w:hyperlink r:id="rId86">
        <w:r>
          <w:rPr>
            <w:b w:val="0"/>
            <w:i w:val="0"/>
            <w:color w:val="B8860B"/>
          </w:rPr>
          <w:t>McCollum Memo</w:t>
        </w:r>
      </w:hyperlink>
      <w:r>
        <w:rPr>
          <w:b w:val="0"/>
          <w:i w:val="0"/>
        </w:rPr>
        <w:t xml:space="preserve"> (Oct 1940) outlined eight provocations to force Japan into war; all were implemented. FDR relocated the Pacific Fleet to indefensible Pearl Harbor; carriers were at sea, obsolete battleships remained. The U.S. had broken Japan's </w:t>
      </w:r>
      <w:hyperlink r:id="rId247">
        <w:r>
          <w:rPr>
            <w:b w:val="0"/>
            <w:i w:val="0"/>
            <w:color w:val="B8860B"/>
          </w:rPr>
          <w:t>Purple code</w:t>
        </w:r>
      </w:hyperlink>
      <w:r>
        <w:rPr>
          <w:b w:val="0"/>
          <w:i w:val="0"/>
        </w:rPr>
        <w:t xml:space="preserve">; Yamamoto's strike order (Nov 24) was never forwarded to Hawaiian commanders. Stimson's diary: </w:t>
      </w:r>
      <w:r>
        <w:rPr>
          <w:b w:val="0"/>
          <w:i/>
        </w:rPr>
        <w:t>"make sure the Japanese be the ones"</w:t>
      </w:r>
      <w:r>
        <w:rPr>
          <w:b w:val="0"/>
          <w:i w:val="0"/>
        </w:rPr>
        <w:t xml:space="preserve"> to fire first. Kimmel and Short were scapegoated; no court-martial (would have exposed withheld intelligence). Pearl Harbor was damage control: Hitler was failing at Moscow; the Deep State needed America in to stop Soviet expansion and rescue assets via </w:t>
      </w:r>
      <w:hyperlink r:id="rId248">
        <w:r>
          <w:rPr>
            <w:b w:val="0"/>
            <w:i w:val="0"/>
            <w:color w:val="B8860B"/>
          </w:rPr>
          <w:t>Operation Paperclip</w:t>
        </w:r>
      </w:hyperlink>
      <w:r>
        <w:rPr>
          <w:b w:val="0"/>
          <w:i w:val="0"/>
        </w:rPr>
        <w:t xml:space="preserve">. The nuclear bombings functioned to terrify Russia; evidence suggests conventional or DU-enhanced means. See </w:t>
      </w:r>
      <w:hyperlink r:id="rId18">
        <w:r>
          <w:rPr>
            <w:b w:val="0"/>
            <w:i w:val="0"/>
            <w:color w:val="B8860B"/>
          </w:rPr>
          <w:t>Appendix: False Flags Investigation</w:t>
        </w:r>
      </w:hyperlink>
      <w:r>
        <w:rPr>
          <w:b w:val="0"/>
          <w:i w:val="0"/>
        </w:rPr>
        <w:t xml:space="preserve"> for full dossier.</w:t>
      </w:r>
    </w:p>
    <w:p>
      <w:pPr>
        <w:pStyle w:val="Heading2"/>
      </w:pPr>
      <w:r>
        <w:t>Other Case Studies</w:t>
      </w:r>
    </w:p>
    <w:p>
      <w:r>
        <w:rPr>
          <w:b w:val="0"/>
          <w:i w:val="0"/>
        </w:rPr>
      </w:r>
      <w:r>
        <w:rPr>
          <w:b/>
          <w:i w:val="0"/>
        </w:rPr>
        <w:t>Battle of LA (Feb 1942):</w:t>
      </w:r>
      <w:r>
        <w:rPr>
          <w:b w:val="0"/>
          <w:i w:val="0"/>
        </w:rPr>
        <w:t xml:space="preserve"> 1,400+ anti-aircraft rounds; no bombs, no wreckage; Japan confirmed no aircraft; object survived. </w:t>
      </w:r>
      <w:r>
        <w:rPr>
          <w:b/>
          <w:i w:val="0"/>
        </w:rPr>
        <w:t>German exodus:</w:t>
      </w:r>
      <w:r>
        <w:rPr>
          <w:b w:val="0"/>
          <w:i w:val="0"/>
        </w:rPr>
        <w:t xml:space="preserve"> Advanced U-boat/aerospace tech evacuated to Antarctica and possibly </w:t>
      </w:r>
      <w:hyperlink r:id="rId93">
        <w:r>
          <w:rPr>
            <w:b w:val="0"/>
            <w:i w:val="0"/>
            <w:color w:val="B8860B"/>
          </w:rPr>
          <w:t>Mars</w:t>
        </w:r>
      </w:hyperlink>
      <w:r>
        <w:rPr>
          <w:b w:val="0"/>
          <w:i w:val="0"/>
        </w:rPr>
        <w:t xml:space="preserve">. </w:t>
      </w:r>
      <w:r>
        <w:rPr>
          <w:b/>
          <w:i w:val="0"/>
        </w:rPr>
        <w:t>Israel:</w:t>
      </w:r>
      <w:r>
        <w:rPr>
          <w:b w:val="0"/>
          <w:i w:val="0"/>
        </w:rPr>
        <w:t xml:space="preserve"> King David Hotel, Lavon Affair, Munich Olympics — template of manufactured conflict; Hamas/ISIS as controlled opposition. </w:t>
      </w:r>
      <w:r>
        <w:rPr>
          <w:b/>
          <w:i w:val="0"/>
        </w:rPr>
        <w:t>9/11:</w:t>
      </w:r>
      <w:r>
        <w:rPr>
          <w:b w:val="0"/>
          <w:i w:val="0"/>
        </w:rPr>
        <w:t xml:space="preserve"> Broke the Deep State's slow-burn Holy War plan; Building 7 destroyed; may have been a false flag </w:t>
      </w:r>
      <w:r>
        <w:rPr>
          <w:b w:val="0"/>
          <w:i/>
        </w:rPr>
        <w:t>against</w:t>
      </w:r>
      <w:r>
        <w:rPr>
          <w:b w:val="0"/>
          <w:i w:val="0"/>
        </w:rPr>
        <w:t xml:space="preserve"> the Deep State. Full analysis in </w:t>
      </w:r>
      <w:hyperlink r:id="rId18">
        <w:r>
          <w:rPr>
            <w:b w:val="0"/>
            <w:i w:val="0"/>
            <w:color w:val="B8860B"/>
          </w:rPr>
          <w:t>Appendix: False Flags Investigation</w:t>
        </w:r>
      </w:hyperlink>
      <w:r>
        <w:rPr>
          <w:b w:val="0"/>
          <w:i w:val="0"/>
        </w:rPr>
        <w:t>.</w:t>
      </w:r>
    </w:p>
    <w:p>
      <w:pPr>
        <w:pStyle w:val="Heading2"/>
      </w:pPr>
      <w:r>
        <w:t>The Pattern</w:t>
      </w:r>
    </w:p>
    <w:p>
      <w:r>
        <w:rPr>
          <w:b w:val="0"/>
          <w:i w:val="0"/>
        </w:rPr>
        <w:t>Every major false flag follows the same architecture:</w:t>
      </w:r>
    </w:p>
    <w:p>
      <w:pPr>
        <w:pStyle w:val="ListNumber"/>
        <w:spacing w:before="20" w:after="20"/>
      </w:pPr>
      <w:r>
        <w:rPr>
          <w:b w:val="0"/>
          <w:i w:val="0"/>
          <w:sz w:val="19"/>
        </w:rPr>
      </w:r>
      <w:r>
        <w:rPr>
          <w:b/>
          <w:i w:val="0"/>
          <w:sz w:val="19"/>
        </w:rPr>
        <w:t>A spectacular, emotionally overwhelming event</w:t>
      </w:r>
      <w:r>
        <w:rPr>
          <w:b w:val="0"/>
          <w:i w:val="0"/>
          <w:sz w:val="19"/>
        </w:rPr>
        <w:t xml:space="preserve"> occurs</w:t>
      </w:r>
    </w:p>
    <w:p>
      <w:pPr>
        <w:pStyle w:val="ListNumber"/>
        <w:spacing w:before="20" w:after="20"/>
      </w:pPr>
      <w:r>
        <w:rPr>
          <w:b w:val="0"/>
          <w:i w:val="0"/>
          <w:sz w:val="19"/>
        </w:rPr>
      </w:r>
      <w:r>
        <w:rPr>
          <w:b/>
          <w:i w:val="0"/>
          <w:sz w:val="19"/>
        </w:rPr>
        <w:t>Blame is assigned within hours</w:t>
      </w:r>
      <w:r>
        <w:rPr>
          <w:b w:val="0"/>
          <w:i w:val="0"/>
          <w:sz w:val="19"/>
        </w:rPr>
        <w:t>, before investigation is possible</w:t>
      </w:r>
    </w:p>
    <w:p>
      <w:pPr>
        <w:pStyle w:val="ListNumber"/>
        <w:spacing w:before="20" w:after="20"/>
      </w:pPr>
      <w:r>
        <w:rPr>
          <w:b w:val="0"/>
          <w:i w:val="0"/>
          <w:sz w:val="19"/>
        </w:rPr>
      </w:r>
      <w:r>
        <w:rPr>
          <w:b/>
          <w:i w:val="0"/>
          <w:sz w:val="19"/>
        </w:rPr>
        <w:t>Pre-drafted responses</w:t>
      </w:r>
      <w:r>
        <w:rPr>
          <w:b w:val="0"/>
          <w:i w:val="0"/>
          <w:sz w:val="19"/>
        </w:rPr>
        <w:t xml:space="preserve"> (legislation, military plans) are executed immediately</w:t>
      </w:r>
    </w:p>
    <w:p>
      <w:pPr>
        <w:pStyle w:val="ListNumber"/>
        <w:spacing w:before="20" w:after="20"/>
      </w:pPr>
      <w:r>
        <w:rPr>
          <w:b w:val="0"/>
          <w:i w:val="0"/>
          <w:sz w:val="19"/>
        </w:rPr>
      </w:r>
      <w:r>
        <w:rPr>
          <w:b/>
          <w:i w:val="0"/>
          <w:sz w:val="19"/>
        </w:rPr>
        <w:t>Dissent is labelled as disrespect</w:t>
      </w:r>
      <w:r>
        <w:rPr>
          <w:b w:val="0"/>
          <w:i w:val="0"/>
          <w:sz w:val="19"/>
        </w:rPr>
        <w:t xml:space="preserve"> to victims</w:t>
      </w:r>
    </w:p>
    <w:p>
      <w:pPr>
        <w:pStyle w:val="ListNumber"/>
        <w:spacing w:before="20" w:after="20"/>
      </w:pPr>
      <w:r>
        <w:rPr>
          <w:b w:val="0"/>
          <w:i w:val="0"/>
          <w:sz w:val="19"/>
        </w:rPr>
      </w:r>
      <w:r>
        <w:rPr>
          <w:b/>
          <w:i w:val="0"/>
          <w:sz w:val="19"/>
        </w:rPr>
        <w:t>The actual perpetrators</w:t>
      </w:r>
      <w:r>
        <w:rPr>
          <w:b w:val="0"/>
          <w:i w:val="0"/>
          <w:sz w:val="19"/>
        </w:rPr>
        <w:t xml:space="preserve"> are never meaningfully investigated</w:t>
      </w:r>
    </w:p>
    <w:p>
      <w:r>
        <w:rPr>
          <w:b w:val="0"/>
          <w:i w:val="0"/>
        </w:rPr>
        <w:t>This pattern connects the sinking of the USS Maine (1898) to the Reichstag Fire (1933) to Pearl Harbor (1941) to the Gulf of Tonkin (1964) to 9/11 (2001) to the present day. The technology changes; the method does not.</w:t>
      </w:r>
    </w:p>
    <w:p>
      <w:r>
        <w:rPr>
          <w:b w:val="0"/>
          <w:i w:val="0"/>
        </w:rPr>
        <w:t xml:space="preserve">For the detailed investigation dossier — including sourced evidence for Pearl Harbor advance knowledge, the nuclear narrative, and the full catalogue of 20th-century false flags — see the </w:t>
      </w:r>
      <w:hyperlink r:id="rId18">
        <w:r>
          <w:rPr>
            <w:b w:val="0"/>
            <w:i w:val="0"/>
            <w:color w:val="B8860B"/>
          </w:rPr>
          <w:t>Appendix: False Flags Investigation</w:t>
        </w:r>
      </w:hyperlink>
      <w:r>
        <w:rPr>
          <w:b w:val="0"/>
          <w:i w:val="0"/>
        </w:rPr>
        <w:t>.</w:t>
      </w:r>
    </w:p>
    <w:p>
      <w:pPr>
        <w:pStyle w:val="Heading2"/>
      </w:pPr>
      <w:r>
        <w:t>References</w:t>
      </w:r>
    </w:p>
    <w:p>
      <w:pPr>
        <w:pStyle w:val="ListBullet"/>
        <w:spacing w:before="20" w:after="20"/>
      </w:pPr>
      <w:r>
        <w:rPr>
          <w:b w:val="0"/>
          <w:i w:val="0"/>
          <w:sz w:val="19"/>
        </w:rPr>
        <w:t xml:space="preserve">McCollum Memo (1940), declassified 1994. </w:t>
      </w:r>
      <w:hyperlink r:id="rId86">
        <w:r>
          <w:rPr>
            <w:b w:val="0"/>
            <w:i w:val="0"/>
            <w:color w:val="B8860B"/>
            <w:sz w:val="19"/>
          </w:rPr>
          <w:t>National Archives</w:t>
        </w:r>
      </w:hyperlink>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96">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Henry Stimson diary. </w:t>
      </w:r>
      <w:hyperlink r:id="rId249">
        <w:r>
          <w:rPr>
            <w:b w:val="0"/>
            <w:i w:val="0"/>
            <w:color w:val="B8860B"/>
            <w:sz w:val="19"/>
          </w:rPr>
          <w:t>Wikipedia</w:t>
        </w:r>
      </w:hyperlink>
    </w:p>
    <w:p>
      <w:pPr>
        <w:pStyle w:val="ListBullet"/>
        <w:spacing w:before="20" w:after="20"/>
      </w:pPr>
      <w:hyperlink r:id="rId87">
        <w:r>
          <w:rPr>
            <w:b w:val="0"/>
            <w:i w:val="0"/>
            <w:color w:val="B8860B"/>
            <w:sz w:val="19"/>
          </w:rPr>
          <w:t>Pearl Harbor advance-knowledge conspiracy theory</w:t>
        </w:r>
      </w:hyperlink>
      <w:r>
        <w:rPr>
          <w:b w:val="0"/>
          <w:i w:val="0"/>
          <w:sz w:val="19"/>
        </w:rPr>
        <w:t>, Wikipedia</w:t>
      </w:r>
    </w:p>
    <w:p>
      <w:pPr>
        <w:pStyle w:val="ListBullet"/>
        <w:spacing w:before="20" w:after="20"/>
      </w:pPr>
      <w:hyperlink r:id="rId99">
        <w:r>
          <w:rPr>
            <w:b w:val="0"/>
            <w:i w:val="0"/>
            <w:color w:val="B8860B"/>
            <w:sz w:val="19"/>
          </w:rPr>
          <w:t>Battle of Los Angeles</w:t>
        </w:r>
      </w:hyperlink>
      <w:r>
        <w:rPr>
          <w:b w:val="0"/>
          <w:i w:val="0"/>
          <w:sz w:val="19"/>
        </w:rPr>
        <w:t>, Wikipedia</w:t>
      </w:r>
    </w:p>
    <w:p>
      <w:pPr>
        <w:pStyle w:val="ListBullet"/>
        <w:spacing w:before="20" w:after="20"/>
      </w:pPr>
      <w:hyperlink r:id="rId98">
        <w:r>
          <w:rPr>
            <w:b w:val="0"/>
            <w:i w:val="0"/>
            <w:color w:val="B8860B"/>
            <w:sz w:val="19"/>
          </w:rPr>
          <w:t>The Encyclopedia of False Flag Staged Operations</w:t>
        </w:r>
      </w:hyperlink>
    </w:p>
    <w:p>
      <w:pPr>
        <w:pStyle w:val="ListBullet"/>
        <w:spacing w:before="20" w:after="20"/>
      </w:pPr>
      <w:hyperlink r:id="rId97">
        <w:r>
          <w:rPr>
            <w:b w:val="0"/>
            <w:i w:val="0"/>
            <w:color w:val="B8860B"/>
            <w:sz w:val="19"/>
          </w:rPr>
          <w:t>FalseFlag.info: Pearl Harbor</w:t>
        </w:r>
      </w:hyperlink>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
      <w:pPr>
        <w:sectPr>
          <w:headerReference w:type="default" r:id="rId245"/>
          <w:footerReference w:type="default" r:id="rId246"/>
          <w:pgSz w:w="8640" w:h="12960"/>
          <w:pgMar w:top="1020" w:right="1134" w:bottom="1134" w:left="1134" w:header="720" w:footer="720" w:gutter="0"/>
          <w:cols w:space="720"/>
          <w:titlePg/>
          <w:docGrid w:linePitch="360"/>
        </w:sectPr>
      </w:pPr>
    </w:p>
    <w:p>
      <w:pPr>
        <w:pStyle w:val="Heading2"/>
      </w:pPr>
      <w:r>
        <w:rPr>
          <w:b/>
        </w:rPr>
        <w:t>Chapter 23: Building the New Chronology (Extended)</w:t>
      </w:r>
    </w:p>
    <w:p>
      <w:r>
        <w:rPr>
          <w:b w:val="0"/>
          <w:i w:val="0"/>
        </w:rPr>
        <w:t>The case that Scaligerian chronology is fabrication was built over four centuries by independent scholars using different methods, arriving at the same conclusion: the conventional ancient timeline is internally inconsistent, astronomically incorrect, and structurally dependent on circular reasoning.</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52"/>
                    <a:stretch>
                      <a:fillRect/>
                    </a:stretch>
                  </pic:blipFill>
                  <pic:spPr>
                    <a:xfrm>
                      <a:off x="0" y="0"/>
                      <a:ext cx="3657600" cy="2438400"/>
                    </a:xfrm>
                    <a:prstGeom prst="rect"/>
                  </pic:spPr>
                </pic:pic>
              </a:graphicData>
            </a:graphic>
          </wp:inline>
        </w:drawing>
      </w:r>
    </w:p>
    <w:p>
      <w:pPr>
        <w:pStyle w:val="Caption"/>
      </w:pPr>
      <w:r>
        <w:t>Building the New Chronology</w:t>
      </w:r>
    </w:p>
    <w:p>
      <w:pPr>
        <w:pBdr>
          <w:bottom w:val="single" w:sz="6" w:space="1" w:color="CCCCCC"/>
        </w:pBdr>
      </w:pPr>
    </w:p>
    <w:p>
      <w:pPr>
        <w:pStyle w:val="Heading2"/>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253">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110">
        <w:r>
          <w:rPr>
            <w:b w:val="0"/>
            <w:i w:val="0"/>
            <w:color w:val="B8860B"/>
          </w:rPr>
          <w:t>Fomenko profile</w:t>
        </w:r>
      </w:hyperlink>
      <w:r>
        <w:rPr>
          <w:b w:val="0"/>
          <w:i w:val="0"/>
        </w:rPr>
        <w:t>.</w:t>
      </w:r>
    </w:p>
    <w:p>
      <w:pPr>
        <w:pBdr>
          <w:bottom w:val="single" w:sz="6" w:space="1" w:color="CCCCCC"/>
        </w:pBdr>
      </w:pPr>
    </w:p>
    <w:p>
      <w:pPr>
        <w:pStyle w:val="Heading2"/>
      </w:pPr>
      <w:r>
        <w:t>Convergence</w:t>
      </w:r>
    </w:p>
    <w:p>
      <w:r>
        <w:rPr>
          <w:b w:val="0"/>
          <w:i w:val="0"/>
        </w:rPr>
        <w:t xml:space="preserve">Eight scholars, four centuries, four countries, five methods (astronomical dating, textual criticism, document forensics, statistical analysis, linguistic anachronism) — all pointing to the same conclusion: </w:t>
      </w:r>
      <w:r>
        <w:rPr>
          <w:b/>
          <w:i w:val="0"/>
        </w:rPr>
        <w:t>the Scaligerian first-millennium CE timeline is constructed chronology assembled from displaced copies of medieval sources</w:t>
      </w:r>
      <w:r>
        <w:rPr>
          <w:b w:val="0"/>
          <w:i w:val="0"/>
        </w:rPr>
        <w:t>. The Blip is what this convergence implies.</w:t>
      </w:r>
    </w:p>
    <w:p>
      <w:r>
        <w:rPr>
          <w:b w:val="0"/>
          <w:i w:val="0"/>
        </w:rPr>
        <w:t xml:space="preserve">For gap-size comparison, see </w:t>
      </w:r>
      <w:hyperlink r:id="rId136">
        <w:r>
          <w:rPr>
            <w:b w:val="0"/>
            <w:i w:val="0"/>
            <w:color w:val="B8860B"/>
          </w:rPr>
          <w:t>Other Challenges to Chronology</w:t>
        </w:r>
      </w:hyperlink>
      <w:r>
        <w:rPr>
          <w:b w:val="0"/>
          <w:i w:val="0"/>
        </w:rPr>
        <w:t>.</w:t>
      </w:r>
    </w:p>
    <w:p/>
    <w:p>
      <w:pPr>
        <w:sectPr>
          <w:headerReference w:type="default" r:id="rId250"/>
          <w:footerReference w:type="default" r:id="rId251"/>
          <w:pgSz w:w="8640" w:h="12960"/>
          <w:pgMar w:top="1020" w:right="1134" w:bottom="1134" w:left="1134" w:header="720" w:footer="720" w:gutter="0"/>
          <w:cols w:space="720"/>
          <w:titlePg/>
          <w:docGrid w:linePitch="360"/>
        </w:sectPr>
      </w:pPr>
    </w:p>
    <w:p>
      <w:pPr>
        <w:pStyle w:val="Heading2"/>
      </w:pPr>
      <w:r>
        <w:rPr>
          <w:b/>
        </w:rPr>
        <w:t>Chapter 24: Censorship and Book Burning: From Alexandria to the Internet (Extended)</w:t>
      </w:r>
    </w:p>
    <w:p>
      <w:pPr>
        <w:pStyle w:val="Heading2"/>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r>
        <w:rPr>
          <w:b w:val="0"/>
          <w:i w:val="0"/>
        </w:rPr>
        <w:t>This article traces the pattern of deliberate record destruction from antiquity to the digital age, with emphasis on the understudied 20th century campaigns that shaped the historical record we inherit today.</w:t>
      </w:r>
    </w:p>
    <w:p>
      <w:pPr>
        <w:pStyle w:val="Heading2"/>
      </w:pPr>
      <w:r>
        <w:t>The Historical Record</w:t>
      </w:r>
    </w:p>
    <w:p>
      <w:r>
        <w:rPr>
          <w:b w:val="0"/>
          <w:i w:val="0"/>
        </w:rPr>
        <w:t>The pattern of deliberate record destruction stretches from antiquity to the present. Key episodes include:</w:t>
      </w:r>
    </w:p>
    <w:p>
      <w:pPr>
        <w:pStyle w:val="ListBullet"/>
        <w:spacing w:before="20" w:after="20"/>
      </w:pPr>
      <w:r>
        <w:rPr>
          <w:b w:val="0"/>
          <w:i w:val="0"/>
          <w:sz w:val="19"/>
        </w:rPr>
      </w:r>
      <w:r>
        <w:rPr>
          <w:b/>
          <w:i w:val="0"/>
          <w:sz w:val="19"/>
        </w:rPr>
        <w:t>The Library of Alexandria</w:t>
      </w:r>
      <w:r>
        <w:rPr>
          <w:b w:val="0"/>
          <w:i w:val="0"/>
          <w:sz w:val="19"/>
        </w:rPr>
        <w:t xml:space="preserve"> — repeatedly targeted across centuries by multiple factions (Caesar, Theophilus, Caliph Omar); under Fomenko's analysis, these may represent a single event duplicated across phantom centuries</w:t>
      </w:r>
    </w:p>
    <w:p>
      <w:pPr>
        <w:pStyle w:val="ListBullet"/>
        <w:spacing w:before="20" w:after="20"/>
      </w:pPr>
      <w:r>
        <w:rPr>
          <w:b w:val="0"/>
          <w:i w:val="0"/>
          <w:sz w:val="19"/>
        </w:rPr>
      </w:r>
      <w:r>
        <w:rPr>
          <w:b/>
          <w:i w:val="0"/>
          <w:sz w:val="19"/>
        </w:rPr>
        <w:t>Qin Shi Huang</w:t>
      </w:r>
      <w:r>
        <w:rPr>
          <w:b w:val="0"/>
          <w:i w:val="0"/>
          <w:sz w:val="19"/>
        </w:rPr>
        <w:t xml:space="preserve"> (213 BC, Scaligerian) — burned all books except agriculture, medicine, and divination; buried scholars alive</w:t>
      </w:r>
    </w:p>
    <w:p>
      <w:pPr>
        <w:pStyle w:val="ListBullet"/>
        <w:spacing w:before="20" w:after="20"/>
      </w:pPr>
      <w:r>
        <w:rPr>
          <w:b w:val="0"/>
          <w:i w:val="0"/>
          <w:sz w:val="19"/>
        </w:rPr>
      </w:r>
      <w:r>
        <w:rPr>
          <w:b/>
          <w:i w:val="0"/>
          <w:sz w:val="19"/>
        </w:rPr>
        <w:t>Roman Imperial censorship</w:t>
      </w:r>
      <w:r>
        <w:rPr>
          <w:b w:val="0"/>
          <w:i w:val="0"/>
          <w:sz w:val="19"/>
        </w:rPr>
        <w:t xml:space="preserve"> — destruction of Etruscan, Druidic, and Sibylline records</w:t>
      </w:r>
    </w:p>
    <w:p>
      <w:pPr>
        <w:pStyle w:val="ListBullet"/>
        <w:spacing w:before="20" w:after="20"/>
      </w:pPr>
      <w:r>
        <w:rPr>
          <w:b w:val="0"/>
          <w:i w:val="0"/>
          <w:sz w:val="19"/>
        </w:rPr>
      </w:r>
      <w:r>
        <w:rPr>
          <w:b/>
          <w:i w:val="0"/>
          <w:sz w:val="19"/>
        </w:rPr>
        <w:t>Christianisation campaigns</w:t>
      </w:r>
      <w:r>
        <w:rPr>
          <w:b w:val="0"/>
          <w:i w:val="0"/>
          <w:sz w:val="19"/>
        </w:rPr>
        <w:t xml:space="preserve"> — monastic "preservation" meant selective copying; Bishop de Landa burned all but four Mayan codices (1562); the Index Librorum Prohibitorum ran from 1559 to 1966</w:t>
      </w:r>
    </w:p>
    <w:p>
      <w:pPr>
        <w:pStyle w:val="ListBullet"/>
        <w:spacing w:before="20" w:after="20"/>
      </w:pPr>
      <w:r>
        <w:rPr>
          <w:b w:val="0"/>
          <w:i w:val="0"/>
          <w:sz w:val="19"/>
        </w:rPr>
      </w:r>
      <w:r>
        <w:rPr>
          <w:b/>
          <w:i w:val="0"/>
          <w:sz w:val="19"/>
        </w:rPr>
        <w:t>Scaliger and Petavius</w:t>
      </w:r>
      <w:r>
        <w:rPr>
          <w:b w:val="0"/>
          <w:i w:val="0"/>
          <w:sz w:val="19"/>
        </w:rPr>
        <w:t xml:space="preserve"> (16th–17th c.) — constructed the fraudulent chronological framework, enforced through institutional authority; records that contradicted it were reinterpreted rather than destroyed</w:t>
      </w:r>
    </w:p>
    <w:p>
      <w:pPr>
        <w:pStyle w:val="ListBullet"/>
        <w:spacing w:before="20" w:after="20"/>
      </w:pPr>
      <w:r>
        <w:rPr>
          <w:b w:val="0"/>
          <w:i w:val="0"/>
          <w:sz w:val="19"/>
        </w:rPr>
      </w:r>
      <w:r>
        <w:rPr>
          <w:b/>
          <w:i w:val="0"/>
          <w:sz w:val="19"/>
        </w:rPr>
        <w:t>Bolshevik Revolution</w:t>
      </w:r>
      <w:r>
        <w:rPr>
          <w:b w:val="0"/>
          <w:i w:val="0"/>
          <w:sz w:val="19"/>
        </w:rPr>
        <w:t xml:space="preserve"> (1917) — destroyed Tsarist archives, eliminated the intellectual class, rewrote encyclopedias in real time</w:t>
      </w:r>
    </w:p>
    <w:p>
      <w:pPr>
        <w:pStyle w:val="ListBullet"/>
        <w:spacing w:before="20" w:after="20"/>
      </w:pPr>
      <w:r>
        <w:rPr>
          <w:b w:val="0"/>
          <w:i w:val="0"/>
          <w:sz w:val="19"/>
        </w:rPr>
      </w:r>
      <w:r>
        <w:rPr>
          <w:b/>
          <w:i w:val="0"/>
          <w:sz w:val="19"/>
        </w:rPr>
        <w:t>Nazi book burning</w:t>
      </w:r>
      <w:r>
        <w:rPr>
          <w:b w:val="0"/>
          <w:i w:val="0"/>
          <w:sz w:val="19"/>
        </w:rPr>
        <w:t xml:space="preserve"> (1933) — 25,000 books burned in Berlin alone; the regime secretly preserved seized material for its own use</w:t>
      </w:r>
    </w:p>
    <w:p>
      <w:pPr>
        <w:pStyle w:val="ListBullet"/>
        <w:spacing w:before="20" w:after="20"/>
      </w:pPr>
      <w:r>
        <w:rPr>
          <w:b w:val="0"/>
          <w:i w:val="0"/>
          <w:sz w:val="19"/>
        </w:rPr>
      </w:r>
      <w:r>
        <w:rPr>
          <w:b/>
          <w:i w:val="0"/>
          <w:sz w:val="19"/>
        </w:rPr>
        <w:t>Allied bombing</w:t>
      </w:r>
      <w:r>
        <w:rPr>
          <w:b w:val="0"/>
          <w:i w:val="0"/>
          <w:sz w:val="19"/>
        </w:rPr>
        <w:t xml:space="preserve"> (1943–45) — destroyed vast German historical archives stretching back centuries</w:t>
      </w:r>
    </w:p>
    <w:p>
      <w:pPr>
        <w:pStyle w:val="ListBullet"/>
        <w:spacing w:before="20" w:after="20"/>
      </w:pPr>
      <w:r>
        <w:rPr>
          <w:b w:val="0"/>
          <w:i w:val="0"/>
          <w:sz w:val="19"/>
        </w:rPr>
      </w:r>
      <w:r>
        <w:rPr>
          <w:b/>
          <w:i w:val="0"/>
          <w:sz w:val="19"/>
        </w:rPr>
        <w:t>Operation Paperclip</w:t>
      </w:r>
      <w:r>
        <w:rPr>
          <w:b w:val="0"/>
          <w:i w:val="0"/>
          <w:sz w:val="19"/>
        </w:rPr>
        <w:t xml:space="preserve"> (1945) — American and Soviet seizure of German records; much remains classified</w:t>
      </w:r>
    </w:p>
    <w:p>
      <w:pPr>
        <w:pStyle w:val="ListBullet"/>
        <w:spacing w:before="20" w:after="20"/>
      </w:pPr>
      <w:r>
        <w:rPr>
          <w:b w:val="0"/>
          <w:i w:val="0"/>
          <w:sz w:val="19"/>
        </w:rPr>
      </w:r>
      <w:r>
        <w:rPr>
          <w:b/>
          <w:i w:val="0"/>
          <w:sz w:val="19"/>
        </w:rPr>
        <w:t>Chinese Cultural Revolution</w:t>
      </w:r>
      <w:r>
        <w:rPr>
          <w:b w:val="0"/>
          <w:i w:val="0"/>
          <w:sz w:val="19"/>
        </w:rPr>
        <w:t xml:space="preserve"> (1966–76) — systematic destruction of temples, classical texts, genealogical records under the "Four Olds" campaign</w:t>
      </w:r>
    </w:p>
    <w:p>
      <w:pPr>
        <w:pStyle w:val="ListBullet"/>
        <w:spacing w:before="20" w:after="20"/>
      </w:pPr>
      <w:r>
        <w:rPr>
          <w:b w:val="0"/>
          <w:i w:val="0"/>
          <w:sz w:val="19"/>
        </w:rPr>
      </w:r>
      <w:r>
        <w:rPr>
          <w:b/>
          <w:i w:val="0"/>
          <w:sz w:val="19"/>
        </w:rPr>
        <w:t>Operation Mockingbird</w:t>
      </w:r>
      <w:r>
        <w:rPr>
          <w:b w:val="0"/>
          <w:i w:val="0"/>
          <w:sz w:val="19"/>
        </w:rPr>
        <w:t xml:space="preserve"> (1948–75+) — shifted from destroying records to controlling the narrative surrounding them</w:t>
      </w:r>
    </w:p>
    <w:p>
      <w:r>
        <w:rPr>
          <w:b w:val="0"/>
          <w:i w:val="0"/>
        </w:rPr>
        <w:t xml:space="preserve">For detailed episodes and 21st century digital censorship (platform monopoly, memory holes): </w:t>
      </w:r>
      <w:hyperlink r:id="rId16">
        <w:r>
          <w:rPr>
            <w:b w:val="0"/>
            <w:i w:val="0"/>
            <w:color w:val="B8860B"/>
          </w:rPr>
          <w:t>Censorship: The Historical Record</w:t>
        </w:r>
      </w:hyperlink>
      <w:r>
        <w:rPr>
          <w:b w:val="0"/>
          <w:i w:val="0"/>
        </w:rPr>
        <w:t>.</w:t>
      </w:r>
    </w:p>
    <w:p>
      <w:pPr>
        <w:pStyle w:val="Heading2"/>
      </w:pPr>
      <w:r>
        <w:t>The Investigator's Response</w:t>
      </w:r>
    </w:p>
    <w:p>
      <w:r>
        <w:rPr>
          <w:b w:val="0"/>
          <w:i w:val="0"/>
        </w:rPr>
        <w:t>Given this millennia-long pattern, the investigator must assume:</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pPr>
      <w:r>
        <w:t>Cross-References</w:t>
      </w:r>
    </w:p>
    <w:p>
      <w:pPr>
        <w:pStyle w:val="ListBullet"/>
        <w:spacing w:before="20" w:after="20"/>
      </w:pPr>
      <w:hyperlink r:id="rId76">
        <w:r>
          <w:rPr>
            <w:b w:val="0"/>
            <w:i w:val="0"/>
            <w:color w:val="B8860B"/>
            <w:sz w:val="19"/>
          </w:rPr>
          <w:t>14.03.00 — Soviet Historiography</w:t>
        </w:r>
      </w:hyperlink>
    </w:p>
    <w:p>
      <w:pPr>
        <w:pStyle w:val="ListBullet"/>
        <w:spacing w:before="20" w:after="20"/>
      </w:pPr>
      <w:hyperlink r:id="rId256">
        <w:r>
          <w:rPr>
            <w:b w:val="0"/>
            <w:i w:val="0"/>
            <w:color w:val="B8860B"/>
            <w:sz w:val="19"/>
          </w:rPr>
          <w:t>14.02.00 — The Russian Intellectual Emigration</w:t>
        </w:r>
      </w:hyperlink>
    </w:p>
    <w:p>
      <w:pPr>
        <w:pStyle w:val="ListBullet"/>
        <w:spacing w:before="20" w:after="20"/>
      </w:pPr>
      <w:hyperlink r:id="rId49">
        <w:r>
          <w:rPr>
            <w:b w:val="0"/>
            <w:i w:val="0"/>
            <w:color w:val="B8860B"/>
            <w:sz w:val="19"/>
          </w:rPr>
          <w:t>14.06.00 — Operation Mockingbird</w:t>
        </w:r>
      </w:hyperlink>
    </w:p>
    <w:p>
      <w:pPr>
        <w:pStyle w:val="ListBullet"/>
        <w:spacing w:before="20" w:after="20"/>
      </w:pPr>
      <w:hyperlink r:id="rId69">
        <w:r>
          <w:rPr>
            <w:b w:val="0"/>
            <w:i w:val="0"/>
            <w:color w:val="B8860B"/>
            <w:sz w:val="19"/>
          </w:rPr>
          <w:t>Controlled Opposition: Managed Disclosure</w:t>
        </w:r>
      </w:hyperlink>
    </w:p>
    <w:p>
      <w:pPr>
        <w:pStyle w:val="ListBullet"/>
        <w:spacing w:before="20" w:after="20"/>
      </w:pPr>
      <w:hyperlink r:id="rId16">
        <w:r>
          <w:rPr>
            <w:b w:val="0"/>
            <w:i w:val="0"/>
            <w:color w:val="B8860B"/>
            <w:sz w:val="19"/>
          </w:rPr>
          <w:t>Censorship: The Historical Record</w:t>
        </w:r>
      </w:hyperlink>
      <w:r>
        <w:rPr>
          <w:b w:val="0"/>
          <w:i w:val="0"/>
          <w:sz w:val="19"/>
        </w:rPr>
        <w:t xml:space="preserve"> — full historical detail in Appendix</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Pr>
        <w:pStyle w:val="ListBullet"/>
        <w:spacing w:before="20" w:after="20"/>
      </w:pPr>
      <w:r>
        <w:rPr>
          <w:b w:val="0"/>
          <w:i w:val="0"/>
          <w:sz w:val="19"/>
        </w:rPr>
        <w:t xml:space="preserve">See also: </w:t>
      </w:r>
      <w:hyperlink r:id="rId16">
        <w:r>
          <w:rPr>
            <w:b w:val="0"/>
            <w:i w:val="0"/>
            <w:color w:val="B8860B"/>
            <w:sz w:val="19"/>
          </w:rPr>
          <w:t>Censorship: The Historical Record</w:t>
        </w:r>
      </w:hyperlink>
      <w:r>
        <w:rPr>
          <w:b w:val="0"/>
          <w:i w:val="0"/>
          <w:sz w:val="19"/>
        </w:rPr>
        <w:t xml:space="preserve"> for full historical sources</w:t>
      </w:r>
    </w:p>
    <w:p/>
    <w:p>
      <w:pPr>
        <w:sectPr>
          <w:headerReference w:type="default" r:id="rId254"/>
          <w:footerReference w:type="default" r:id="rId255"/>
          <w:pgSz w:w="8640" w:h="12960"/>
          <w:pgMar w:top="1020" w:right="1134" w:bottom="1134" w:left="1134" w:header="720" w:footer="720" w:gutter="0"/>
          <w:cols w:space="720"/>
          <w:titlePg/>
          <w:docGrid w:linePitch="360"/>
        </w:sectPr>
      </w:pPr>
    </w:p>
    <w:p>
      <w:pPr>
        <w:pStyle w:val="Heading2"/>
      </w:pPr>
      <w:r>
        <w:rPr>
          <w:b/>
        </w:rPr>
        <w:t>Chapter 25: Jesuit Operations: Conversion, Catholicism, and the New World (Extended)</w:t>
      </w:r>
    </w:p>
    <w:p>
      <w:r>
        <w:rPr>
          <w:b w:val="0"/>
          <w:i w:val="0"/>
        </w:rPr>
        <w:t xml:space="preserve">The Jesuits — the </w:t>
      </w:r>
      <w:hyperlink r:id="rId259">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60">
        <w:r>
          <w:rPr>
            <w:b w:val="0"/>
            <w:i w:val="0"/>
            <w:color w:val="B8860B"/>
          </w:rPr>
          <w:t>Deep State redacts Christianity</w:t>
        </w:r>
      </w:hyperlink>
      <w:r>
        <w:rPr>
          <w:b w:val="0"/>
          <w:i w:val="0"/>
        </w:rPr>
        <w:t>.</w:t>
      </w:r>
    </w:p>
    <w:p>
      <w:pPr>
        <w:pStyle w:val="Heading2"/>
      </w:pPr>
      <w:r>
        <w:t>The Founding</w:t>
      </w:r>
    </w:p>
    <w:p>
      <w:r>
        <w:rPr>
          <w:b w:val="0"/>
          <w:i w:val="0"/>
        </w:rPr>
        <w:t xml:space="preserve">The Society of Jesus was established in 1534 by </w:t>
      </w:r>
      <w:hyperlink r:id="rId261">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62">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63">
        <w:r>
          <w:rPr>
            <w:b w:val="0"/>
            <w:i w:val="0"/>
            <w:color w:val="B8860B"/>
          </w:rPr>
          <w:t>military operations</w:t>
        </w:r>
      </w:hyperlink>
      <w:r>
        <w:rPr>
          <w:b w:val="0"/>
          <w:i w:val="0"/>
        </w:rPr>
        <w:t xml:space="preserve"> were deployed.</w:t>
      </w:r>
    </w:p>
    <w:p>
      <w:pPr>
        <w:pStyle w:val="Heading2"/>
      </w:pPr>
      <w:r>
        <w:t>Jesuits Reach America</w:t>
      </w:r>
    </w:p>
    <w:p>
      <w:r>
        <w:rPr>
          <w:b w:val="0"/>
          <w:i w:val="0"/>
        </w:rPr>
        <w:t xml:space="preserve">The 1492 Crusade carried Jesuits westward into Mesoamerica, where populations' astronomical knowledge often surpassed Europe's. The surviving </w:t>
      </w:r>
      <w:hyperlink r:id="rId264">
        <w:r>
          <w:rPr>
            <w:b w:val="0"/>
            <w:i w:val="0"/>
            <w:color w:val="B8860B"/>
          </w:rPr>
          <w:t>Maya codices</w:t>
        </w:r>
      </w:hyperlink>
      <w:r>
        <w:rPr>
          <w:b w:val="0"/>
          <w:i w:val="0"/>
        </w:rPr>
        <w:t xml:space="preserve"> exist because Jesuits and Franciscans preserved them while colonial administration destroyed the rest. </w:t>
      </w:r>
      <w:hyperlink r:id="rId265">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66">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73">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67">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68">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69">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70">
        <w:r>
          <w:rPr>
            <w:b w:val="0"/>
            <w:i w:val="0"/>
            <w:color w:val="B8860B"/>
            <w:sz w:val="19"/>
          </w:rPr>
          <w:t>Missionaries to Corporations</w:t>
        </w:r>
      </w:hyperlink>
    </w:p>
    <w:p/>
    <w:p>
      <w:pPr>
        <w:sectPr>
          <w:headerReference w:type="default" r:id="rId257"/>
          <w:footerReference w:type="default" r:id="rId258"/>
          <w:pgSz w:w="8640" w:h="12960"/>
          <w:pgMar w:top="1020" w:right="1134" w:bottom="1134" w:left="1134" w:header="720" w:footer="720" w:gutter="0"/>
          <w:cols w:space="720"/>
          <w:titlePg/>
          <w:docGrid w:linePitch="360"/>
        </w:sectPr>
      </w:pPr>
    </w:p>
    <w:p>
      <w:pPr>
        <w:pStyle w:val="Heading2"/>
      </w:pPr>
      <w:r>
        <w:rPr>
          <w:b/>
        </w:rPr>
        <w:t>Chapter 26: Other Challenges to Chronology (Extended)</w:t>
      </w:r>
    </w:p>
    <w:p>
      <w:r>
        <w:rPr>
          <w:b w:val="0"/>
          <w:i w:val="0"/>
        </w:rPr>
        <w:t xml:space="preserve">Multiple independent researchers concluded the Scaligerian timeline contains substantial phantom gap. They disagree on size, mechanism, and motive — but converge on structural conclusion. For full scholarly survey (De Arcilla through Fomenko), see </w:t>
      </w:r>
      <w:hyperlink r:id="rId273">
        <w:r>
          <w:rPr>
            <w:b w:val="0"/>
            <w:i w:val="0"/>
            <w:color w:val="B8860B"/>
          </w:rPr>
          <w:t>Building the New Chronology</w:t>
        </w:r>
      </w:hyperlink>
      <w:r>
        <w:rPr>
          <w:b w:val="0"/>
          <w:i w:val="0"/>
        </w:rPr>
        <w:t xml:space="preserve">. This article compares </w:t>
      </w:r>
      <w:r>
        <w:rPr>
          <w:b/>
          <w:i w:val="0"/>
        </w:rPr>
        <w:t>gap claims</w:t>
      </w:r>
      <w:r>
        <w:rPr>
          <w:b w:val="0"/>
          <w:i w:val="0"/>
        </w:rPr>
        <w:t xml:space="preserve"> specifically.</w:t>
      </w:r>
    </w:p>
    <w:p>
      <w:pPr>
        <w:jc w:val="center"/>
      </w:pPr>
      <w:r>
        <w:drawing>
          <wp:inline xmlns:a="http://schemas.openxmlformats.org/drawingml/2006/main" xmlns:pic="http://schemas.openxmlformats.org/drawingml/2006/picture">
            <wp:extent cx="3657600" cy="1289304"/>
            <wp:docPr id="4" name="Picture 4"/>
            <wp:cNvGraphicFramePr>
              <a:graphicFrameLocks noChangeAspect="1"/>
            </wp:cNvGraphicFramePr>
            <a:graphic>
              <a:graphicData uri="http://schemas.openxmlformats.org/drawingml/2006/picture">
                <pic:pic>
                  <pic:nvPicPr>
                    <pic:cNvPr id="0" name="image.jpg"/>
                    <pic:cNvPicPr/>
                  </pic:nvPicPr>
                  <pic:blipFill>
                    <a:blip r:embed="rId274"/>
                    <a:stretch>
                      <a:fillRect/>
                    </a:stretch>
                  </pic:blipFill>
                  <pic:spPr>
                    <a:xfrm>
                      <a:off x="0" y="0"/>
                      <a:ext cx="3657600" cy="1289304"/>
                    </a:xfrm>
                    <a:prstGeom prst="rect"/>
                  </pic:spPr>
                </pic:pic>
              </a:graphicData>
            </a:graphic>
          </wp:inline>
        </w:drawing>
      </w:r>
    </w:p>
    <w:p>
      <w:pPr>
        <w:pStyle w:val="Caption"/>
      </w:pPr>
      <w:r>
        <w:t>Other Challenges to Chronology</w:t>
      </w:r>
    </w:p>
    <w:p>
      <w:pPr>
        <w:pBdr>
          <w:bottom w:val="single" w:sz="6" w:space="1" w:color="CCCCCC"/>
        </w:pBdr>
      </w:pPr>
    </w:p>
    <w:p>
      <w:pPr>
        <w:pStyle w:val="Heading2"/>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275">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276">
        <w:r>
          <w:rPr>
            <w:b w:val="0"/>
            <w:i w:val="0"/>
            <w:color w:val="B8860B"/>
          </w:rPr>
          <w:t>The Blip</w:t>
        </w:r>
      </w:hyperlink>
      <w:r>
        <w:rPr>
          <w:b w:val="0"/>
          <w:i w:val="0"/>
        </w:rPr>
        <w:t>.</w:t>
      </w:r>
    </w:p>
    <w:p>
      <w:pPr>
        <w:pBdr>
          <w:bottom w:val="single" w:sz="6" w:space="1" w:color="CCCCCC"/>
        </w:pBdr>
      </w:pPr>
    </w:p>
    <w:p>
      <w:pPr>
        <w:pStyle w:val="Heading2"/>
      </w:pPr>
      <w:r>
        <w:t>The Julian Calendar Proof</w:t>
      </w:r>
    </w:p>
    <w:p>
      <w:r>
        <w:rPr>
          <w:b w:val="0"/>
          <w:i w:val="0"/>
        </w:rPr>
        <w:t xml:space="preserve">Julian calendar gains ~1 day every 128 years. By Gregory XIII's 1582 reform, 10 days accumulated. But 1,582 years since adoption (46 BCE) should produce ~12.4 days. The </w:t>
      </w:r>
      <w:r>
        <w:rPr>
          <w:b/>
          <w:i w:val="0"/>
        </w:rPr>
        <w:t>~2.4 missing days</w:t>
      </w:r>
      <w:r>
        <w:rPr>
          <w:b w:val="0"/>
          <w:i w:val="0"/>
        </w:rPr>
        <w:t xml:space="preserve"> ≈ </w:t>
      </w:r>
      <w:r>
        <w:rPr>
          <w:b/>
          <w:i w:val="0"/>
        </w:rPr>
        <w:t>~307 phantom years</w:t>
      </w:r>
      <w:r>
        <w:rPr>
          <w:b w:val="0"/>
          <w:i w:val="0"/>
        </w:rPr>
        <w:t xml:space="preserve"> — close to Illig's 297. Fomenko absorbs this into larger 1,053-year shift: calendar was not running because those years did not happen.</w:t>
      </w:r>
    </w:p>
    <w:p>
      <w:pPr>
        <w:pBdr>
          <w:bottom w:val="single" w:sz="6" w:space="1" w:color="CCCCCC"/>
        </w:pBdr>
      </w:pPr>
    </w:p>
    <w:p>
      <w:pPr>
        <w:pStyle w:val="Heading2"/>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p>
      <w:pPr>
        <w:sectPr>
          <w:headerReference w:type="default" r:id="rId271"/>
          <w:footerReference w:type="default" r:id="rId272"/>
          <w:pgSz w:w="8640" w:h="12960"/>
          <w:pgMar w:top="1020" w:right="1134" w:bottom="1134" w:left="1134" w:header="720" w:footer="720" w:gutter="0"/>
          <w:cols w:space="720"/>
          <w:titlePg/>
          <w:docGrid w:linePitch="360"/>
        </w:sectPr>
      </w:pPr>
    </w:p>
    <w:p>
      <w:pPr>
        <w:pStyle w:val="Heading1"/>
      </w:pPr>
      <w:r>
        <w:rPr>
          <w:b/>
        </w:rPr>
        <w:t>Part XVII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277"/>
      <w:footerReference w:type="default" r:id="rId278"/>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FICTION AS CONTROL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KNOWN CONTACTS WITH MARS: A CHRONOLOGICAL DOSSIER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APPENDIX</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THE HISTORICAL RECORD</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DETAILED PROFILES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INVESTIGATION: EVIDENCE DOSSIER</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AUTHOR PROFILES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SUPPRESSED ENERGY TECHNOLOGY: A CROSS-REFERENCE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POPULATION CONTROL: A TIMELINE (15TH–21ST CENTURIES)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ORPHAN TRAINS, TRAIL OF TEARS, SIBERIAN EXILE — EXTENDED EVIDENCE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AND 1812 — EXTENDED EVIDENCE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TIMELINE SYNCHRONIZATION: DATE TABLES (EXTENDED)</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ASIMOV: THREE LAWS AND MARX ENCODING — EXTENDED EVIDENCE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BREAKS UP THE HORDIAN EMPIRE (EXTENDED)</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AND WORLD CATACLYSM: EXTENDED EVIDENCE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BOGDANOV AND SUPPRESSED SCIENCE (EXTENDED)</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SLAVE TRADES: EVIDENCE AND HORDE-FRACTURE THESIS (EXTENDED)</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BRITISH EMPIRE AS DEEP STATE: CASE STUDIES (EXTENDED)</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SEVEN DAYS OF CREATION (EXTENDED)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MANAGED DISCLOSURE AND GATEKEEPING (EXTENDED)</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PATTERN ANALYSIS (EXTENDED)</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ARCHITECTURE OF MANUFACTURED WAR (EXTENDED)</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 (EXTENDED)</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FROM ALEXANDRIA TO THE INTERNET (EXTENDED)</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 (EXTENDED)</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 (EXTENDED)</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p-film-tv-games" TargetMode="External"/><Relationship Id="rId12" Type="http://schemas.openxmlformats.org/officeDocument/2006/relationships/hyperlink" Target="/timeline/evt-predictive-programming-literature-extended" TargetMode="External"/><Relationship Id="rId13" Type="http://schemas.openxmlformats.org/officeDocument/2006/relationships/hyperlink" Target="/timeline/evt-mars-literature-appendix" TargetMode="External"/><Relationship Id="rId14" Type="http://schemas.openxmlformats.org/officeDocument/2006/relationships/hyperlink" Target="/timeline/evt-thunderbolts-case-study" TargetMode="External"/><Relationship Id="rId15" Type="http://schemas.openxmlformats.org/officeDocument/2006/relationships/hyperlink" Target="/timeline/evt-mockingbird-historical-chain" TargetMode="External"/><Relationship Id="rId16" Type="http://schemas.openxmlformats.org/officeDocument/2006/relationships/hyperlink" Target="/timeline/evt-censorship-historical-timeline" TargetMode="External"/><Relationship Id="rId17" Type="http://schemas.openxmlformats.org/officeDocument/2006/relationships/hyperlink" Target="/timeline/evt-antibodies-appendix" TargetMode="External"/><Relationship Id="rId18" Type="http://schemas.openxmlformats.org/officeDocument/2006/relationships/hyperlink" Target="/timeline/evt-false-flags-appendix" TargetMode="External"/><Relationship Id="rId19" Type="http://schemas.openxmlformats.org/officeDocument/2006/relationships/hyperlink" Target="/timeline/evt-author-profiles" TargetMode="External"/><Relationship Id="rId20" Type="http://schemas.openxmlformats.org/officeDocument/2006/relationships/hyperlink" Target="/timeline/evt-suppressed-energy-cross-reference" TargetMode="External"/><Relationship Id="rId21" Type="http://schemas.openxmlformats.org/officeDocument/2006/relationships/hyperlink" Target="/timeline/evt-population-control-timeline" TargetMode="External"/><Relationship Id="rId22" Type="http://schemas.openxmlformats.org/officeDocument/2006/relationships/hyperlink" Target="/timeline/evt-napoleon-1812-campaign-extended" TargetMode="External"/><Relationship Id="rId23" Type="http://schemas.openxmlformats.org/officeDocument/2006/relationships/hyperlink" Target="/timeline/evt-asimov-marx-extended" TargetMode="External"/><Relationship Id="rId24" Type="http://schemas.openxmlformats.org/officeDocument/2006/relationships/hyperlink" Target="/timeline/evt-year-length-calendar-evidence" TargetMode="External"/><Relationship Id="rId25" Type="http://schemas.openxmlformats.org/officeDocument/2006/relationships/hyperlink" Target="/timeline/evt-fomenko-pyramid-question" TargetMode="External"/><Relationship Id="rId26" Type="http://schemas.openxmlformats.org/officeDocument/2006/relationships/hyperlink" Target="/timeline/evt-pyramids-myths-evidence" TargetMode="External"/><Relationship Id="rId27" Type="http://schemas.openxmlformats.org/officeDocument/2006/relationships/hyperlink" Target="/timeline/evt-orphan-trains-evidence" TargetMode="External"/><Relationship Id="rId28" Type="http://schemas.openxmlformats.org/officeDocument/2006/relationships/hyperlink" Target="/timeline/evt-hordian-empire-fracture-extended" TargetMode="External"/><Relationship Id="rId29" Type="http://schemas.openxmlformats.org/officeDocument/2006/relationships/hyperlink" Target="/timeline/evt-slave-trades-evidence" TargetMode="External"/><Relationship Id="rId30" Type="http://schemas.openxmlformats.org/officeDocument/2006/relationships/hyperlink" Target="/timeline/evt-mudflood-extended-evidence" TargetMode="External"/><Relationship Id="rId31" Type="http://schemas.openxmlformats.org/officeDocument/2006/relationships/hyperlink" Target="/timeline/evt-soviet-historiography-bogdanov" TargetMode="External"/><Relationship Id="rId32" Type="http://schemas.openxmlformats.org/officeDocument/2006/relationships/hyperlink" Target="/timeline/evt-british-empire-case-studi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image" Target="media/image1.jpg"/><Relationship Id="rId36" Type="http://schemas.openxmlformats.org/officeDocument/2006/relationships/hyperlink" Target="https://en.wikipedia.org/wiki/The_Wizard_of_Oz_(1939_film)" TargetMode="External"/><Relationship Id="rId37" Type="http://schemas.openxmlformats.org/officeDocument/2006/relationships/hyperlink" Target="/timeline/evt-atlantis-and-the-tree-of-knowledge" TargetMode="External"/><Relationship Id="rId38" Type="http://schemas.openxmlformats.org/officeDocument/2006/relationships/hyperlink" Target="/timeline/evt-the-giants-of-the-rus-horde" TargetMode="External"/><Relationship Id="rId39" Type="http://schemas.openxmlformats.org/officeDocument/2006/relationships/hyperlink" Target="https://en.wikipedia.org/wiki/Florence_Deeks" TargetMode="External"/><Relationship Id="rId40" Type="http://schemas.openxmlformats.org/officeDocument/2006/relationships/hyperlink" Target="https://en.wikipedia.org/wiki/Active_Denial_System" TargetMode="External"/><Relationship Id="rId41" Type="http://schemas.openxmlformats.org/officeDocument/2006/relationships/hyperlink" Target="https://en.wikipedia.org/wiki/The_War_of_the_Worlds_(1938_radio_drama)" TargetMode="External"/><Relationship Id="rId42" Type="http://schemas.openxmlformats.org/officeDocument/2006/relationships/hyperlink" Target="/timeline/evt-american-chestnut-blight" TargetMode="External"/><Relationship Id="rId43" Type="http://schemas.openxmlformats.org/officeDocument/2006/relationships/hyperlink" Target="/timeline/evt-mars-catastrophe-brandenburg" TargetMode="External"/><Relationship Id="rId44" Type="http://schemas.openxmlformats.org/officeDocument/2006/relationships/hyperlink" Target="/timeline/evt-hundred-years-war-ends" TargetMode="External"/><Relationship Id="rId45" Type="http://schemas.openxmlformats.org/officeDocument/2006/relationships/hyperlink" Target="/timeline/evt-latin-is-the-language-of-the-deep-state" TargetMode="External"/><Relationship Id="rId46" Type="http://schemas.openxmlformats.org/officeDocument/2006/relationships/hyperlink" Target="/timeline/evt-20th-century-predictive-programming-literature" TargetMode="External"/><Relationship Id="rId47" Type="http://schemas.openxmlformats.org/officeDocument/2006/relationships/hyperlink" Target="/timeline/evt-predictive-programming" TargetMode="External"/><Relationship Id="rId48" Type="http://schemas.openxmlformats.org/officeDocument/2006/relationships/hyperlink" Target="/timeline/evt-population-control" TargetMode="External"/><Relationship Id="rId49" Type="http://schemas.openxmlformats.org/officeDocument/2006/relationships/hyperlink" Target="/timeline/evt-operation-mockingbird" TargetMode="External"/><Relationship Id="rId50" Type="http://schemas.openxmlformats.org/officeDocument/2006/relationships/hyperlink" Target="https://paradigmthreat.net/timeline?view=browser&amp;path=investigations/mars/index-mars.md" TargetMode="External"/><Relationship Id="rId51" Type="http://schemas.openxmlformats.org/officeDocument/2006/relationships/hyperlink" Target="https://en.wikipedia.org/wiki/Red_Book_of_Hergest" TargetMode="External"/><Relationship Id="rId52" Type="http://schemas.openxmlformats.org/officeDocument/2006/relationships/header" Target="header3.xml"/><Relationship Id="rId53" Type="http://schemas.openxmlformats.org/officeDocument/2006/relationships/footer" Target="footer3.xml"/><Relationship Id="rId54" Type="http://schemas.openxmlformats.org/officeDocument/2006/relationships/hyperlink" Target="/timeline/evt-the-rebellion-of-pugachev" TargetMode="External"/><Relationship Id="rId55" Type="http://schemas.openxmlformats.org/officeDocument/2006/relationships/hyperlink" Target="https://armscontrolcenter.org/fact-sheet-directed-energy-weapons/" TargetMode="External"/><Relationship Id="rId56" Type="http://schemas.openxmlformats.org/officeDocument/2006/relationships/hyperlink" Target="/timeline/evt-the-electric-universe-safire" TargetMode="External"/><Relationship Id="rId57" Type="http://schemas.openxmlformats.org/officeDocument/2006/relationships/hyperlink" Target="/timeline/evt-the-mudflood-and-world-cataclysm" TargetMode="External"/><Relationship Id="rId58" Type="http://schemas.openxmlformats.org/officeDocument/2006/relationships/hyperlink" Target="https://paradigm-threat.net/timeline?view=browser&amp;path=investigations/fiction-encoding/tolkien/ARTICLE-palantir-analysis.md" TargetMode="External"/><Relationship Id="rId59" Type="http://schemas.openxmlformats.org/officeDocument/2006/relationships/hyperlink" Target="/timeline/evt-aftermath-of-1812-russian-pursuit-to-paris" TargetMode="External"/><Relationship Id="rId60" Type="http://schemas.openxmlformats.org/officeDocument/2006/relationships/hyperlink" Target="/timeline/evt-false-flags" TargetMode="External"/><Relationship Id="rId61" Type="http://schemas.openxmlformats.org/officeDocument/2006/relationships/hyperlink" Target="https://paradigm-threat.net/timeline?view=browser&amp;path=wget/wells/massacre-of-mankind-2017-reference.md" TargetMode="External"/><Relationship Id="rId62" Type="http://schemas.openxmlformats.org/officeDocument/2006/relationships/hyperlink" Target="/timeline/evt-mars-literature-reclassified" TargetMode="External"/><Relationship Id="rId63" Type="http://schemas.openxmlformats.org/officeDocument/2006/relationships/hyperlink" Target="/timeline/evt-mars-catastrophe" TargetMode="External"/><Relationship Id="rId64" Type="http://schemas.openxmlformats.org/officeDocument/2006/relationships/hyperlink" Target="/timeline/evt-asimov-marx-in-space" TargetMode="External"/><Relationship Id="rId65" Type="http://schemas.openxmlformats.org/officeDocument/2006/relationships/hyperlink" Target="/timeline/evt-philadelphia-experiment" TargetMode="External"/><Relationship Id="rId66" Type="http://schemas.openxmlformats.org/officeDocument/2006/relationships/hyperlink" Target="https://paradigm-threat.net/timeline?view=browser&amp;path=investigations/mars/mars-fiction-survey.md" TargetMode="External"/><Relationship Id="rId67" Type="http://schemas.openxmlformats.org/officeDocument/2006/relationships/header" Target="header4.xml"/><Relationship Id="rId68" Type="http://schemas.openxmlformats.org/officeDocument/2006/relationships/footer" Target="footer4.xml"/><Relationship Id="rId69" Type="http://schemas.openxmlformats.org/officeDocument/2006/relationships/hyperlink" Target="/timeline/evt-controlled-opposition" TargetMode="External"/><Relationship Id="rId70" Type="http://schemas.openxmlformats.org/officeDocument/2006/relationships/hyperlink" Target="https://chronologia.org/en/how_it_was/08_21.html" TargetMode="External"/><Relationship Id="rId71" Type="http://schemas.openxmlformats.org/officeDocument/2006/relationships/hyperlink" Target="/timeline/evt-king-james-bible" TargetMode="External"/><Relationship Id="rId72" Type="http://schemas.openxmlformats.org/officeDocument/2006/relationships/hyperlink" Target="/timeline/evt-deep-state-breaks-up-the-hordian-empire" TargetMode="External"/><Relationship Id="rId73" Type="http://schemas.openxmlformats.org/officeDocument/2006/relationships/hyperlink" Target="/timeline/evt-jesuits-make-pilgrimage-to-palestine" TargetMode="External"/><Relationship Id="rId74" Type="http://schemas.openxmlformats.org/officeDocument/2006/relationships/hyperlink" Target="/timeline/evt-romanovs-dynasty-takes-the-throne" TargetMode="External"/><Relationship Id="rId75" Type="http://schemas.openxmlformats.org/officeDocument/2006/relationships/hyperlink" Target="/timeline/evt-gregorian-calendar-adjustment" TargetMode="External"/><Relationship Id="rId76" Type="http://schemas.openxmlformats.org/officeDocument/2006/relationships/hyperlink" Target="/timeline/evt-soviet-historiography" TargetMode="External"/><Relationship Id="rId77" Type="http://schemas.openxmlformats.org/officeDocument/2006/relationships/hyperlink" Target="/timeline/evt-deep-state-erases-russian-empire-from-all-chronolo" TargetMode="External"/><Relationship Id="rId78" Type="http://schemas.openxmlformats.org/officeDocument/2006/relationships/header" Target="header5.xml"/><Relationship Id="rId79" Type="http://schemas.openxmlformats.org/officeDocument/2006/relationships/footer" Target="footer5.xml"/><Relationship Id="rId80" Type="http://schemas.openxmlformats.org/officeDocument/2006/relationships/hyperlink" Target="/timeline/evt-censorship-and-book-burning" TargetMode="External"/><Relationship Id="rId81" Type="http://schemas.openxmlformats.org/officeDocument/2006/relationships/header" Target="header6.xml"/><Relationship Id="rId82" Type="http://schemas.openxmlformats.org/officeDocument/2006/relationships/footer" Target="footer6.xml"/><Relationship Id="rId83" Type="http://schemas.openxmlformats.org/officeDocument/2006/relationships/hyperlink" Target="/timeline/evt-historical-antibodies" TargetMode="External"/><Relationship Id="rId84" Type="http://schemas.openxmlformats.org/officeDocument/2006/relationships/header" Target="header7.xml"/><Relationship Id="rId85" Type="http://schemas.openxmlformats.org/officeDocument/2006/relationships/footer" Target="footer7.xml"/><Relationship Id="rId86" Type="http://schemas.openxmlformats.org/officeDocument/2006/relationships/hyperlink" Target="https://en.wikipedia.org/wiki/McCollum_memo" TargetMode="External"/><Relationship Id="rId87" Type="http://schemas.openxmlformats.org/officeDocument/2006/relationships/hyperlink" Target="https://en.wikipedia.org/wiki/Pearl_Harbor_advance-knowledge_conspiracy_theory" TargetMode="External"/><Relationship Id="rId88" Type="http://schemas.openxmlformats.org/officeDocument/2006/relationships/hyperlink" Target="https://www.ibiblio.org/pha/myths/Missing_Carriers.html" TargetMode="External"/><Relationship Id="rId89" Type="http://schemas.openxmlformats.org/officeDocument/2006/relationships/hyperlink" Target="https://cstms.berkeley.edu/current-events/napalm-in-world-war-ii-invention-test-the-bat-bomb-and-incinerating-japan/" TargetMode="External"/><Relationship Id="rId90" Type="http://schemas.openxmlformats.org/officeDocument/2006/relationships/hyperlink" Target="https://apjjf.org/-Mark-Selden/2414/article.html" TargetMode="External"/><Relationship Id="rId91" Type="http://schemas.openxmlformats.org/officeDocument/2006/relationships/hyperlink" Target="http://heiwaco.tripod.com/bomb.htm" TargetMode="External"/><Relationship Id="rId92" Type="http://schemas.openxmlformats.org/officeDocument/2006/relationships/hyperlink" Target="https://en.wikipedia.org/wiki/Radiation_hormesis" TargetMode="External"/><Relationship Id="rId93" Type="http://schemas.openxmlformats.org/officeDocument/2006/relationships/hyperlink" Target="/timeline/evt-mars-contacts-timeline" TargetMode="External"/><Relationship Id="rId94" Type="http://schemas.openxmlformats.org/officeDocument/2006/relationships/hyperlink" Target="https://en.wikipedia.org/wiki/Reichstag_Fire_Decree" TargetMode="External"/><Relationship Id="rId95" Type="http://schemas.openxmlformats.org/officeDocument/2006/relationships/hyperlink" Target="https://en.wikipedia.org/wiki/Gulf_of_Tonkin_incident" TargetMode="External"/><Relationship Id="rId96" Type="http://schemas.openxmlformats.org/officeDocument/2006/relationships/hyperlink" Target="https://jamesperloff.net/pearl-harbor-roosevelts-911/" TargetMode="External"/><Relationship Id="rId97" Type="http://schemas.openxmlformats.org/officeDocument/2006/relationships/hyperlink" Target="https://www.falseflag.info/pearl-harbor/" TargetMode="External"/><Relationship Id="rId98" Type="http://schemas.openxmlformats.org/officeDocument/2006/relationships/hyperlink" Target="https://hofs.online/the-encyclopedia-of-false-flag-staged-operations/" TargetMode="External"/><Relationship Id="rId99" Type="http://schemas.openxmlformats.org/officeDocument/2006/relationships/hyperlink" Target="https://en.wikipedia.org/wiki/Battle_of_Los_Angeles" TargetMode="External"/><Relationship Id="rId100" Type="http://schemas.openxmlformats.org/officeDocument/2006/relationships/hyperlink" Target="https://www.whatreallyhappened.com/WRHARTICLES/pearl.php" TargetMode="External"/><Relationship Id="rId101" Type="http://schemas.openxmlformats.org/officeDocument/2006/relationships/hyperlink" Target="/timeline/evt-british-empire-deep-state" TargetMode="External"/><Relationship Id="rId102" Type="http://schemas.openxmlformats.org/officeDocument/2006/relationships/header" Target="header8.xml"/><Relationship Id="rId103" Type="http://schemas.openxmlformats.org/officeDocument/2006/relationships/footer" Target="footer8.xml"/><Relationship Id="rId104" Type="http://schemas.openxmlformats.org/officeDocument/2006/relationships/hyperlink" Target="./content/00.overview/00.02.01-authors-challenging-chronology.md" TargetMode="External"/><Relationship Id="rId105" Type="http://schemas.openxmlformats.org/officeDocument/2006/relationships/hyperlink" Target="./content/00.overview/00.02.02-authors-cataclysm-texts.md" TargetMode="External"/><Relationship Id="rId106" Type="http://schemas.openxmlformats.org/officeDocument/2006/relationships/hyperlink" Target="/timeline/evt-ap-morozov" TargetMode="External"/><Relationship Id="rId107" Type="http://schemas.openxmlformats.org/officeDocument/2006/relationships/hyperlink" Target="/timeline/evt-ap-thornhill" TargetMode="External"/><Relationship Id="rId108" Type="http://schemas.openxmlformats.org/officeDocument/2006/relationships/hyperlink" Target="/timeline/evt-ap-juergens" TargetMode="External"/><Relationship Id="rId109" Type="http://schemas.openxmlformats.org/officeDocument/2006/relationships/hyperlink" Target="/timeline/evt-ap-velikovsky" TargetMode="External"/><Relationship Id="rId110" Type="http://schemas.openxmlformats.org/officeDocument/2006/relationships/hyperlink" Target="/timeline/evt-ap-fomenko" TargetMode="External"/><Relationship Id="rId111" Type="http://schemas.openxmlformats.org/officeDocument/2006/relationships/hyperlink" Target="/timeline/evt-ap-talbott" TargetMode="External"/><Relationship Id="rId112" Type="http://schemas.openxmlformats.org/officeDocument/2006/relationships/hyperlink" Target="/timeline/evt-ap-peratt" TargetMode="External"/><Relationship Id="rId113" Type="http://schemas.openxmlformats.org/officeDocument/2006/relationships/hyperlink" Target="/timeline/evt-ap-jno-cook" TargetMode="External"/><Relationship Id="rId114" Type="http://schemas.openxmlformats.org/officeDocument/2006/relationships/hyperlink" Target="/timeline/evt-ap-de-grazia" TargetMode="External"/><Relationship Id="rId115" Type="http://schemas.openxmlformats.org/officeDocument/2006/relationships/hyperlink" Target="/timeline/evt-ap-donald-scott" TargetMode="External"/><Relationship Id="rId116" Type="http://schemas.openxmlformats.org/officeDocument/2006/relationships/hyperlink" Target="/timeline/evt-ap-cochrane" TargetMode="External"/><Relationship Id="rId117" Type="http://schemas.openxmlformats.org/officeDocument/2006/relationships/hyperlink" Target="/timeline/evt-ap-de-santillana" TargetMode="External"/><Relationship Id="rId118" Type="http://schemas.openxmlformats.org/officeDocument/2006/relationships/hyperlink" Target="/timeline/evt-ap-illig" TargetMode="External"/><Relationship Id="rId119" Type="http://schemas.openxmlformats.org/officeDocument/2006/relationships/hyperlink" Target="/timeline/evt-ap-heinsohn" TargetMode="External"/><Relationship Id="rId120" Type="http://schemas.openxmlformats.org/officeDocument/2006/relationships/hyperlink" Target="/timeline/evt-ap-cardona" TargetMode="External"/><Relationship Id="rId121" Type="http://schemas.openxmlformats.org/officeDocument/2006/relationships/hyperlink" Target="/timeline/evt-ap-clube-napier" TargetMode="External"/><Relationship Id="rId122" Type="http://schemas.openxmlformats.org/officeDocument/2006/relationships/hyperlink" Target="/timeline/evt-ap-stecchini" TargetMode="External"/><Relationship Id="rId123" Type="http://schemas.openxmlformats.org/officeDocument/2006/relationships/hyperlink" Target="/timeline/evt-ap-rose-vaughan" TargetMode="External"/><Relationship Id="rId124" Type="http://schemas.openxmlformats.org/officeDocument/2006/relationships/hyperlink" Target="/timeline/evt-ap-van-flandern" TargetMode="External"/><Relationship Id="rId125" Type="http://schemas.openxmlformats.org/officeDocument/2006/relationships/hyperlink" Target="/timeline/evt-ap-van-der-sluijs" TargetMode="External"/><Relationship Id="rId126" Type="http://schemas.openxmlformats.org/officeDocument/2006/relationships/hyperlink" Target="/timeline/evt-ap-ginenthal" TargetMode="External"/><Relationship Id="rId127" Type="http://schemas.openxmlformats.org/officeDocument/2006/relationships/hyperlink" Target="/timeline/evt-ap-schoch" TargetMode="External"/><Relationship Id="rId128" Type="http://schemas.openxmlformats.org/officeDocument/2006/relationships/hyperlink" Target="/timeline/evt-ap-hancock" TargetMode="External"/><Relationship Id="rId129" Type="http://schemas.openxmlformats.org/officeDocument/2006/relationships/hyperlink" Target="/timeline/evt-ap-cremo" TargetMode="External"/><Relationship Id="rId130" Type="http://schemas.openxmlformats.org/officeDocument/2006/relationships/hyperlink" Target="https://www.holoscience.com" TargetMode="External"/><Relationship Id="rId131" Type="http://schemas.openxmlformats.org/officeDocument/2006/relationships/hyperlink" Target="https://thunderbolts.info" TargetMode="External"/><Relationship Id="rId132" Type="http://schemas.openxmlformats.org/officeDocument/2006/relationships/hyperlink" Target="https://chronologia.org" TargetMode="External"/><Relationship Id="rId133" Type="http://schemas.openxmlformats.org/officeDocument/2006/relationships/hyperlink" Target="https://saturniancosmology.org" TargetMode="External"/><Relationship Id="rId134" Type="http://schemas.openxmlformats.org/officeDocument/2006/relationships/hyperlink" Target="https://grazian-archive.com" TargetMode="External"/><Relationship Id="rId135" Type="http://schemas.openxmlformats.org/officeDocument/2006/relationships/hyperlink" Target="http://electric-cosmos.org" TargetMode="External"/><Relationship Id="rId136" Type="http://schemas.openxmlformats.org/officeDocument/2006/relationships/hyperlink" Target="/timeline/evt-other-challenges-to-chronology" TargetMode="External"/><Relationship Id="rId137" Type="http://schemas.openxmlformats.org/officeDocument/2006/relationships/hyperlink" Target="https://q-mag.org" TargetMode="External"/><Relationship Id="rId138" Type="http://schemas.openxmlformats.org/officeDocument/2006/relationships/hyperlink" Target="http://metaresearch.org" TargetMode="External"/><Relationship Id="rId139" Type="http://schemas.openxmlformats.org/officeDocument/2006/relationships/hyperlink" Target="/timeline/evt-maxwell-and-the-suppression-of-the-aether" TargetMode="External"/><Relationship Id="rId140" Type="http://schemas.openxmlformats.org/officeDocument/2006/relationships/hyperlink" Target="/timeline/evt-flexner-bioelectric-suppression" TargetMode="External"/><Relationship Id="rId141" Type="http://schemas.openxmlformats.org/officeDocument/2006/relationships/header" Target="header9.xml"/><Relationship Id="rId142" Type="http://schemas.openxmlformats.org/officeDocument/2006/relationships/footer" Target="footer9.xml"/><Relationship Id="rId143" Type="http://schemas.openxmlformats.org/officeDocument/2006/relationships/hyperlink" Target="/timeline/evt-weather-control" TargetMode="External"/><Relationship Id="rId144" Type="http://schemas.openxmlformats.org/officeDocument/2006/relationships/hyperlink" Target="/timeline/evt-cern-lhc-portal" TargetMode="External"/><Relationship Id="rId145" Type="http://schemas.openxmlformats.org/officeDocument/2006/relationships/hyperlink" Target="/timeline/evt-challenging-established-physics" TargetMode="External"/><Relationship Id="rId146" Type="http://schemas.openxmlformats.org/officeDocument/2006/relationships/hyperlink" Target="/timeline/evt-nuclear-energy-and-the-bomb" TargetMode="External"/><Relationship Id="rId147" Type="http://schemas.openxmlformats.org/officeDocument/2006/relationships/hyperlink" Target="https://paradigm-threat.net/timeline?view=browser&amp;path=investigations/weather-modification/weather-modification-investigation.md" TargetMode="External"/><Relationship Id="rId148" Type="http://schemas.openxmlformats.org/officeDocument/2006/relationships/hyperlink" Target="https://paradigm-threat.net/timeline?view=browser&amp;path=investigations/havana-syndrome/havana-syndrome-investigation.md" TargetMode="External"/><Relationship Id="rId149" Type="http://schemas.openxmlformats.org/officeDocument/2006/relationships/hyperlink" Target="https://paradigm-threat.net/timeline?view=browser&amp;path=investigations/cern-portal/index.md" TargetMode="External"/><Relationship Id="rId150" Type="http://schemas.openxmlformats.org/officeDocument/2006/relationships/hyperlink" Target="https://paradigm-threat.net/timeline?view=browser&amp;path=investigations/remote-viewing/aether-consciousness.md" TargetMode="External"/><Relationship Id="rId151" Type="http://schemas.openxmlformats.org/officeDocument/2006/relationships/hyperlink" Target="https://paradigm-threat.net/timeline?view=browser&amp;path=investigations/nuclear-weapons/nukes-dont-exist-investigation.md" TargetMode="External"/><Relationship Id="rId152" Type="http://schemas.openxmlformats.org/officeDocument/2006/relationships/hyperlink" Target="/timeline/evt-19th-century-weapons-declassification-thesis" TargetMode="External"/><Relationship Id="rId153" Type="http://schemas.openxmlformats.org/officeDocument/2006/relationships/hyperlink" Target="https://paradigm-threat.net/timeline?view=browser&amp;path=investigations/maxwell-aether/01-burden-of-proof-debate.md" TargetMode="External"/><Relationship Id="rId154" Type="http://schemas.openxmlformats.org/officeDocument/2006/relationships/hyperlink" Target="https://paradigm-threat.net/timeline?view=browser&amp;path=investigations/saturnian-cosmology/index-safireproject.md" TargetMode="External"/><Relationship Id="rId155" Type="http://schemas.openxmlformats.org/officeDocument/2006/relationships/header" Target="header10.xml"/><Relationship Id="rId156" Type="http://schemas.openxmlformats.org/officeDocument/2006/relationships/footer" Target="footer10.xml"/><Relationship Id="rId157" Type="http://schemas.openxmlformats.org/officeDocument/2006/relationships/hyperlink" Target="/timeline/evt-the-apocalypse-crusade-reverse-exodus" TargetMode="External"/><Relationship Id="rId158" Type="http://schemas.openxmlformats.org/officeDocument/2006/relationships/hyperlink" Target="/timeline/evt-sept-6-1666-ce-london-burns-to-the-ground" TargetMode="External"/><Relationship Id="rId159" Type="http://schemas.openxmlformats.org/officeDocument/2006/relationships/hyperlink" Target="/timeline/evt-orphan-trains-trail-of-tears-siberian-exile" TargetMode="External"/><Relationship Id="rId160" Type="http://schemas.openxmlformats.org/officeDocument/2006/relationships/header" Target="header11.xml"/><Relationship Id="rId161" Type="http://schemas.openxmlformats.org/officeDocument/2006/relationships/footer" Target="footer11.xml"/><Relationship Id="rId162" Type="http://schemas.openxmlformats.org/officeDocument/2006/relationships/hyperlink" Target="/timeline/evt-trail-of-tears-century-long-erasure" TargetMode="External"/><Relationship Id="rId163" Type="http://schemas.openxmlformats.org/officeDocument/2006/relationships/hyperlink" Target="https://paradigm-threat.net/timeline?view=browser&amp;path=investigations/orphan-trains/orphan-trains-investigation.md" TargetMode="External"/><Relationship Id="rId164" Type="http://schemas.openxmlformats.org/officeDocument/2006/relationships/header" Target="header12.xml"/><Relationship Id="rId165" Type="http://schemas.openxmlformats.org/officeDocument/2006/relationships/footer" Target="footer12.xml"/><Relationship Id="rId166" Type="http://schemas.openxmlformats.org/officeDocument/2006/relationships/hyperlink" Target="/timeline/evt-napoleonic-wars" TargetMode="External"/><Relationship Id="rId167" Type="http://schemas.openxmlformats.org/officeDocument/2006/relationships/hyperlink" Target="https://en.wikipedia.org/wiki/18_Brumaire" TargetMode="External"/><Relationship Id="rId168" Type="http://schemas.openxmlformats.org/officeDocument/2006/relationships/hyperlink" Target="https://en.wikipedia.org/wiki/Rosetta_Stone" TargetMode="External"/><Relationship Id="rId169" Type="http://schemas.openxmlformats.org/officeDocument/2006/relationships/hyperlink" Target="https://en.wikipedia.org/wiki/Roller_coaster" TargetMode="External"/><Relationship Id="rId170" Type="http://schemas.openxmlformats.org/officeDocument/2006/relationships/hyperlink" Target="/timeline/evt-the-mars-catastrophe" TargetMode="External"/><Relationship Id="rId171" Type="http://schemas.openxmlformats.org/officeDocument/2006/relationships/hyperlink" Target="/timeline/evt-napoleon-invades-russia" TargetMode="External"/><Relationship Id="rId172" Type="http://schemas.openxmlformats.org/officeDocument/2006/relationships/hyperlink" Target="https://en.wikipedia.org/wiki/Grande_Arm%C3%A9e" TargetMode="External"/><Relationship Id="rId173" Type="http://schemas.openxmlformats.org/officeDocument/2006/relationships/hyperlink" Target="https://en.wikipedia.org/wiki/Louisiana_Purchase" TargetMode="External"/><Relationship Id="rId174" Type="http://schemas.openxmlformats.org/officeDocument/2006/relationships/hyperlink" Target="https://en.wikipedia.org/wiki/Battle_of_Borodino" TargetMode="External"/><Relationship Id="rId175" Type="http://schemas.openxmlformats.org/officeDocument/2006/relationships/hyperlink" Target="/timeline/evt-tchaikovsky-releases-1812-overture" TargetMode="External"/><Relationship Id="rId176" Type="http://schemas.openxmlformats.org/officeDocument/2006/relationships/header" Target="header13.xml"/><Relationship Id="rId177" Type="http://schemas.openxmlformats.org/officeDocument/2006/relationships/footer" Target="footer13.xml"/><Relationship Id="rId178" Type="http://schemas.openxmlformats.org/officeDocument/2006/relationships/hyperlink" Target="/timeline/evt-timeline-synchronization" TargetMode="External"/><Relationship Id="rId179" Type="http://schemas.openxmlformats.org/officeDocument/2006/relationships/hyperlink" Target="/investigations/creation-dates-validation.md" TargetMode="External"/><Relationship Id="rId180" Type="http://schemas.openxmlformats.org/officeDocument/2006/relationships/hyperlink" Target="/timeline/evt-the-length-of-a-year-changes-throughout-antiquity" TargetMode="External"/><Relationship Id="rId181" Type="http://schemas.openxmlformats.org/officeDocument/2006/relationships/hyperlink" Target="/timeline/evt-the-225-day-year" TargetMode="External"/><Relationship Id="rId182" Type="http://schemas.openxmlformats.org/officeDocument/2006/relationships/hyperlink" Target="/timeline/evt-pyramids-myths-vs-reality" TargetMode="External"/><Relationship Id="rId183" Type="http://schemas.openxmlformats.org/officeDocument/2006/relationships/hyperlink" Target="https://chronologia.org/en/how_it_was/04_10.html" TargetMode="External"/><Relationship Id="rId184" Type="http://schemas.openxmlformats.org/officeDocument/2006/relationships/hyperlink" Target="https://www.geopolymer.org" TargetMode="External"/><Relationship Id="rId185" Type="http://schemas.openxmlformats.org/officeDocument/2006/relationships/hyperlink" Target="/timeline/evt-geopolymer-concrete-horde-secret" TargetMode="External"/><Relationship Id="rId186" Type="http://schemas.openxmlformats.org/officeDocument/2006/relationships/header" Target="header14.xml"/><Relationship Id="rId187" Type="http://schemas.openxmlformats.org/officeDocument/2006/relationships/footer" Target="footer14.xml"/><Relationship Id="rId188" Type="http://schemas.openxmlformats.org/officeDocument/2006/relationships/header" Target="header15.xml"/><Relationship Id="rId189" Type="http://schemas.openxmlformats.org/officeDocument/2006/relationships/footer" Target="footer15.xml"/><Relationship Id="rId190" Type="http://schemas.openxmlformats.org/officeDocument/2006/relationships/hyperlink" Target="https://en.wikipedia.org/wiki/Government_reform_of_Peter_the_Great" TargetMode="External"/><Relationship Id="rId191" Type="http://schemas.openxmlformats.org/officeDocument/2006/relationships/hyperlink" Target="https://www.prlib.ru/en/history/619018" TargetMode="External"/><Relationship Id="rId192" Type="http://schemas.openxmlformats.org/officeDocument/2006/relationships/hyperlink" Target="https://en.wikipedia.org/wiki/Anti-Russian_sentiment#18th_and_19th_centuries" TargetMode="External"/><Relationship Id="rId193" Type="http://schemas.openxmlformats.org/officeDocument/2006/relationships/hyperlink" Target="https://www.rt.com/russia/569147-zakharova-odessa-monuments-history/" TargetMode="External"/><Relationship Id="rId194" Type="http://schemas.openxmlformats.org/officeDocument/2006/relationships/image" Target="media/image2.jpg"/><Relationship Id="rId195" Type="http://schemas.openxmlformats.org/officeDocument/2006/relationships/hyperlink" Target="https://chronologia.org/en/how_it_was/05.html#the7" TargetMode="External"/><Relationship Id="rId196" Type="http://schemas.openxmlformats.org/officeDocument/2006/relationships/hyperlink" Target="https://chronologia.org/en/how_it_was/06_21.html#the628" TargetMode="External"/><Relationship Id="rId197" Type="http://schemas.openxmlformats.org/officeDocument/2006/relationships/hyperlink" Target="/timeline/evt-european-religious-schism-emerges" TargetMode="External"/><Relationship Id="rId198" Type="http://schemas.openxmlformats.org/officeDocument/2006/relationships/hyperlink" Target="/timeline/evt-the-holy-inquisition" TargetMode="External"/><Relationship Id="rId199" Type="http://schemas.openxmlformats.org/officeDocument/2006/relationships/hyperlink" Target="https://chronologia.org/en/how_it_was/07.html" TargetMode="External"/><Relationship Id="rId200" Type="http://schemas.openxmlformats.org/officeDocument/2006/relationships/hyperlink" Target="https://chronologia.org/en/how_it_was/08.html" TargetMode="External"/><Relationship Id="rId201" Type="http://schemas.openxmlformats.org/officeDocument/2006/relationships/header" Target="header16.xml"/><Relationship Id="rId202" Type="http://schemas.openxmlformats.org/officeDocument/2006/relationships/footer" Target="footer16.xml"/><Relationship Id="rId203" Type="http://schemas.openxmlformats.org/officeDocument/2006/relationships/header" Target="header17.xml"/><Relationship Id="rId204" Type="http://schemas.openxmlformats.org/officeDocument/2006/relationships/footer" Target="footer17.xml"/><Relationship Id="rId205" Type="http://schemas.openxmlformats.org/officeDocument/2006/relationships/header" Target="header18.xml"/><Relationship Id="rId206" Type="http://schemas.openxmlformats.org/officeDocument/2006/relationships/footer" Target="footer18.xml"/><Relationship Id="rId207" Type="http://schemas.openxmlformats.org/officeDocument/2006/relationships/hyperlink" Target="/timeline/evt-slave-trades-horde-fracture" TargetMode="External"/><Relationship Id="rId208" Type="http://schemas.openxmlformats.org/officeDocument/2006/relationships/hyperlink" Target="/timeline/evt-romanov-seizure-and-fracturing-of-the-empire" TargetMode="External"/><Relationship Id="rId209" Type="http://schemas.openxmlformats.org/officeDocument/2006/relationships/hyperlink" Target="/timeline/evt-british-empire-as-deep-state-instrument" TargetMode="External"/><Relationship Id="rId210" Type="http://schemas.openxmlformats.org/officeDocument/2006/relationships/hyperlink" Target="/timeline/evt-jesuits-reach-africa" TargetMode="External"/><Relationship Id="rId211" Type="http://schemas.openxmlformats.org/officeDocument/2006/relationships/header" Target="header19.xml"/><Relationship Id="rId212" Type="http://schemas.openxmlformats.org/officeDocument/2006/relationships/footer" Target="footer19.xml"/><Relationship Id="rId213" Type="http://schemas.openxmlformats.org/officeDocument/2006/relationships/hyperlink" Target="https://en.wikipedia.org/wiki/Partition_of_India" TargetMode="External"/><Relationship Id="rId214" Type="http://schemas.openxmlformats.org/officeDocument/2006/relationships/hyperlink" Target="https://en.wikipedia.org/wiki/Balfour_Declaration" TargetMode="External"/><Relationship Id="rId215" Type="http://schemas.openxmlformats.org/officeDocument/2006/relationships/hyperlink" Target="https://en.wikipedia.org/wiki/Scramble_for_Africa" TargetMode="External"/><Relationship Id="rId216" Type="http://schemas.openxmlformats.org/officeDocument/2006/relationships/hyperlink" Target="https://en.wikipedia.org/wiki/Opium_Wars" TargetMode="External"/><Relationship Id="rId217" Type="http://schemas.openxmlformats.org/officeDocument/2006/relationships/hyperlink" Target="https://en.wikipedia.org/wiki/Meiji_Restoration" TargetMode="External"/><Relationship Id="rId218" Type="http://schemas.openxmlformats.org/officeDocument/2006/relationships/header" Target="header20.xml"/><Relationship Id="rId219" Type="http://schemas.openxmlformats.org/officeDocument/2006/relationships/footer" Target="footer20.xml"/><Relationship Id="rId220" Type="http://schemas.openxmlformats.org/officeDocument/2006/relationships/hyperlink" Target="/timeline/evt-before-creation" TargetMode="External"/><Relationship Id="rId221" Type="http://schemas.openxmlformats.org/officeDocument/2006/relationships/hyperlink" Target="https://en.wikipedia.org/wiki/Cronus" TargetMode="External"/><Relationship Id="rId222" Type="http://schemas.openxmlformats.org/officeDocument/2006/relationships/hyperlink" Target="/timeline/evt-proto-saturn-joins-the-suns-orbit-and-lights-up" TargetMode="External"/><Relationship Id="rId223" Type="http://schemas.openxmlformats.org/officeDocument/2006/relationships/hyperlink" Target="/timeline/evt-saturns-collinear-planetary-configuration-the-tree" TargetMode="External"/><Relationship Id="rId224" Type="http://schemas.openxmlformats.org/officeDocument/2006/relationships/hyperlink" Target="/timeline/evt-the-absu-layers-surrounded-the-planets" TargetMode="External"/><Relationship Id="rId225" Type="http://schemas.openxmlformats.org/officeDocument/2006/relationships/hyperlink" Target="/timeline/evt-northern-hemisphere-configuration" TargetMode="External"/><Relationship Id="rId226" Type="http://schemas.openxmlformats.org/officeDocument/2006/relationships/hyperlink" Target="/timeline/evt-southern-hemisphere-configuration" TargetMode="External"/><Relationship Id="rId227" Type="http://schemas.openxmlformats.org/officeDocument/2006/relationships/hyperlink" Target="/timeline/evt-the-golden-age" TargetMode="External"/><Relationship Id="rId228" Type="http://schemas.openxmlformats.org/officeDocument/2006/relationships/hyperlink" Target="/timeline/evt-the-golden-age-ends-violently" TargetMode="External"/><Relationship Id="rId229" Type="http://schemas.openxmlformats.org/officeDocument/2006/relationships/hyperlink" Target="/timeline/evt-the-dark-ages" TargetMode="External"/><Relationship Id="rId230" Type="http://schemas.openxmlformats.org/officeDocument/2006/relationships/hyperlink" Target="https://saturniancosmology.org/mech.php" TargetMode="External"/><Relationship Id="rId231" Type="http://schemas.openxmlformats.org/officeDocument/2006/relationships/hyperlink" Target="https://www.thunderbolts.info/wp/2014/12/19/never-the-twain-shall-meet/" TargetMode="External"/><Relationship Id="rId232" Type="http://schemas.openxmlformats.org/officeDocument/2006/relationships/hyperlink" Target="https://www.biblegateway.com/passage/?search=Genesis+7%3A4&amp;version=KJV" TargetMode="External"/><Relationship Id="rId233" Type="http://schemas.openxmlformats.org/officeDocument/2006/relationships/hyperlink" Target="https://www.biblegateway.com/passage/?search=Isaiah+30%3A26&amp;version=KJV" TargetMode="External"/><Relationship Id="rId234" Type="http://schemas.openxmlformats.org/officeDocument/2006/relationships/hyperlink" Target="https://saturniancosmology.org/polar.php" TargetMode="External"/><Relationship Id="rId235" Type="http://schemas.openxmlformats.org/officeDocument/2006/relationships/hyperlink" Target="https://saturniancosmology.org/time.php" TargetMode="External"/><Relationship Id="rId236" Type="http://schemas.openxmlformats.org/officeDocument/2006/relationships/hyperlink" Target="https://saturniancosmology.org/intro.php" TargetMode="External"/><Relationship Id="rId237" Type="http://schemas.openxmlformats.org/officeDocument/2006/relationships/hyperlink" Target="https://www.biblegateway.com/passage/?search=Genesis+1&amp;version=KJV" TargetMode="External"/><Relationship Id="rId238" Type="http://schemas.openxmlformats.org/officeDocument/2006/relationships/hyperlink" Target="https://en.wikipedia.org/wiki/Week#History" TargetMode="External"/><Relationship Id="rId239" Type="http://schemas.openxmlformats.org/officeDocument/2006/relationships/header" Target="header21.xml"/><Relationship Id="rId240" Type="http://schemas.openxmlformats.org/officeDocument/2006/relationships/footer" Target="footer21.xml"/><Relationship Id="rId241" Type="http://schemas.openxmlformats.org/officeDocument/2006/relationships/hyperlink" Target="/timeline/evt-saturnian-cosmology" TargetMode="External"/><Relationship Id="rId242" Type="http://schemas.openxmlformats.org/officeDocument/2006/relationships/header" Target="header22.xml"/><Relationship Id="rId243" Type="http://schemas.openxmlformats.org/officeDocument/2006/relationships/footer" Target="footer22.xml"/><Relationship Id="rId244" Type="http://schemas.openxmlformats.org/officeDocument/2006/relationships/hyperlink" Target="/timeline/evt-shakespeare-encodes-the-horde" TargetMode="External"/><Relationship Id="rId245" Type="http://schemas.openxmlformats.org/officeDocument/2006/relationships/header" Target="header23.xml"/><Relationship Id="rId246" Type="http://schemas.openxmlformats.org/officeDocument/2006/relationships/footer" Target="footer23.xml"/><Relationship Id="rId247" Type="http://schemas.openxmlformats.org/officeDocument/2006/relationships/hyperlink" Target="https://en.wikipedia.org/wiki/Purple_(cipher_machine)" TargetMode="External"/><Relationship Id="rId248" Type="http://schemas.openxmlformats.org/officeDocument/2006/relationships/hyperlink" Target="https://en.wikipedia.org/wiki/Operation_Paperclip" TargetMode="External"/><Relationship Id="rId249" Type="http://schemas.openxmlformats.org/officeDocument/2006/relationships/hyperlink" Target="https://en.wikipedia.org/wiki/Henry_L._Stimson" TargetMode="External"/><Relationship Id="rId250" Type="http://schemas.openxmlformats.org/officeDocument/2006/relationships/header" Target="header24.xml"/><Relationship Id="rId251" Type="http://schemas.openxmlformats.org/officeDocument/2006/relationships/footer" Target="footer24.xml"/><Relationship Id="rId252" Type="http://schemas.openxmlformats.org/officeDocument/2006/relationships/image" Target="media/image3.jpg"/><Relationship Id="rId253" Type="http://schemas.openxmlformats.org/officeDocument/2006/relationships/hyperlink" Target="https://chronologia.org/en/seven/history.html" TargetMode="External"/><Relationship Id="rId254" Type="http://schemas.openxmlformats.org/officeDocument/2006/relationships/header" Target="header25.xml"/><Relationship Id="rId255" Type="http://schemas.openxmlformats.org/officeDocument/2006/relationships/footer" Target="footer25.xml"/><Relationship Id="rId256" Type="http://schemas.openxmlformats.org/officeDocument/2006/relationships/hyperlink" Target="/timeline/evt-russian-intellectual-emigration" TargetMode="External"/><Relationship Id="rId257" Type="http://schemas.openxmlformats.org/officeDocument/2006/relationships/header" Target="header26.xml"/><Relationship Id="rId258" Type="http://schemas.openxmlformats.org/officeDocument/2006/relationships/footer" Target="footer26.xml"/><Relationship Id="rId259" Type="http://schemas.openxmlformats.org/officeDocument/2006/relationships/hyperlink" Target="https://en.wikipedia.org/wiki/Monita_Secreta" TargetMode="External"/><Relationship Id="rId260" Type="http://schemas.openxmlformats.org/officeDocument/2006/relationships/hyperlink" Target="/timeline/evt-deep-state-redacts-christianity-into-jesuit-cathol" TargetMode="External"/><Relationship Id="rId261" Type="http://schemas.openxmlformats.org/officeDocument/2006/relationships/hyperlink" Target="https://en.wikipedia.org/wiki/Ignatius_of_Loyola" TargetMode="External"/><Relationship Id="rId262" Type="http://schemas.openxmlformats.org/officeDocument/2006/relationships/hyperlink" Target="https://en.wikipedia.org/wiki/Spiritual_Exercises_of_Ignatius_of_Loyola" TargetMode="External"/><Relationship Id="rId263" Type="http://schemas.openxmlformats.org/officeDocument/2006/relationships/hyperlink" Target="https://sofrep.com/news/soldiers-god-catholicisms-special-operations-force/" TargetMode="External"/><Relationship Id="rId264" Type="http://schemas.openxmlformats.org/officeDocument/2006/relationships/hyperlink" Target="https://en.wikipedia.org/wiki/Maya_codices" TargetMode="External"/><Relationship Id="rId265" Type="http://schemas.openxmlformats.org/officeDocument/2006/relationships/hyperlink" Target="https://en.wikipedia.org/wiki/Diego_de_Landa" TargetMode="External"/><Relationship Id="rId266" Type="http://schemas.openxmlformats.org/officeDocument/2006/relationships/hyperlink" Target="https://en.wikipedia.org/wiki/Jesuit_reduction" TargetMode="External"/><Relationship Id="rId267" Type="http://schemas.openxmlformats.org/officeDocument/2006/relationships/hyperlink" Target="/timeline/evt-jesuits-missions-convert-asians-to-buddhism" TargetMode="External"/><Relationship Id="rId268" Type="http://schemas.openxmlformats.org/officeDocument/2006/relationships/hyperlink" Target="/timeline/evt-secret-society-of-jesus-goes-public" TargetMode="External"/><Relationship Id="rId269" Type="http://schemas.openxmlformats.org/officeDocument/2006/relationships/hyperlink" Target="/timeline/evt-jesuit-restoration-missionary-military-pattern" TargetMode="External"/><Relationship Id="rId270" Type="http://schemas.openxmlformats.org/officeDocument/2006/relationships/hyperlink" Target="/timeline/evt-from-missionaries-to-corporations" TargetMode="External"/><Relationship Id="rId271" Type="http://schemas.openxmlformats.org/officeDocument/2006/relationships/header" Target="header27.xml"/><Relationship Id="rId272" Type="http://schemas.openxmlformats.org/officeDocument/2006/relationships/footer" Target="footer27.xml"/><Relationship Id="rId273" Type="http://schemas.openxmlformats.org/officeDocument/2006/relationships/hyperlink" Target="/timeline/evt-building-the-new-chronology" TargetMode="External"/><Relationship Id="rId274" Type="http://schemas.openxmlformats.org/officeDocument/2006/relationships/image" Target="media/image4.jpg"/><Relationship Id="rId275" Type="http://schemas.openxmlformats.org/officeDocument/2006/relationships/hyperlink" Target="/timeline/evt-constancy-doctrine" TargetMode="External"/><Relationship Id="rId276" Type="http://schemas.openxmlformats.org/officeDocument/2006/relationships/hyperlink" Target="/timeline/evt-the-blip-7th-century-bce-to-10th-century-ce-never-" TargetMode="External"/><Relationship Id="rId277" Type="http://schemas.openxmlformats.org/officeDocument/2006/relationships/header" Target="header28.xml"/><Relationship Id="rId278"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