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E5" w:rsidRPr="001C21E5" w:rsidRDefault="001C21E5" w:rsidP="001C21E5">
      <w:pPr>
        <w:spacing w:after="0" w:line="240" w:lineRule="auto"/>
        <w:ind w:firstLine="567"/>
        <w:jc w:val="center"/>
        <w:rPr>
          <w:rFonts w:ascii="Arial" w:hAnsi="Arial" w:cs="Arial"/>
          <w:b/>
          <w:color w:val="002060"/>
          <w:sz w:val="24"/>
          <w:szCs w:val="24"/>
          <w:lang w:val="en-US"/>
        </w:rPr>
      </w:pPr>
      <w:r w:rsidRPr="001C21E5">
        <w:rPr>
          <w:rFonts w:ascii="Arial" w:hAnsi="Arial" w:cs="Arial"/>
          <w:b/>
          <w:color w:val="002060"/>
          <w:sz w:val="24"/>
          <w:szCs w:val="24"/>
        </w:rPr>
        <w:t>Индекс</w:t>
      </w:r>
      <w:r w:rsidRPr="001C21E5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r w:rsidRPr="001C21E5">
        <w:rPr>
          <w:rFonts w:ascii="Arial" w:hAnsi="Arial" w:cs="Arial"/>
          <w:b/>
          <w:color w:val="002060"/>
          <w:sz w:val="24"/>
          <w:szCs w:val="24"/>
        </w:rPr>
        <w:t>верховенства</w:t>
      </w:r>
      <w:r w:rsidRPr="001C21E5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  <w:r w:rsidRPr="001C21E5">
        <w:rPr>
          <w:rFonts w:ascii="Arial" w:hAnsi="Arial" w:cs="Arial"/>
          <w:b/>
          <w:color w:val="002060"/>
          <w:sz w:val="24"/>
          <w:szCs w:val="24"/>
        </w:rPr>
        <w:t>закона</w:t>
      </w:r>
      <w:r w:rsidRPr="001C21E5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 </w:t>
      </w:r>
    </w:p>
    <w:p w:rsidR="001047D7" w:rsidRPr="001C21E5" w:rsidRDefault="001C21E5" w:rsidP="001C21E5">
      <w:pPr>
        <w:spacing w:after="0" w:line="240" w:lineRule="auto"/>
        <w:ind w:firstLine="567"/>
        <w:jc w:val="center"/>
        <w:rPr>
          <w:rFonts w:ascii="Arial" w:hAnsi="Arial" w:cs="Arial"/>
          <w:sz w:val="24"/>
          <w:szCs w:val="24"/>
          <w:lang w:val="en-US"/>
        </w:rPr>
      </w:pPr>
      <w:r w:rsidRPr="001C21E5">
        <w:rPr>
          <w:rFonts w:ascii="Arial" w:hAnsi="Arial" w:cs="Arial"/>
          <w:b/>
          <w:color w:val="002060"/>
          <w:sz w:val="24"/>
          <w:szCs w:val="24"/>
          <w:lang w:val="en-US"/>
        </w:rPr>
        <w:t xml:space="preserve">(The </w:t>
      </w:r>
      <w:r>
        <w:rPr>
          <w:rFonts w:ascii="Arial" w:hAnsi="Arial" w:cs="Arial"/>
          <w:b/>
          <w:color w:val="002060"/>
          <w:sz w:val="24"/>
          <w:szCs w:val="24"/>
          <w:lang w:val="en-US"/>
        </w:rPr>
        <w:t>Rule of Law Index 2017-2018</w:t>
      </w:r>
      <w:r w:rsidRPr="001C21E5">
        <w:rPr>
          <w:rFonts w:ascii="Arial" w:hAnsi="Arial" w:cs="Arial"/>
          <w:b/>
          <w:color w:val="002060"/>
          <w:sz w:val="24"/>
          <w:szCs w:val="24"/>
          <w:lang w:val="en-US"/>
        </w:rPr>
        <w:t>)</w:t>
      </w:r>
    </w:p>
    <w:p w:rsidR="00841664" w:rsidRDefault="00841664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en-US"/>
        </w:rPr>
      </w:pPr>
    </w:p>
    <w:p w:rsidR="00841664" w:rsidRDefault="001C21E5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C21E5">
        <w:rPr>
          <w:rFonts w:ascii="Arial" w:hAnsi="Arial" w:cs="Arial"/>
          <w:sz w:val="24"/>
          <w:szCs w:val="24"/>
        </w:rPr>
        <w:t xml:space="preserve">Первый </w:t>
      </w:r>
      <w:r w:rsidR="00FF49C9">
        <w:rPr>
          <w:rFonts w:ascii="Arial" w:hAnsi="Arial" w:cs="Arial"/>
          <w:sz w:val="24"/>
          <w:szCs w:val="24"/>
        </w:rPr>
        <w:t>и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ндекс </w:t>
      </w:r>
      <w:r w:rsidR="00F04E38">
        <w:rPr>
          <w:rFonts w:ascii="Arial" w:hAnsi="Arial" w:cs="Arial"/>
          <w:sz w:val="24"/>
          <w:szCs w:val="24"/>
        </w:rPr>
        <w:t>был опубликован м</w:t>
      </w:r>
      <w:r w:rsidRPr="001C21E5">
        <w:rPr>
          <w:rFonts w:ascii="Arial" w:hAnsi="Arial" w:cs="Arial"/>
          <w:sz w:val="24"/>
          <w:szCs w:val="24"/>
        </w:rPr>
        <w:t>еждународной независимой некоммерческой организацией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C21E5">
        <w:rPr>
          <w:rFonts w:ascii="Arial" w:hAnsi="Arial" w:cs="Arial"/>
          <w:b/>
          <w:sz w:val="24"/>
          <w:szCs w:val="24"/>
        </w:rPr>
        <w:t>The</w:t>
      </w:r>
      <w:proofErr w:type="spellEnd"/>
      <w:r w:rsidRPr="001C21E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C21E5">
        <w:rPr>
          <w:rFonts w:ascii="Arial" w:hAnsi="Arial" w:cs="Arial"/>
          <w:b/>
          <w:sz w:val="24"/>
          <w:szCs w:val="24"/>
        </w:rPr>
        <w:t>World</w:t>
      </w:r>
      <w:proofErr w:type="spellEnd"/>
      <w:r w:rsidRPr="001C21E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C21E5">
        <w:rPr>
          <w:rFonts w:ascii="Arial" w:hAnsi="Arial" w:cs="Arial"/>
          <w:b/>
          <w:sz w:val="24"/>
          <w:szCs w:val="24"/>
        </w:rPr>
        <w:t>Justice</w:t>
      </w:r>
      <w:proofErr w:type="spellEnd"/>
      <w:r w:rsidRPr="001C21E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C21E5">
        <w:rPr>
          <w:rFonts w:ascii="Arial" w:hAnsi="Arial" w:cs="Arial"/>
          <w:b/>
          <w:sz w:val="24"/>
          <w:szCs w:val="24"/>
        </w:rPr>
        <w:t>Project</w:t>
      </w:r>
      <w:proofErr w:type="spellEnd"/>
      <w:r>
        <w:rPr>
          <w:rFonts w:ascii="Arial" w:hAnsi="Arial" w:cs="Arial"/>
          <w:sz w:val="24"/>
          <w:szCs w:val="24"/>
        </w:rPr>
        <w:t xml:space="preserve"> в 2010 году</w:t>
      </w:r>
    </w:p>
    <w:p w:rsidR="0086049E" w:rsidRDefault="0086049E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86049E" w:rsidRDefault="001C21E5" w:rsidP="00841664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2017</w:t>
      </w:r>
      <w:r w:rsidRPr="001C21E5">
        <w:rPr>
          <w:rFonts w:ascii="Arial" w:hAnsi="Arial" w:cs="Arial"/>
          <w:sz w:val="24"/>
          <w:szCs w:val="24"/>
        </w:rPr>
        <w:t xml:space="preserve"> году </w:t>
      </w:r>
      <w:r>
        <w:rPr>
          <w:rFonts w:ascii="Arial" w:hAnsi="Arial" w:cs="Arial"/>
          <w:sz w:val="24"/>
          <w:szCs w:val="24"/>
        </w:rPr>
        <w:t xml:space="preserve">представлены </w:t>
      </w:r>
      <w:r w:rsidRPr="003A1E63">
        <w:rPr>
          <w:rFonts w:ascii="Arial" w:hAnsi="Arial" w:cs="Arial"/>
          <w:b/>
          <w:sz w:val="24"/>
          <w:szCs w:val="24"/>
        </w:rPr>
        <w:t>113 стран</w:t>
      </w:r>
    </w:p>
    <w:p w:rsidR="0086049E" w:rsidRDefault="0086049E" w:rsidP="003A1E63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3A1E63" w:rsidRDefault="003A1E63" w:rsidP="003A1E63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A1E63">
        <w:rPr>
          <w:rFonts w:ascii="Arial" w:hAnsi="Arial" w:cs="Arial"/>
          <w:sz w:val="24"/>
          <w:szCs w:val="24"/>
        </w:rPr>
        <w:t xml:space="preserve">Индекс состоит из </w:t>
      </w:r>
      <w:r w:rsidRPr="003A1E63">
        <w:rPr>
          <w:rFonts w:ascii="Arial" w:hAnsi="Arial" w:cs="Arial"/>
          <w:b/>
          <w:sz w:val="24"/>
          <w:szCs w:val="24"/>
        </w:rPr>
        <w:t>9 агрегированных индикаторов</w:t>
      </w:r>
      <w:r w:rsidRPr="003A1E63">
        <w:rPr>
          <w:rFonts w:ascii="Arial" w:hAnsi="Arial" w:cs="Arial"/>
          <w:sz w:val="24"/>
          <w:szCs w:val="24"/>
        </w:rPr>
        <w:t xml:space="preserve">: </w:t>
      </w:r>
    </w:p>
    <w:p w:rsidR="003A1E63" w:rsidRDefault="003A1E63" w:rsidP="003A1E63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</w:t>
      </w:r>
      <w:r w:rsidRPr="003A1E63">
        <w:rPr>
          <w:rFonts w:ascii="Arial" w:hAnsi="Arial" w:cs="Arial"/>
          <w:sz w:val="24"/>
          <w:szCs w:val="24"/>
        </w:rPr>
        <w:t>гр</w:t>
      </w:r>
      <w:r>
        <w:rPr>
          <w:rFonts w:ascii="Arial" w:hAnsi="Arial" w:cs="Arial"/>
          <w:sz w:val="24"/>
          <w:szCs w:val="24"/>
        </w:rPr>
        <w:t>аничение государственной власти</w:t>
      </w:r>
      <w:r w:rsidRPr="003A1E63">
        <w:rPr>
          <w:rFonts w:ascii="Arial" w:hAnsi="Arial" w:cs="Arial"/>
          <w:sz w:val="24"/>
          <w:szCs w:val="24"/>
        </w:rPr>
        <w:t xml:space="preserve"> </w:t>
      </w:r>
    </w:p>
    <w:p w:rsidR="003A1E63" w:rsidRDefault="003A1E63" w:rsidP="003A1E63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Отсутствие коррупции</w:t>
      </w:r>
    </w:p>
    <w:p w:rsidR="003A1E63" w:rsidRDefault="003A1E63" w:rsidP="003A1E63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Открытое правительство</w:t>
      </w:r>
      <w:r w:rsidRPr="003A1E63">
        <w:rPr>
          <w:rFonts w:ascii="Arial" w:hAnsi="Arial" w:cs="Arial"/>
          <w:sz w:val="24"/>
          <w:szCs w:val="24"/>
        </w:rPr>
        <w:t xml:space="preserve"> </w:t>
      </w:r>
    </w:p>
    <w:p w:rsidR="003A1E63" w:rsidRDefault="003A1E63" w:rsidP="003A1E63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Фундаментальные права</w:t>
      </w:r>
    </w:p>
    <w:p w:rsidR="003A1E63" w:rsidRDefault="003A1E63" w:rsidP="003A1E63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3A1E63">
        <w:rPr>
          <w:rFonts w:ascii="Arial" w:hAnsi="Arial" w:cs="Arial"/>
          <w:sz w:val="24"/>
          <w:szCs w:val="24"/>
        </w:rPr>
        <w:t xml:space="preserve">орядок и безопасность </w:t>
      </w:r>
    </w:p>
    <w:p w:rsidR="003A1E63" w:rsidRDefault="003A1E63" w:rsidP="003A1E63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Правоприменение</w:t>
      </w:r>
      <w:proofErr w:type="spellEnd"/>
      <w:r w:rsidRPr="003A1E63">
        <w:rPr>
          <w:rFonts w:ascii="Arial" w:hAnsi="Arial" w:cs="Arial"/>
          <w:sz w:val="24"/>
          <w:szCs w:val="24"/>
        </w:rPr>
        <w:t xml:space="preserve"> </w:t>
      </w:r>
    </w:p>
    <w:p w:rsidR="003A1E63" w:rsidRDefault="003A1E63" w:rsidP="003A1E63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Гражданское правосудие</w:t>
      </w:r>
      <w:r w:rsidRPr="003A1E63">
        <w:rPr>
          <w:rFonts w:ascii="Arial" w:hAnsi="Arial" w:cs="Arial"/>
          <w:sz w:val="24"/>
          <w:szCs w:val="24"/>
        </w:rPr>
        <w:t xml:space="preserve"> </w:t>
      </w:r>
    </w:p>
    <w:p w:rsidR="003A1E63" w:rsidRDefault="003A1E63" w:rsidP="003A1E63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Уголовное правосудие</w:t>
      </w:r>
    </w:p>
    <w:p w:rsidR="00EA7984" w:rsidRPr="003A1E63" w:rsidRDefault="003A1E63" w:rsidP="003A1E63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3A1E63">
        <w:rPr>
          <w:rFonts w:ascii="Arial" w:hAnsi="Arial" w:cs="Arial"/>
          <w:sz w:val="24"/>
          <w:szCs w:val="24"/>
        </w:rPr>
        <w:t xml:space="preserve">еформальное </w:t>
      </w:r>
      <w:r>
        <w:rPr>
          <w:rFonts w:ascii="Arial" w:hAnsi="Arial" w:cs="Arial"/>
          <w:sz w:val="24"/>
          <w:szCs w:val="24"/>
        </w:rPr>
        <w:t>правосудие</w:t>
      </w:r>
    </w:p>
    <w:p w:rsidR="006C24A9" w:rsidRDefault="006C24A9" w:rsidP="003A1E63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2D15F6" w:rsidRDefault="00363339" w:rsidP="003A1E63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63339">
        <w:rPr>
          <w:rFonts w:ascii="Arial" w:hAnsi="Arial" w:cs="Arial"/>
          <w:sz w:val="24"/>
          <w:szCs w:val="24"/>
        </w:rPr>
        <w:t>Казахстан занимае</w:t>
      </w:r>
      <w:r w:rsidR="002D15F6">
        <w:rPr>
          <w:rFonts w:ascii="Arial" w:hAnsi="Arial" w:cs="Arial"/>
          <w:sz w:val="24"/>
          <w:szCs w:val="24"/>
        </w:rPr>
        <w:t xml:space="preserve">т </w:t>
      </w:r>
      <w:r w:rsidR="00732391">
        <w:rPr>
          <w:rFonts w:ascii="Arial" w:hAnsi="Arial" w:cs="Arial"/>
          <w:b/>
          <w:color w:val="C00000"/>
          <w:sz w:val="28"/>
          <w:szCs w:val="24"/>
        </w:rPr>
        <w:t>64 место</w:t>
      </w:r>
      <w:r w:rsidR="002D15F6">
        <w:rPr>
          <w:rFonts w:ascii="Arial" w:hAnsi="Arial" w:cs="Arial"/>
          <w:sz w:val="24"/>
          <w:szCs w:val="24"/>
        </w:rPr>
        <w:t xml:space="preserve"> с показателем </w:t>
      </w:r>
      <w:r w:rsidR="00732391">
        <w:rPr>
          <w:rFonts w:ascii="Arial" w:hAnsi="Arial" w:cs="Arial"/>
          <w:sz w:val="24"/>
          <w:szCs w:val="24"/>
        </w:rPr>
        <w:t>0,5</w:t>
      </w:r>
      <w:r w:rsidR="002D15F6">
        <w:rPr>
          <w:rFonts w:ascii="Arial" w:hAnsi="Arial" w:cs="Arial"/>
          <w:sz w:val="24"/>
          <w:szCs w:val="24"/>
        </w:rPr>
        <w:t xml:space="preserve"> баллов из </w:t>
      </w:r>
      <w:r w:rsidR="00732391">
        <w:rPr>
          <w:rFonts w:ascii="Arial" w:hAnsi="Arial" w:cs="Arial"/>
          <w:sz w:val="24"/>
          <w:szCs w:val="24"/>
        </w:rPr>
        <w:t>1</w:t>
      </w:r>
      <w:r w:rsidR="002D15F6">
        <w:rPr>
          <w:rFonts w:ascii="Arial" w:hAnsi="Arial" w:cs="Arial"/>
          <w:sz w:val="24"/>
          <w:szCs w:val="24"/>
        </w:rPr>
        <w:t xml:space="preserve"> возможных</w:t>
      </w:r>
    </w:p>
    <w:p w:rsidR="002D15F6" w:rsidRDefault="00C36369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D1244" wp14:editId="25427A78">
                <wp:simplePos x="0" y="0"/>
                <wp:positionH relativeFrom="column">
                  <wp:posOffset>5006340</wp:posOffset>
                </wp:positionH>
                <wp:positionV relativeFrom="paragraph">
                  <wp:posOffset>136525</wp:posOffset>
                </wp:positionV>
                <wp:extent cx="76200" cy="228600"/>
                <wp:effectExtent l="19050" t="19050" r="38100" b="19050"/>
                <wp:wrapNone/>
                <wp:docPr id="2" name="Стрелка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2286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F1D5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" o:spid="_x0000_s1026" type="#_x0000_t67" style="position:absolute;margin-left:394.2pt;margin-top:10.75pt;width:6pt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" adj="18000" fillcolor="#538135 [2409]" strokecolor="#1f4d78 [1604]" strokeweight="1pt"/>
            </w:pict>
          </mc:Fallback>
        </mc:AlternateContent>
      </w:r>
    </w:p>
    <w:p w:rsidR="00363339" w:rsidRDefault="002D15F6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это</w:t>
      </w:r>
      <w:r w:rsidR="00363339" w:rsidRPr="00363339">
        <w:rPr>
          <w:rFonts w:ascii="Arial" w:hAnsi="Arial" w:cs="Arial"/>
          <w:sz w:val="24"/>
          <w:szCs w:val="24"/>
        </w:rPr>
        <w:t xml:space="preserve"> на </w:t>
      </w:r>
      <w:r w:rsidR="00732391">
        <w:rPr>
          <w:rFonts w:ascii="Arial" w:hAnsi="Arial" w:cs="Arial"/>
          <w:b/>
          <w:sz w:val="28"/>
          <w:szCs w:val="24"/>
        </w:rPr>
        <w:t>9 позиций</w:t>
      </w:r>
      <w:r w:rsidR="00363339" w:rsidRPr="00AE1AFE">
        <w:rPr>
          <w:rFonts w:ascii="Arial" w:hAnsi="Arial" w:cs="Arial"/>
          <w:b/>
          <w:sz w:val="28"/>
          <w:szCs w:val="24"/>
        </w:rPr>
        <w:t xml:space="preserve"> </w:t>
      </w:r>
      <w:r w:rsidR="00C36369" w:rsidRPr="00AE1AFE">
        <w:rPr>
          <w:rFonts w:ascii="Arial" w:hAnsi="Arial" w:cs="Arial"/>
          <w:b/>
          <w:sz w:val="28"/>
          <w:szCs w:val="24"/>
        </w:rPr>
        <w:t>выше</w:t>
      </w:r>
      <w:r w:rsidR="00C36369">
        <w:rPr>
          <w:rFonts w:ascii="Arial" w:hAnsi="Arial" w:cs="Arial"/>
          <w:b/>
          <w:sz w:val="28"/>
          <w:szCs w:val="24"/>
        </w:rPr>
        <w:t xml:space="preserve"> </w:t>
      </w:r>
      <w:r w:rsidR="00363339" w:rsidRPr="00363339">
        <w:rPr>
          <w:rFonts w:ascii="Arial" w:hAnsi="Arial" w:cs="Arial"/>
          <w:sz w:val="24"/>
          <w:szCs w:val="24"/>
        </w:rPr>
        <w:t xml:space="preserve">по </w:t>
      </w:r>
      <w:r w:rsidR="00732391">
        <w:rPr>
          <w:rFonts w:ascii="Arial" w:hAnsi="Arial" w:cs="Arial"/>
          <w:sz w:val="24"/>
          <w:szCs w:val="24"/>
        </w:rPr>
        <w:t>сравнению с рейтингом 2016</w:t>
      </w:r>
      <w:r>
        <w:rPr>
          <w:rFonts w:ascii="Arial" w:hAnsi="Arial" w:cs="Arial"/>
          <w:sz w:val="24"/>
          <w:szCs w:val="24"/>
        </w:rPr>
        <w:t xml:space="preserve"> года</w:t>
      </w:r>
      <w:r w:rsidR="00C36369">
        <w:rPr>
          <w:rFonts w:ascii="Arial" w:hAnsi="Arial" w:cs="Arial"/>
          <w:sz w:val="24"/>
          <w:szCs w:val="24"/>
        </w:rPr>
        <w:t xml:space="preserve"> </w:t>
      </w:r>
    </w:p>
    <w:p w:rsidR="002D15F6" w:rsidRPr="00363339" w:rsidRDefault="002D15F6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AE1AFE" w:rsidRDefault="00AE1AFE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</w:t>
      </w:r>
      <w:r w:rsidR="00363339" w:rsidRPr="00363339">
        <w:rPr>
          <w:rFonts w:ascii="Arial" w:hAnsi="Arial" w:cs="Arial"/>
          <w:sz w:val="24"/>
          <w:szCs w:val="24"/>
        </w:rPr>
        <w:t xml:space="preserve">то </w:t>
      </w:r>
      <w:r w:rsidR="00363339" w:rsidRPr="00D31EBB">
        <w:rPr>
          <w:rFonts w:ascii="Arial" w:hAnsi="Arial" w:cs="Arial"/>
          <w:b/>
          <w:sz w:val="28"/>
          <w:szCs w:val="24"/>
        </w:rPr>
        <w:t>наивысшее место</w:t>
      </w:r>
      <w:r w:rsidR="00363339" w:rsidRPr="00363339">
        <w:rPr>
          <w:rFonts w:ascii="Arial" w:hAnsi="Arial" w:cs="Arial"/>
          <w:sz w:val="24"/>
          <w:szCs w:val="24"/>
        </w:rPr>
        <w:t>, которое занимал Казах</w:t>
      </w:r>
      <w:r>
        <w:rPr>
          <w:rFonts w:ascii="Arial" w:hAnsi="Arial" w:cs="Arial"/>
          <w:sz w:val="24"/>
          <w:szCs w:val="24"/>
        </w:rPr>
        <w:t xml:space="preserve">стан </w:t>
      </w:r>
      <w:r w:rsidR="00693282">
        <w:rPr>
          <w:rFonts w:ascii="Arial" w:hAnsi="Arial" w:cs="Arial"/>
          <w:sz w:val="24"/>
          <w:szCs w:val="24"/>
        </w:rPr>
        <w:t>с 2015 г.</w:t>
      </w:r>
    </w:p>
    <w:p w:rsidR="00AE1AFE" w:rsidRDefault="00AE1AFE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1557"/>
        <w:gridCol w:w="1558"/>
        <w:gridCol w:w="1558"/>
        <w:gridCol w:w="1558"/>
        <w:gridCol w:w="1558"/>
      </w:tblGrid>
      <w:tr w:rsidR="005873FB" w:rsidTr="005873FB">
        <w:trPr>
          <w:jc w:val="center"/>
        </w:trPr>
        <w:tc>
          <w:tcPr>
            <w:tcW w:w="1556" w:type="dxa"/>
          </w:tcPr>
          <w:p w:rsidR="005873FB" w:rsidRPr="00D31EBB" w:rsidRDefault="005873FB" w:rsidP="00363339">
            <w:pPr>
              <w:tabs>
                <w:tab w:val="left" w:pos="709"/>
                <w:tab w:val="left" w:pos="851"/>
              </w:tabs>
              <w:jc w:val="both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Год</w:t>
            </w:r>
          </w:p>
        </w:tc>
        <w:tc>
          <w:tcPr>
            <w:tcW w:w="1557" w:type="dxa"/>
          </w:tcPr>
          <w:p w:rsidR="005873FB" w:rsidRPr="00D31EBB" w:rsidRDefault="005873F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2013</w:t>
            </w:r>
          </w:p>
        </w:tc>
        <w:tc>
          <w:tcPr>
            <w:tcW w:w="1558" w:type="dxa"/>
          </w:tcPr>
          <w:p w:rsidR="005873FB" w:rsidRPr="00D31EBB" w:rsidRDefault="00F010BD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2014</w:t>
            </w:r>
          </w:p>
        </w:tc>
        <w:tc>
          <w:tcPr>
            <w:tcW w:w="1558" w:type="dxa"/>
          </w:tcPr>
          <w:p w:rsidR="005873FB" w:rsidRPr="00D31EBB" w:rsidRDefault="005873F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color w:val="0070C0"/>
                <w:sz w:val="24"/>
                <w:szCs w:val="24"/>
              </w:rPr>
              <w:t>2015</w:t>
            </w:r>
          </w:p>
        </w:tc>
        <w:tc>
          <w:tcPr>
            <w:tcW w:w="1558" w:type="dxa"/>
          </w:tcPr>
          <w:p w:rsidR="005873FB" w:rsidRPr="00D31EBB" w:rsidRDefault="005873F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2016</w:t>
            </w:r>
          </w:p>
        </w:tc>
        <w:tc>
          <w:tcPr>
            <w:tcW w:w="1558" w:type="dxa"/>
          </w:tcPr>
          <w:p w:rsidR="005873FB" w:rsidRDefault="005873F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2017</w:t>
            </w:r>
          </w:p>
        </w:tc>
      </w:tr>
      <w:tr w:rsidR="005873FB" w:rsidTr="005873FB">
        <w:trPr>
          <w:jc w:val="center"/>
        </w:trPr>
        <w:tc>
          <w:tcPr>
            <w:tcW w:w="1556" w:type="dxa"/>
          </w:tcPr>
          <w:p w:rsidR="005873FB" w:rsidRPr="00D31EBB" w:rsidRDefault="005873FB" w:rsidP="00363339">
            <w:pPr>
              <w:tabs>
                <w:tab w:val="left" w:pos="709"/>
                <w:tab w:val="left" w:pos="85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Место</w:t>
            </w:r>
          </w:p>
        </w:tc>
        <w:tc>
          <w:tcPr>
            <w:tcW w:w="1557" w:type="dxa"/>
          </w:tcPr>
          <w:p w:rsidR="005873FB" w:rsidRDefault="00F010BD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74</w:t>
            </w:r>
          </w:p>
        </w:tc>
        <w:tc>
          <w:tcPr>
            <w:tcW w:w="1558" w:type="dxa"/>
          </w:tcPr>
          <w:p w:rsidR="005873FB" w:rsidRDefault="00F010BD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71</w:t>
            </w:r>
          </w:p>
        </w:tc>
        <w:tc>
          <w:tcPr>
            <w:tcW w:w="1558" w:type="dxa"/>
          </w:tcPr>
          <w:p w:rsidR="005873FB" w:rsidRPr="00D31EBB" w:rsidRDefault="005873F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65</w:t>
            </w:r>
          </w:p>
        </w:tc>
        <w:tc>
          <w:tcPr>
            <w:tcW w:w="1558" w:type="dxa"/>
          </w:tcPr>
          <w:p w:rsidR="005873FB" w:rsidRPr="00D31EBB" w:rsidRDefault="005873F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73</w:t>
            </w:r>
          </w:p>
        </w:tc>
        <w:tc>
          <w:tcPr>
            <w:tcW w:w="1558" w:type="dxa"/>
          </w:tcPr>
          <w:p w:rsidR="005873FB" w:rsidRPr="00D31EBB" w:rsidRDefault="005873F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C00000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C00000"/>
                <w:sz w:val="28"/>
                <w:szCs w:val="24"/>
              </w:rPr>
              <w:t>64</w:t>
            </w:r>
          </w:p>
        </w:tc>
      </w:tr>
    </w:tbl>
    <w:p w:rsidR="00D31EBB" w:rsidRDefault="00D31EBB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693282" w:rsidRDefault="00693282" w:rsidP="0036333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693282">
        <w:rPr>
          <w:rFonts w:ascii="Arial" w:hAnsi="Arial" w:cs="Arial"/>
          <w:sz w:val="24"/>
          <w:szCs w:val="24"/>
        </w:rPr>
        <w:t>Самы</w:t>
      </w:r>
      <w:r w:rsidR="00F010BD">
        <w:rPr>
          <w:rFonts w:ascii="Arial" w:hAnsi="Arial" w:cs="Arial"/>
          <w:sz w:val="24"/>
          <w:szCs w:val="24"/>
        </w:rPr>
        <w:t xml:space="preserve">е насущные проблемы Казахстана </w:t>
      </w:r>
      <w:r w:rsidRPr="00693282">
        <w:rPr>
          <w:rFonts w:ascii="Arial" w:hAnsi="Arial" w:cs="Arial"/>
          <w:sz w:val="24"/>
          <w:szCs w:val="24"/>
        </w:rPr>
        <w:t xml:space="preserve">касаются факторов </w:t>
      </w:r>
      <w:r w:rsidRPr="00693282">
        <w:rPr>
          <w:rFonts w:ascii="Arial" w:hAnsi="Arial" w:cs="Arial"/>
          <w:b/>
          <w:sz w:val="24"/>
          <w:szCs w:val="24"/>
        </w:rPr>
        <w:t>ограничения государственной власти и фундаментальных прав</w:t>
      </w:r>
    </w:p>
    <w:p w:rsidR="00EA7984" w:rsidRDefault="00693282" w:rsidP="0036333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693282">
        <w:rPr>
          <w:rFonts w:ascii="Arial" w:hAnsi="Arial" w:cs="Arial"/>
          <w:sz w:val="24"/>
          <w:szCs w:val="24"/>
        </w:rPr>
        <w:t>Один фактор, который Казахстан обеспечивает на хорошем уровне –</w:t>
      </w:r>
      <w:r w:rsidR="005873FB">
        <w:rPr>
          <w:rFonts w:ascii="Arial" w:hAnsi="Arial" w:cs="Arial"/>
          <w:sz w:val="24"/>
          <w:szCs w:val="24"/>
        </w:rPr>
        <w:t xml:space="preserve"> </w:t>
      </w:r>
      <w:r w:rsidRPr="005873FB">
        <w:rPr>
          <w:rFonts w:ascii="Arial" w:hAnsi="Arial" w:cs="Arial"/>
          <w:b/>
          <w:sz w:val="24"/>
          <w:szCs w:val="24"/>
        </w:rPr>
        <w:t>порядок и безопасность</w:t>
      </w:r>
    </w:p>
    <w:p w:rsidR="0086049E" w:rsidRPr="0086049E" w:rsidRDefault="0086049E" w:rsidP="00EA798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sectPr w:rsidR="0086049E" w:rsidRPr="0086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6E13"/>
    <w:multiLevelType w:val="hybridMultilevel"/>
    <w:tmpl w:val="64BE623E"/>
    <w:lvl w:ilvl="0" w:tplc="671AB8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C67D80"/>
    <w:multiLevelType w:val="hybridMultilevel"/>
    <w:tmpl w:val="6854F89A"/>
    <w:lvl w:ilvl="0" w:tplc="421CA2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9852584"/>
    <w:multiLevelType w:val="hybridMultilevel"/>
    <w:tmpl w:val="CB92391E"/>
    <w:lvl w:ilvl="0" w:tplc="25940B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64"/>
    <w:rsid w:val="001047D7"/>
    <w:rsid w:val="001C21E5"/>
    <w:rsid w:val="002D15F6"/>
    <w:rsid w:val="00363339"/>
    <w:rsid w:val="003A1E63"/>
    <w:rsid w:val="005873FB"/>
    <w:rsid w:val="005B0D21"/>
    <w:rsid w:val="00693282"/>
    <w:rsid w:val="006C24A9"/>
    <w:rsid w:val="00732391"/>
    <w:rsid w:val="00841664"/>
    <w:rsid w:val="0086049E"/>
    <w:rsid w:val="00A87B4E"/>
    <w:rsid w:val="00AE1AFE"/>
    <w:rsid w:val="00B3057B"/>
    <w:rsid w:val="00C36369"/>
    <w:rsid w:val="00C50DB7"/>
    <w:rsid w:val="00CA48F7"/>
    <w:rsid w:val="00D31EBB"/>
    <w:rsid w:val="00E75432"/>
    <w:rsid w:val="00EA7984"/>
    <w:rsid w:val="00F010BD"/>
    <w:rsid w:val="00F04E38"/>
    <w:rsid w:val="00F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5265C"/>
  <w15:chartTrackingRefBased/>
  <w15:docId w15:val="{45BD0234-20D1-4E12-AF91-664DE56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984"/>
    <w:pPr>
      <w:ind w:left="720"/>
      <w:contextualSpacing/>
    </w:pPr>
  </w:style>
  <w:style w:type="table" w:styleId="a4">
    <w:name w:val="Table Grid"/>
    <w:basedOn w:val="a1"/>
    <w:uiPriority w:val="39"/>
    <w:rsid w:val="00D3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Айдана Ғалымжанқызы Отарбай</dc:creator>
  <cp:keywords/>
  <dc:description/>
  <cp:lastModifiedBy>Айдана Ғалымжанқызы Отарбай</cp:lastModifiedBy>
  <cp:revision>4</cp:revision>
  <dcterms:created xsi:type="dcterms:W3CDTF">2018-11-13T04:49:00Z</dcterms:created>
  <dcterms:modified xsi:type="dcterms:W3CDTF">2018-11-13T05:55:00Z</dcterms:modified>
</cp:coreProperties>
</file>