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left"/>
      </w:pPr>
      <w:r>
        <w:rPr>
          <w:rFonts w:ascii="Garamond" w:cs="Garamond" w:eastAsia="Garamond" w:hAnsi="Garamond"/>
          <w:b w:val="false"/>
          <w:bCs w:val="false"/>
          <w:color w:val="0B1120"/>
          <w:sz w:val="80"/>
          <w:szCs w:val="80"/>
        </w:rPr>
        <w:t xml:space="preserve">TECHNICAL &amp;</w:t>
      </w:r>
    </w:p>
    <w:p>
      <w:pPr>
        <w:spacing w:before="0" w:after="0"/>
      </w:pPr>
      <w:r>
        <w:rPr>
          <w:rFonts w:ascii="Garamond" w:cs="Garamond" w:eastAsia="Garamond" w:hAnsi="Garamond"/>
          <w:b w:val="false"/>
          <w:bCs w:val="false"/>
          <w:color w:val="0B1120"/>
          <w:sz w:val="80"/>
          <w:szCs w:val="80"/>
        </w:rPr>
        <w:t xml:space="preserve">OPERATIONAL</w:t>
      </w:r>
    </w:p>
    <w:p>
      <w:pPr>
        <w:spacing w:before="0" w:after="240"/>
      </w:pPr>
      <w:r>
        <w:rPr>
          <w:rFonts w:ascii="Garamond" w:cs="Garamond" w:eastAsia="Garamond" w:hAnsi="Garamond"/>
          <w:b w:val="false"/>
          <w:bCs w:val="false"/>
          <w:color w:val="C8A96E"/>
          <w:sz w:val="80"/>
          <w:szCs w:val="80"/>
        </w:rPr>
        <w:t xml:space="preserve">REFERENCE</w:t>
      </w:r>
    </w:p>
    <w:p>
      <w:pPr>
        <w:spacing w:before="0" w:after="240"/>
      </w:pPr>
      <w:r>
        <w:rPr>
          <w:rFonts w:ascii="Courier New" w:cs="Courier New" w:eastAsia="Courier New" w:hAnsi="Courier New"/>
          <w:color w:val="C8A96E"/>
          <w:sz w:val="18"/>
          <w:szCs w:val="18"/>
        </w:rPr>
        <w:t xml:space="preserve">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DM Sans" w:cs="DM Sans" w:eastAsia="DM Sans" w:hAnsi="DM Sans"/>
          <w:color w:val="4A5568"/>
          <w:sz w:val="28"/>
          <w:szCs w:val="28"/>
        </w:rPr>
        <w:t xml:space="preserve">Simulation of Clinical Skills · Digital Handbook</w:t>
      </w:r>
    </w:p>
    <w:p>
      <w:pPr>
        <w:spacing w:before="0" w:after="600"/>
      </w:pPr>
      <w:r>
        <w:rPr>
          <w:rFonts w:ascii="DM Sans" w:cs="DM Sans" w:eastAsia="DM Sans" w:hAnsi="DM Sans"/>
          <w:color w:val="4A5568"/>
          <w:sz w:val="22"/>
          <w:szCs w:val="22"/>
        </w:rPr>
        <w:t xml:space="preserve">Kabinet Vještina · University of Rijeka, Faculty of Medicine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4"/>
                <w:szCs w:val="14"/>
              </w:rPr>
              <w:t xml:space="preserve">STACK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0B1120"/>
                <w:sz w:val="20"/>
                <w:szCs w:val="20"/>
              </w:rPr>
              <w:t xml:space="preserve">Docusaurus v3 + React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4"/>
                <w:szCs w:val="14"/>
              </w:rPr>
              <w:t xml:space="preserve">DEPLOY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0B1120"/>
                <w:sz w:val="20"/>
                <w:szCs w:val="20"/>
              </w:rPr>
              <w:t xml:space="preserve">Netlify / GitHub Pages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4"/>
                <w:szCs w:val="14"/>
              </w:rPr>
              <w:t xml:space="preserve">CONTENT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0B1120"/>
                <w:sz w:val="20"/>
                <w:szCs w:val="20"/>
              </w:rPr>
              <w:t xml:space="preserve">MDX (Markdown + JSX)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6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4"/>
                <w:szCs w:val="14"/>
              </w:rPr>
              <w:t xml:space="preserve">STATUS</w:t>
            </w:r>
          </w:p>
          <w:p>
            <w:pPr>
              <w:spacing w:before="0" w:after="0"/>
            </w:pPr>
            <w:r>
              <w:rPr>
                <w:rFonts w:ascii="DM Sans" w:cs="DM Sans" w:eastAsia="DM Sans" w:hAnsi="DM Sans"/>
                <w:b/>
                <w:bCs/>
                <w:color w:val="0B1120"/>
                <w:sz w:val="20"/>
                <w:szCs w:val="20"/>
              </w:rPr>
              <w:t xml:space="preserve">v0.1 — Scaffold phase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1. Project Overview</w:t>
      </w:r>
    </w:p>
    <w:p>
      <w:pPr>
        <w:spacing w:before="240" w:after="40"/>
      </w:pPr>
      <w:r>
        <w:rPr>
          <w:rFonts w:ascii="Courier New" w:cs="Courier New" w:eastAsia="Courier New" w:hAnsi="Courier New"/>
          <w:b/>
          <w:bCs/>
          <w:color w:val="C8A96E"/>
          <w:sz w:val="16"/>
          <w:szCs w:val="16"/>
        </w:rPr>
        <w:t xml:space="preserve">PURPOSE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The CSS Digital Handbook is a publicly hosted web application that reproduces the full content of "Simulation of Clinical Skills: A Practical Guide" (108 pages, 7 clinical parts) as a navigable, searchable, mobile-friendly reference site for sixth-year medical students at the University of Rijeka Faculty of Medicine.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The site serves as the primary digital companion to the Kabinet Vještina (Skills Cabinet) course, accessible year-round alongside the Merlin e-learning platform. It is not a replacement for Merlin — it is the permanent, open-access reference layer.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Courier New" w:cs="Courier New" w:eastAsia="Courier New" w:hAnsi="Courier New"/>
          <w:b/>
          <w:bCs/>
          <w:color w:val="C8A96E"/>
          <w:sz w:val="16"/>
          <w:szCs w:val="16"/>
        </w:rPr>
        <w:t xml:space="preserve">DESIGN REFERENCE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The visual identity is established by the landing page (landing.html). All component and theme decisions derive from it. The core aesthetic is: deep navy base, warm gold accent, editorial serif typography (Cormorant Garamond / Garamond for display, DM Mono for labels and code, DM Sans for body).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DF8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6"/>
                <w:szCs w:val="16"/>
              </w:rPr>
              <w:t xml:space="preserve">NON-GOALS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This system does NOT replace Merlin or the LMS.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It does NOT include student authentication, grade tracking, or submission workflows.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Interactive quizzes and algorithm simulations are a future phase — not in scope for v1.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It is NOT a visual replica of the printed book layout.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2. Technology Stack</w:t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2.1 Core Framework — Docusaurus v3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Docusaurus is a Meta-maintained static site generator purpose-built for documentation and reference sites. It outputs a React-based SPA with static pre-rendering, meaning fast load times, excellent SEO, and zero server infrastructure required.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Key reasons for choosing Docusaurus over alternatives: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MDX content: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Every page is a .mdx file (Markdown + React). Content is plain text, editable by non-developers, and git-versionable. Custom React components (clinical callout boxes, ABCDE templates, figure placeholders) can be dropped inline.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Built-in full-text search: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Algolia DocSearch (free for open-source/educational projects) or the local @docusaurus/plugin-search-local plugin provides instant search across all 108 pages of content.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Auto-generated sidebar: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The sidebar is automatically built from the file/folder structure. Adding a new chapter means creating a new .mdx file — no manual navigation config needed.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Zero-config deployment: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One command deploys to GitHub Pages (docusaurus deploy) or Netlify via CI/CD. No server, no database, no maintenance burden.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Extensible: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The swizzle system allows overriding any built-in component. The custom landing page (landing.html) becomes the Docusaurus homepage via a custom React component, preserving the full design.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468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Why Rejected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MkDocs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Python-based, limited React extensibility, weaker MDX support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Plain HTML/CSS site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No search, no auto-nav, no versioning, high maintenance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Next.js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Overkill for static docs; requires more manual wiring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Notion / GitBook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No full custom design control; vendor lock-in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2.2 Content Format — MDX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Each handbook chapter is a .mdx file. MDX is a superset of Markdown that supports JSX/React component imports inline. This means: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Standard Markdown for paragraphs, headings, tables, and lists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Custom React components for clinical-specific UI (ABCDE boxes, key-point callouts, figure placeholders, algorithm cards)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No HTML spaghetti — content stays readable and editable as plain text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2.3 Hosting &amp; Deployment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Primary target: Netlify (recommended) or GitHub Pages. Both are free for public repositories.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Netlify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Recommended. Auto-deploys on every git push. Free SSL, custom domain, CDN. Deploy previews on PRs.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Alternative. Free. Slightly more config required for Docusaurus base URL.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Custom Faculty Server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Possible — output is a static build folder. Copy /build to any web server.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2.4 Search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Phase 1 uses @docusaurus/plugin-search-local — a fully offline, no-API-key search that indexes all content at build time. For Phase 2+, Algolia DocSearch can be applied for (free for educational projects) to get a faster, cloud-powered search experience.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2.5 Fonts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Fonts are loaded via Google Fonts CDN (as in the landing page) and referenced in the Docusaurus custom CSS: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/* src/css/custom.css */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@import url('https://fonts.googleapis.com/css2?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family=Cormorant+Garamond:ital,wght@0,300;0,400;0,600;1,300;1,400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&amp;family=DM+Mono:wght@300;400;500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&amp;family=DM+Sans:wght@300;400;500&amp;display=swap');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3. Design System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All design decisions are derived from the established landing page. This section is the canonical reference for any new component or page built in the project.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3.1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18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--navy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#0B1120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Page background, nav, footer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--navy2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#111C30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Section alternate background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--navy3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#162038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Cards, elevated surfaces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--gold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#C8A96E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Primary accent, headings, borders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--gold2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#E2C98A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Hover states, lighter gold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--cream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#F2EDE4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Primary text on dark backgrounds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--cream2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#D8D0C4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Secondary / muted text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#7A8499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Labels, metadata, placeholder text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3.2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3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Font Family</w:t>
            </w:r>
          </w:p>
        </w:tc>
        <w:tc>
          <w:tcPr>
            <w:tcW w:type="dxa" w:w="236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30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Display H1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Cormorant Garamond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clamp(3.5rem–7rem) / 300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Hero headings, Part titles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Cormorant Garamond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2–3.2rem / 300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Section h2 headings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UI Label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DM Mono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0.65–0.75rem / 400, uppercase, tracked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Eyebrows, part numbers, tags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DM Sans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0.9–1rem / 300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All paragraph content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DM Mono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0.8rem / 400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Code blocks, clinical formulas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Chapter Body (docs)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DM Sans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1rem / 300–400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MDX content pages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3.3 Spacing &amp; Grid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Base unit: 8px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Section padding: 6rem 3rem (desktop), 4rem 1.5rem (mobile)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Nav height: 64px (fixed)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Max content width: 1200px (landing), 860px (docs pages)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Grid gap (part cards): 1px on background rgba(gold, 0.08) — creates hairline dividers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3.4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&lt;AbcdeBox /&gt;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components/AbcdeBox.jsx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Structured ABCDE assessment template with expandable rows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&lt;KeyPoints /&gt;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components/KeyPoints.jsx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Gold-bordered callout for chapter key points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&lt;FigurePlaceholder /&gt;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components/FigurePlaceholder.jsx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Labelled placeholder with figure number and caption slot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&lt;SampleHistory /&gt;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components/SampleHistory.jsx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SAMPLE history mnemonic structured display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&lt;AlgoCard /&gt;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components/AlgoCard.jsx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Step-based algorithm card (future: interactive)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&lt;ClinicalTable /&gt;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components/ClinicalTable.jsx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Styled table component with navy header row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&lt;PartBadge /&gt;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components/PartBadge.jsx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number + title badge for cross-references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4. Project Structure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The full directory tree of the Docusaurus project: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css-handbook/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├── docs/                          # All MDX content files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index.md                   # Docs landing / intro page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part1-deteriorating-patient/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_category_.json        # Sidebar label config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1-1-abcde-sample.mdx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1-2-ecg-interpretation.mdx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1-3-vascular-access.mdx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└── 1-4-als-algorithm.mdx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part2-cardiac-emergencies/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_category_.json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2-1-acs.mdx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2-2-arrhythmias.mdx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└── 2-3-ecg-emergency.mdx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part3-respiratory/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part4-neurological/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part5-sepsis/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part6-fluids-electrolytes/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└── part7-injuries/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├── src/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components/                # Reusable React components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AbcdeBox.jsx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KeyPoints.jsx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FigurePlaceholder.jsx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SampleHistory.jsx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└── ClinicalTable.jsx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css/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└── custom.css             # All CSS overrides + design tokens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└── pages/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    └── index.js               # Landing page (from landing.html)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├── static/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├── img/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├── logo.svg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│   └── figures/               # Chapter screenshots (added per phase)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│   └── _redirects                 # Netlify redirect rules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├── docusaurus.config.js           # Main config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├── sidebars.js                    # Sidebar structure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└── package.json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4.1 Category Config Files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Each part folder contains a _category_.json that controls sidebar display: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// docs/part1-deteriorating-patient/_category_.json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"label": "Part 1 · Deteriorating Patient",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"position": 1,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"collapsible": true,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"collapsed": false,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"className": "sidebar-part"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4.2 MDX Chapter Template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Every content chapter follows this structure: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---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title: ABCDE &amp; SAMPLE Assessment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sidebar_label: 1.1 ABCDE &amp; SAMPLE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sidebar_position: 1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description: Structured approach to initial assessment of deteriorating patients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tags: [assessment, abcde, sample, deteriorating-patient]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---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import KeyPoints from "@site/src/components/KeyPoints";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import FigurePlaceholder from "@site/src/components/FigurePlaceholder";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import AbcdeBox from "@site/src/components/AbcdeBox";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ABCDE &amp; SAMPLE Assessment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&lt;KeyPoints items={[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"Apply ABCDE systematically before any intervention",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"Treat life-threatening findings at each step before moving on",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"Re-assess after every intervention"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]} /&gt;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## Introduction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Body text goes here...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&lt;FigurePlaceholder number="1.1" caption="ABCDE assessment flowchart" /&gt;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## The ABCDE Approach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&lt;AbcdeBox /&gt;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5. Content Pipeline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The handbook PDF has 108 pages of extractable text, but the raw extraction contains encoding artifacts (special characters rendered as !, &amp;, %, numbers). Every chapter therefore requires a human review pass before publishing. This section defines the workflow.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5.1 Extraction Workflow per Chapter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Extract raw text: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Use pdfplumber (Python) to extract text from the target page range for the chapter.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Identify encoding corruption: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Scan for !  &amp;  %  and digit-only tokens that should be special characters (e.g., č, š, ž, ć, đ in Croatian names; ≥ ≤ → in clinical content).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Manual clean pass: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Fix corrupted characters, reformat tables, restore list structure, confirm all clinical values (doses, thresholds) against the print PDF.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Insert component placeholders: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Replace every figure/diagram reference with a &lt;FigurePlaceholder /&gt; tag, noting the correct figure number and caption.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Paste into .mdx file: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Add front matter, imports, and cleaned content. Run locally (npm start) to verify rendering.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b/>
          <w:bCs/>
          <w:color w:val="111111"/>
          <w:sz w:val="22"/>
          <w:szCs w:val="22"/>
        </w:rPr>
        <w:t xml:space="preserve">Screenshot figures (async): </w:t>
      </w:r>
      <w:r>
        <w:rPr>
          <w:rFonts w:ascii="DM Sans" w:cs="DM Sans" w:eastAsia="DM Sans" w:hAnsi="DM Sans"/>
          <w:color w:val="111111"/>
          <w:sz w:val="22"/>
          <w:szCs w:val="22"/>
        </w:rPr>
        <w:t xml:space="preserve">When ready, take high-resolution screenshots of the relevant PDF pages, export as PNG, place in /static/img/figures/, and replace placeholders.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EF9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6"/>
                <w:szCs w:val="16"/>
              </w:rPr>
              <w:t xml:space="preserve">CRITICAL QA RULE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Never publish a chapter without verifying all clinical values against the source PDF.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Drug doses, threshold values (e.g. SpO2 &lt;94%, GCS &lt;9), and classification criteria must be exact.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Typography fixes (quotes, dashes) can be done in batch — clinical accuracy cannot.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5.2 Chapter Map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25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Chapter</w:t>
            </w:r>
          </w:p>
        </w:tc>
        <w:tc>
          <w:tcPr>
            <w:tcW w:type="dxa" w:w="14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Part</w:t>
            </w:r>
          </w:p>
        </w:tc>
        <w:tc>
          <w:tcPr>
            <w:tcW w:type="dxa" w:w="14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Pages (PDF)</w:t>
            </w:r>
          </w:p>
        </w:tc>
        <w:tc>
          <w:tcPr>
            <w:tcW w:type="dxa" w:w="256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MDX File</w:t>
            </w:r>
          </w:p>
        </w:tc>
        <w:tc>
          <w:tcPr>
            <w:tcW w:type="dxa" w:w="14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1.1 ABCDE &amp; SAMPLE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15–28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1-1-abcde-sample.mdx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1.2 ECG Interpretation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29–42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1-2-ecg-interpretation.mdx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1.3 Vascular Access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43–50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1-3-vascular-access.mdx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1.4 ALS Algorithm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51–58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1-4-als-algorithm.mdx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2.1 Acute Coronary Syndrome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59–66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2-1-acs.mdx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2.2 Cardiac Arrhythmias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67–78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2-2-arrhythmias.mdx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3.1 Acute Respiratory Failure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81–90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3-1-resp-failure.mdx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3.2 Oxygen &amp; Pulse Oximetry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87–90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3-2-oxygen.mdx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3.3 Arterial Blood Gases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91–96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3-3-abg.mdx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3.4 Anaphylaxis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97–102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3-4-anaphylaxis.mdx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3.5 Acute Bronchospasm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103–112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3-5-bronchospasm.mdx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3.6 Pulmonary Oedema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113–118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3-6-pulm-oedema.mdx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4.1 Neurological Deterioration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4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127–134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4-1-neuro.mdx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4.2 Seizures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4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135–140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4-2-seizures.mdx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4.3 Acute Poisoning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4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141–145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4-3-poisoning.mdx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5.1 Sepsis &amp; Septic Shock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5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147–153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5-1-sepsis.mdx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6.1 IV Fluids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155–160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6-1-iv-fluids.mdx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6.2 Electrolyte Disorders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161–172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6-2-electrolytes.mdx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6.3 Haemorrhage &amp; Shock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173–181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6-3-haemorrhage.mdx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7.1 Trauma Assessment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7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183–204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7-1-trauma.mdx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B1120"/>
                <w:sz w:val="20"/>
                <w:szCs w:val="20"/>
              </w:rPr>
              <w:t xml:space="preserve">7.2 Burns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7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205–212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7-2-burns.mdx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⬜ Pending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6. Docusaurus Configuration</w:t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6.1 docusaurus.config.js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// docusaurus.config.js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const config =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title: 'Kabinet Vještina',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tagline: 'Simulation of Clinical Skills — A Practical Guide',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favicon: 'img/favicon.ico',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url: 'https://css-handbook.netlify.app',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baseUrl: '/',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organizationName: 'medri-rijeka',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projectName: 'css-handbook',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onBrokenLinks: 'throw',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onBrokenMarkdownLinks: 'warn',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i18n: { defaultLocale: 'en', locales: ['en']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presets: [['classic',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docs: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sidebarPath: require.resolve('./sidebars.js'),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routeBasePath: 'handbook',  // /handbook/ not /docs/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blog: false,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theme: { customCss: require.resolve('./src/css/custom.css')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}]],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plugins: ['@docusaurus/plugin-search-local'],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themeConfig: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navbar: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title: 'Kabinet Vještina',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logo: { alt: 'KV Logo', src: 'img/logo.svg'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items: [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  { to: '/handbook', label: 'Handbook', position: 'left'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  { to: '/about', label: 'About', position: 'left'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  { href: 'https://github.com/...', label: 'GitHub', position: 'right'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],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colorMode: { defaultMode: 'dark', disableSwitch: false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};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module.exports = config;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6.2 Custom CSS Tokens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/* src/css/custom.css */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:root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--ifm-color-primary:         #c8a96e;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--ifm-color-primary-dark:    #b8943a;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--ifm-color-primary-darker:  #a07c28;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--ifm-color-primary-darkest: #7a5f1c;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--ifm-color-primary-light:   #d8bc8a;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--ifm-color-primary-lighter: #e2c98a;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--ifm-color-primary-lightest:#f0deb0;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--ifm-background-color:      #0b1120;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--ifm-navbar-background-color: rgba(11,17,32,0.9);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--ifm-font-family-base:      'DM Sans', sans-serif;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--ifm-font-family-monospace: 'DM Mono', monospace;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--ifm-heading-font-family:   'Cormorant Garamond', serif;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--ifm-font-size-base:        1rem;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--ifm-line-height-base:      1.75;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--kv-navy:  #0b1120;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--kv-gold:  #c8a96e;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--kv-cream: #f2ede4;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7. Component Specifications</w:t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7.1 FigurePlaceholder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Renders a visually consistent placeholder wherever a figure/diagram belongs, with figure number and caption. Replace by swapping src prop once screenshots are ready.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// src/components/FigurePlaceholder.jsx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export default function FigurePlaceholder({ number, caption, src })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if (src) return (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&lt;figure className='kv-figure'&gt;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&lt;img src={src} alt={caption} /&gt;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&lt;figcaption&gt;Figure {number}. {caption}&lt;/figcaption&gt;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&lt;/figure&gt;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);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return (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&lt;div className='kv-figure-placeholder'&gt;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&lt;div className='kv-figure-placeholder__inner'&gt;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  &lt;span className='kv-figure-placeholder__label'&gt;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    Figure {number}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  &lt;/span&gt;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  &lt;span className='kv-figure-placeholder__caption'&gt;{caption}&lt;/span&gt;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&lt;/div&gt;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&lt;/div&gt;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);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7.2 KeyPoints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// src/components/KeyPoints.jsx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export default function KeyPoints({ items })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return (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&lt;div className='kv-keypoints'&gt;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&lt;p className='kv-keypoints__label'&gt;Key Points&lt;/p&gt;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&lt;ul&gt;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  {items.map((item, i) =&gt; &lt;li key={i}&gt;{item}&lt;/li&gt;)}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  &lt;/ul&gt;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  &lt;/div&gt;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);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7.3 AbcdeBox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Renders the standard ABCDE assessment framework as a structured table with expandable detail rows per letter. Pre-populated with default clinical content; accepts an override prop for chapter-specific versions.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8. Deployment</w:t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8.1 Netlify (Recommended)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Connect GitHub repository to Netlify (netlify.com → New Site → Import from Git)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Publish directory: build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Node version: 18 (set in netlify.toml or environment variables)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Deploy triggers on every push to main branch automatically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netlify.toml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[build]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command   = "npm run build"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publish   = "build"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[build.environment]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NODE_VERSION = "18"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8.2 GitHub Pages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package.json — add deploy scripts: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"scripts":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"deploy": "docusaurus deploy",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"build":  "docusaurus build"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},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"docusaurus": {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"organizationName": "your-org",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 "projectName": "css-handbook"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}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8.3 Custom Domain</w:t>
      </w:r>
    </w:p>
    <w:p>
      <w:pPr>
        <w:spacing w:before="0" w:after="12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To use a faculty domain (e.g. vjestina.medri.uniri.hr): add a CNAME record pointing to the Netlify subdomain, then configure the custom domain in Netlify dashboard. SSL is provisioned automatically.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9. Build Phases &amp; Milestones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0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Title</w:t>
            </w:r>
          </w:p>
        </w:tc>
        <w:tc>
          <w:tcPr>
            <w:tcW w:type="dxa" w:w="500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560"/>
            <w:tcBorders>
              <w:top w:val="single" w:color="C8A96E" w:sz="6"/>
              <w:left w:val="single" w:color="C8A96E" w:sz="6"/>
              <w:bottom w:val="single" w:color="C8A96E" w:sz="6"/>
              <w:right w:val="single" w:color="C8A96E" w:sz="6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Scaffold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Docusaurus project init, custom theme (CSS tokens), landing page as homepage, empty chapter stubs for all 21 chapters, deploy to Netlify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Dev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 1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Extract + clean all Part 1 chapters (1.1–1.4), all reusable components built, figure placeholders in place, local search enabled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Dev + Content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Parts 2–3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Cardiac Emergencies + Respiratory Emergencies chapters live, ClinicalTable and AlgoCard components added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Dev + Content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Parts 4–5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Neurological Deterioration + Sepsis chapters live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Parts 6–7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Fluids/Electrolytes + Injuries chapters live — full handbook published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20"/>
                <w:szCs w:val="20"/>
              </w:rPr>
              <w:t xml:space="preserve">P5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Figures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Replace all FigurePlaceholder instances with actual screenshots, add alt text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20"/>
                <w:szCs w:val="20"/>
              </w:rPr>
              <w:t xml:space="preserve">P6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Polish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Algolia search, mobile QA, print stylesheet, accessibility audit, analytics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Dev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10. Local Development</w:t>
      </w:r>
    </w:p>
    <w:p>
      <w:pPr>
        <w:shd w:fill="1E2A3A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Initial setup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npx create-docusaurus@latest css-handbook classic --typescript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cd css-handbook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Install extras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npm install @docusaurus/plugin-search-local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Start dev server (hot reload)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npm start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→ opens http://localhost:3000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Production build (test before deploy)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npm run build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npm run serve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 </w:t>
      </w:r>
    </w:p>
    <w:p>
      <w:pPr>
        <w:shd w:fill="1E2A3A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# Deploy to GitHub Pages</w:t>
      </w:r>
    </w:p>
    <w:p>
      <w:pPr>
        <w:shd w:fill="1E2A3A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E2C98A"/>
          <w:sz w:val="18"/>
          <w:szCs w:val="18"/>
        </w:rPr>
        <w:t xml:space="preserve">npm run deploy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8A96E" w:sz="8"/>
              <w:left w:val="single" w:color="C8A96E" w:sz="8"/>
              <w:bottom w:val="single" w:color="C8A96E" w:sz="8"/>
              <w:right w:val="single" w:color="C8A96E" w:sz="8"/>
            </w:tcBorders>
            <w:shd w:fill="FDF8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C8A96E"/>
                <w:sz w:val="16"/>
                <w:szCs w:val="16"/>
              </w:rPr>
              <w:t xml:space="preserve">DEV ENVIRONMENT NOTE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Docusaurus requires Node.js &gt;= 18.0.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Recommended: use nvm to manage Node versions.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Windows users: WSL2 is strongly recommended over native Windows for Docusaurus.</w:t>
            </w:r>
          </w:p>
          <w:p>
            <w:pPr>
              <w:spacing w:before="0" w:after="60"/>
            </w:pPr>
            <w:r>
              <w:rPr>
                <w:rFonts w:ascii="DM Sans" w:cs="DM Sans" w:eastAsia="DM Sans" w:hAnsi="DM Sans"/>
                <w:color w:val="111111"/>
                <w:sz w:val="22"/>
                <w:szCs w:val="22"/>
              </w:rPr>
              <w:t xml:space="preserve">Run npm start — the dev server auto-reloads on any .mdx or .jsx file change.</w:t>
            </w:r>
          </w:p>
        </w:tc>
      </w:tr>
    </w:tbl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C8A96E" w:sz="6" w:space="6"/>
        </w:pBdr>
        <w:spacing w:before="480" w:after="120"/>
      </w:pPr>
      <w:r>
        <w:rPr>
          <w:rFonts w:ascii="Garamond" w:cs="Garamond" w:eastAsia="Garamond" w:hAnsi="Garamond"/>
          <w:b w:val="false"/>
          <w:bCs w:val="false"/>
          <w:color w:val="0B1120"/>
          <w:sz w:val="48"/>
          <w:szCs w:val="48"/>
        </w:rPr>
        <w:t xml:space="preserve">11. Conventions &amp; Rules</w:t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File Naming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All MDX files: kebab-case, prefixed with chapter number: 1-1-abcde-sample.mdx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All components: PascalCase: KeyPoints.jsx, FigurePlaceholder.jsx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All images: kebab-case with chapter prefix: fig-1-1-abcde-flowchart.png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Content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All clinical values must be verified against the source PDF before merge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Every chapter must have at minimum: front matter, one &lt;KeyPoints /&gt;, section headings matching the book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Never remove a &lt;FigurePlaceholder /&gt; without replacing it with the actual figure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Croatian names and medical terms: verify diacritics manually (PDF extraction corrupts them)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Garamond" w:cs="Garamond" w:eastAsia="Garamond" w:hAnsi="Garamond"/>
          <w:b w:val="false"/>
          <w:bCs w:val="false"/>
          <w:color w:val="0B1120"/>
          <w:sz w:val="34"/>
          <w:szCs w:val="34"/>
        </w:rPr>
        <w:t xml:space="preserve">Git Workflow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main branch: always deployable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Feature branches: content/part-1-chapter-1, feat/algo-card-component, fix/ecg-encoding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>One PR per chapter or component — keeps review scope manageable</w:t>
      </w:r>
    </w:p>
    <w:p>
      <w:pPr>
        <w:spacing w:before="0" w:after="80"/>
      </w:pPr>
      <w:r>
        <w:rPr>
          <w:rFonts w:ascii="DM Sans" w:cs="DM Sans" w:eastAsia="DM Sans" w:hAnsi="DM Sans"/>
          <w:color w:val="111111"/>
          <w:sz w:val="22"/>
          <w:szCs w:val="22"/>
        </w:rPr>
        <w:t xml:space="preserve"/>
      </w:r>
    </w:p>
    <w:p>
      <w:pPr>
        <w:spacing w:before="480" w:after="120"/>
      </w:pPr>
      <w:r>
        <w:rPr>
          <w:rFonts w:ascii="Courier New" w:cs="Courier New" w:eastAsia="Courier New" w:hAnsi="Courier New"/>
          <w:color w:val="C8A96E"/>
          <w:sz w:val="16"/>
          <w:szCs w:val="16"/>
        </w:rPr>
        <w:t xml:space="preserve">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ascii="DM Sans" w:cs="DM Sans" w:eastAsia="DM Sans" w:hAnsi="DM Sans"/>
          <w:color w:val="4A5568"/>
          <w:sz w:val="18"/>
          <w:szCs w:val="18"/>
        </w:rPr>
        <w:t xml:space="preserve">Document version: 1.0  ·  Academic year 2025/2026  ·  Kabinet Vještina, University of Rijeka Faculty of Medicine</w:t>
      </w:r>
    </w:p>
    <w:p>
      <w:pPr>
        <w:spacing w:before="0" w:after="0"/>
      </w:pPr>
      <w:r>
        <w:rPr>
          <w:rFonts w:ascii="DM Sans" w:cs="DM Sans" w:eastAsia="DM Sans" w:hAnsi="DM Sans"/>
          <w:color w:val="4A5568"/>
          <w:sz w:val="18"/>
          <w:szCs w:val="18"/>
        </w:rPr>
        <w:t xml:space="preserve">Maintainer: kabinet.vjestina@gmail.com  ·  Course Coord: Assist. Prof. Janja Tarčuković, MD, PhD, DESAIC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6E" w:sz="4" w:space="4"/>
      </w:pBdr>
      <w:tabs>
        <w:tab w:val="right" w:pos="9360"/>
      </w:tabs>
      <w:spacing w:before="120" w:after="0"/>
    </w:pPr>
    <w:r>
      <w:rPr>
        <w:rFonts w:ascii="Courier New" w:cs="Courier New" w:eastAsia="Courier New" w:hAnsi="Courier New"/>
        <w:color w:val="999999"/>
        <w:sz w:val="16"/>
        <w:szCs w:val="16"/>
      </w:rPr>
      <w:t xml:space="preserve">University of Rijeka · Faculty of Medicine</w:t>
    </w:r>
    <w:r>
      <w:rPr>
        <w:rFonts w:ascii="Courier New" w:cs="Courier New" w:eastAsia="Courier New" w:hAnsi="Courier New"/>
        <w:sz w:val="16"/>
        <w:szCs w:val="16"/>
      </w:rPr>
      <w:t xml:space="preserve">	</w:t>
    </w:r>
    <w:r>
      <w:rPr>
        <w:rFonts w:ascii="Courier New" w:cs="Courier New" w:eastAsia="Courier New" w:hAnsi="Courier New"/>
        <w:color w:val="999999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4" w:space="4"/>
      </w:pBdr>
      <w:tabs>
        <w:tab w:val="right" w:pos="9360"/>
      </w:tabs>
      <w:spacing w:before="0" w:after="120"/>
    </w:pPr>
    <w:r>
      <w:rPr>
        <w:rFonts w:ascii="Courier New" w:cs="Courier New" w:eastAsia="Courier New" w:hAnsi="Courier New"/>
        <w:color w:val="C8A96E"/>
        <w:sz w:val="16"/>
        <w:szCs w:val="16"/>
      </w:rPr>
      <w:t xml:space="preserve">KABINET VJEŠTINA  ·  CSS Digital Handbook</w:t>
    </w:r>
    <w:r>
      <w:rPr>
        <w:rFonts w:ascii="Courier New" w:cs="Courier New" w:eastAsia="Courier New" w:hAnsi="Courier New"/>
        <w:sz w:val="16"/>
        <w:szCs w:val="16"/>
      </w:rPr>
      <w:t xml:space="preserve">	</w:t>
    </w:r>
    <w:r>
      <w:rPr>
        <w:rFonts w:ascii="Courier New" w:cs="Courier New" w:eastAsia="Courier New" w:hAnsi="Courier New"/>
        <w:color w:val="999999"/>
        <w:sz w:val="16"/>
        <w:szCs w:val="16"/>
      </w:rPr>
      <w:t xml:space="preserve">Technical &amp; Operational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Garamond" w:cs="Garamond" w:eastAsia="Garamond" w:hAnsi="Garamond"/>
      <w:b w:val="false"/>
      <w:bCs w:val="false"/>
      <w:color w:val="0B1120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Garamond" w:cs="Garamond" w:eastAsia="Garamond" w:hAnsi="Garamond"/>
      <w:b w:val="false"/>
      <w:bCs w:val="false"/>
      <w:color w:val="0B1120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DM Sans" w:cs="DM Sans" w:eastAsia="DM Sans" w:hAnsi="DM Sans"/>
      <w:b/>
      <w:bCs/>
      <w:color w:val="0B11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2026-03-07T10:01:03.641Z</dcterms:created>
  <dcterms:modified xsi:type="dcterms:W3CDTF">2026-03-07T10:01:03.665Z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