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47D1" w:rsidRDefault="00746E3F" w:rsidP="00746E3F">
      <w:pPr>
        <w:ind w:firstLine="0"/>
        <w:rPr>
          <w:b/>
        </w:rPr>
      </w:pPr>
      <w:r>
        <w:rPr>
          <w:b/>
        </w:rPr>
        <w:t>PENAL E PROCESSUAL PENAL. APELAÇÃO CRIMINAL. RECEPTAÇÃO. ART. 180, CP. EXTORSÃO. ART. 158, CP.</w:t>
      </w:r>
      <w:r w:rsidR="00C33754">
        <w:rPr>
          <w:b/>
        </w:rPr>
        <w:t xml:space="preserve"> PALAVRA DA VÍTIMA. CONFLUÊNCIA ENTRE DEPOIMENTOS POLICIAL E JUDICIAL. CORRESPONDÊNCIA COM OS DEPOIMENTOS DOS POLICIAIS MILITARES RESPONSÁVEIS PELA PRISÃO EM FLAGRANTE. SUFICIÊNCIA PROBATÓRIA. MATERIALIDADE DEMONSTRADA. RECURSO CONHECIDO E DESPROVIDO.</w:t>
      </w:r>
    </w:p>
    <w:p w:rsidR="00C33754" w:rsidRDefault="00C33754" w:rsidP="00746E3F">
      <w:pPr>
        <w:ind w:firstLine="0"/>
        <w:rPr>
          <w:b/>
        </w:rPr>
      </w:pPr>
      <w:r>
        <w:rPr>
          <w:b/>
        </w:rPr>
        <w:t>1. Nos crimes contra o patrimônio, em especial quando praticados em contextos velados, a palavra da vítima possui especial relevância, especialmente quando corroborada por outros elementos de prova.</w:t>
      </w:r>
    </w:p>
    <w:p w:rsidR="00C33754" w:rsidRDefault="00C33754" w:rsidP="00746E3F">
      <w:pPr>
        <w:ind w:firstLine="0"/>
        <w:rPr>
          <w:b/>
        </w:rPr>
      </w:pPr>
      <w:r>
        <w:rPr>
          <w:b/>
        </w:rPr>
        <w:t>2. Recurso conhecido e desprovido.</w:t>
      </w:r>
    </w:p>
    <w:p w:rsidR="00746E3F" w:rsidRPr="00AA28DF" w:rsidRDefault="00746E3F" w:rsidP="00746E3F">
      <w:pPr>
        <w:ind w:firstLine="0"/>
        <w:rPr>
          <w:b/>
        </w:rPr>
      </w:pPr>
    </w:p>
    <w:p w:rsidR="00AA28DF" w:rsidRDefault="00AA28DF" w:rsidP="00AA28DF">
      <w:pPr>
        <w:pStyle w:val="PargrafodaLista"/>
        <w:ind w:left="0"/>
        <w:contextualSpacing w:val="0"/>
        <w:rPr>
          <w:b/>
        </w:rPr>
      </w:pPr>
      <w:r>
        <w:rPr>
          <w:b/>
        </w:rPr>
        <w:t>I – RELATÓRIO</w:t>
      </w:r>
    </w:p>
    <w:p w:rsidR="00731795" w:rsidRDefault="00AA28DF" w:rsidP="00AA28DF">
      <w:pPr>
        <w:pStyle w:val="PargrafodaLista"/>
        <w:ind w:left="0"/>
        <w:contextualSpacing w:val="0"/>
      </w:pPr>
      <w:r>
        <w:t xml:space="preserve">Cuida-se </w:t>
      </w:r>
      <w:r w:rsidR="00731795">
        <w:t xml:space="preserve">de recurso de apelação criminal </w:t>
      </w:r>
      <w:proofErr w:type="spellStart"/>
      <w:r w:rsidR="00731795">
        <w:t>Claudir</w:t>
      </w:r>
      <w:proofErr w:type="spellEnd"/>
      <w:r w:rsidR="00731795">
        <w:t xml:space="preserve"> da Silva Alves, tendo como objeto sentença proferida pelo juízo da 2ª Vara Criminal de Toledo, que julgou parcialmente procedente pretensão punitiva estatal para condená-lo, pela prática dos crimes previstos nos artigos 180 e 158, do Código Penal, às penas de 7 (sete) anos, 9 (nove) meses e 10 (dez) dias de reclusão, em regime inicial fechado, e 28 (vinte e oito) dias-multa (evento 121.1 – autos de origem).</w:t>
      </w:r>
    </w:p>
    <w:p w:rsidR="00BC6187" w:rsidRDefault="00731795" w:rsidP="00AA28DF">
      <w:pPr>
        <w:pStyle w:val="PargrafodaLista"/>
        <w:ind w:left="0"/>
        <w:contextualSpacing w:val="0"/>
      </w:pPr>
      <w:r>
        <w:t>Eis, em síntese, as razões de inconformismo: a) a co</w:t>
      </w:r>
      <w:bookmarkStart w:id="0" w:name="_GoBack"/>
      <w:bookmarkEnd w:id="0"/>
      <w:r>
        <w:t>ndenação baseia-se, exclusivamente, no depoimento da vítima, elemento isolado no contexto probatório e, portanto, insuficiente para implicação do apelante; b) quanto ao crime de receptação, não há demonstração do dolo de obtenção de proveito próprio ou alheio e, por conseguinte, a conduta não possui tipicidade;</w:t>
      </w:r>
      <w:r w:rsidR="00BC6187">
        <w:t xml:space="preserve"> c) o apelante não praticou o crime de extorsão, tão somente exigiu o pagamento integral prometida para o caso de retomada da motosserra da vítima, subtraída por terceira pessoa (evento 139.1 – autos de origem).</w:t>
      </w:r>
    </w:p>
    <w:p w:rsidR="00BC6187" w:rsidRDefault="00BC6187" w:rsidP="00AA28DF">
      <w:pPr>
        <w:pStyle w:val="PargrafodaLista"/>
        <w:ind w:left="0"/>
        <w:contextualSpacing w:val="0"/>
      </w:pPr>
      <w:r>
        <w:t>Nas contrarrazões, o Ministério Público sustentou ter sido comprovada a contendo, durante a instrumento, a prática dos crimes de receptação e extorsão (evento 151.1 – autos de origem).</w:t>
      </w:r>
    </w:p>
    <w:p w:rsidR="00BC6187" w:rsidRDefault="00BC6187" w:rsidP="00AA28DF">
      <w:pPr>
        <w:pStyle w:val="PargrafodaLista"/>
        <w:ind w:left="0"/>
        <w:contextualSpacing w:val="0"/>
      </w:pPr>
      <w:r>
        <w:t>Opinou a Procuradoria-Geral de Justiça pelo conhecimento e desprovimento do recurso (evento 15.1).</w:t>
      </w:r>
    </w:p>
    <w:p w:rsidR="00BC6187" w:rsidRDefault="00BC6187" w:rsidP="00AA28DF">
      <w:pPr>
        <w:pStyle w:val="PargrafodaLista"/>
        <w:ind w:left="0"/>
        <w:contextualSpacing w:val="0"/>
      </w:pPr>
      <w:r>
        <w:t>É o necessário relato.</w:t>
      </w:r>
    </w:p>
    <w:p w:rsidR="00AA28DF" w:rsidRDefault="00AA28DF" w:rsidP="00877419">
      <w:pPr>
        <w:pStyle w:val="PargrafodaLista"/>
        <w:ind w:left="0"/>
        <w:contextualSpacing w:val="0"/>
      </w:pPr>
    </w:p>
    <w:p w:rsidR="00AA28DF" w:rsidRPr="00AA28DF" w:rsidRDefault="00AA28DF" w:rsidP="00877419">
      <w:pPr>
        <w:pStyle w:val="PargrafodaLista"/>
        <w:ind w:left="0"/>
        <w:contextualSpacing w:val="0"/>
        <w:rPr>
          <w:b/>
        </w:rPr>
      </w:pPr>
      <w:r w:rsidRPr="00AA28DF">
        <w:rPr>
          <w:b/>
        </w:rPr>
        <w:t>II – VOTO E SUA FUNDAMENTAÇÃO</w:t>
      </w:r>
    </w:p>
    <w:p w:rsidR="00AA28DF" w:rsidRDefault="00AA28DF" w:rsidP="00877419">
      <w:pPr>
        <w:pStyle w:val="PargrafodaLista"/>
        <w:ind w:left="0"/>
        <w:contextualSpacing w:val="0"/>
      </w:pPr>
      <w:proofErr w:type="spellStart"/>
      <w:r>
        <w:t>II.I</w:t>
      </w:r>
      <w:proofErr w:type="spellEnd"/>
      <w:r>
        <w:t xml:space="preserve"> – DO JUÍZO DE ADMISSIBILIDADE</w:t>
      </w:r>
    </w:p>
    <w:p w:rsidR="00BC6187" w:rsidRDefault="00BC6187" w:rsidP="00877419">
      <w:pPr>
        <w:pStyle w:val="PargrafodaLista"/>
        <w:ind w:left="0"/>
        <w:contextualSpacing w:val="0"/>
      </w:pPr>
      <w:r>
        <w:t>Satisfeitos os pressupostos de admissibilidade recursal, conhece-se da apelação interposta.</w:t>
      </w:r>
    </w:p>
    <w:p w:rsidR="00BC6187" w:rsidRDefault="00BC6187" w:rsidP="00877419">
      <w:pPr>
        <w:pStyle w:val="PargrafodaLista"/>
        <w:ind w:left="0"/>
        <w:contextualSpacing w:val="0"/>
      </w:pPr>
    </w:p>
    <w:p w:rsidR="00E660EE" w:rsidRDefault="00BC6187" w:rsidP="00877419">
      <w:pPr>
        <w:pStyle w:val="PargrafodaLista"/>
        <w:ind w:left="0"/>
        <w:contextualSpacing w:val="0"/>
      </w:pPr>
      <w:proofErr w:type="spellStart"/>
      <w:r>
        <w:t>II.II</w:t>
      </w:r>
      <w:proofErr w:type="spellEnd"/>
      <w:r>
        <w:t xml:space="preserve"> – </w:t>
      </w:r>
      <w:r w:rsidR="00746E3F">
        <w:t>D</w:t>
      </w:r>
      <w:r w:rsidR="00E660EE">
        <w:t>A COMPROVAÇÃO DA MATERIALIDADE</w:t>
      </w:r>
    </w:p>
    <w:p w:rsidR="00E660EE" w:rsidRDefault="00E660EE" w:rsidP="00877419">
      <w:pPr>
        <w:pStyle w:val="PargrafodaLista"/>
        <w:ind w:left="0"/>
        <w:contextualSpacing w:val="0"/>
      </w:pPr>
      <w:r>
        <w:t>Cinge-se a controvérsia recursal às alegações de insuficiência da prova judicial à condenação e não verificação de todos os elementos dos tipos penais imputados ao apelante.</w:t>
      </w:r>
    </w:p>
    <w:p w:rsidR="00746E3F" w:rsidRDefault="00E660EE" w:rsidP="00877419">
      <w:pPr>
        <w:pStyle w:val="PargrafodaLista"/>
        <w:ind w:left="0"/>
        <w:contextualSpacing w:val="0"/>
      </w:pPr>
      <w:r>
        <w:t>Em detrimento da invectiva defensiva de carência informativa, pela restrição da cognição ao depoimento da vítima, referido elemento de prova foi corroborado integralmente pelos depoimentos inquisitoriais (evento</w:t>
      </w:r>
      <w:r w:rsidR="00143055">
        <w:t>s 1.3 e 1.4</w:t>
      </w:r>
      <w:r w:rsidR="001436D8">
        <w:t xml:space="preserve"> – autos de origem</w:t>
      </w:r>
      <w:r w:rsidR="00143055">
        <w:t>)</w:t>
      </w:r>
      <w:r>
        <w:t xml:space="preserve"> e judicial </w:t>
      </w:r>
      <w:r w:rsidR="00143055">
        <w:t>(evento 106.2</w:t>
      </w:r>
      <w:r w:rsidR="001436D8">
        <w:t xml:space="preserve"> – autos de origem</w:t>
      </w:r>
      <w:r w:rsidR="00143055">
        <w:t xml:space="preserve">) </w:t>
      </w:r>
      <w:r>
        <w:t>dos policiais milita</w:t>
      </w:r>
      <w:r w:rsidR="001436D8">
        <w:t>res que atenderam a ocorrência, cujo conteúdo apresenta pela convergência com os depoimentos policial (evento 1.8 – autos de origem) e judicial (evento 106.3 – autos de origem) prestados pelo ofendido.</w:t>
      </w:r>
    </w:p>
    <w:p w:rsidR="00143055" w:rsidRDefault="00143055" w:rsidP="00877419">
      <w:pPr>
        <w:pStyle w:val="PargrafodaLista"/>
        <w:ind w:left="0"/>
        <w:contextualSpacing w:val="0"/>
      </w:pPr>
      <w:r>
        <w:t>Além de confluência intrínseca, porquanto revestido de notável estruturação lógica, circunstâncias de tempo, local e detalhada descrição dos eventos, o depoimento da vítima apresenta confluência extrínseca, em razão da compatibilidade com as demais provas dos autos.</w:t>
      </w:r>
    </w:p>
    <w:p w:rsidR="00143055" w:rsidRPr="00143055" w:rsidRDefault="00143055" w:rsidP="00143055">
      <w:pPr>
        <w:pStyle w:val="PargrafodaLista"/>
        <w:spacing w:before="600" w:after="600"/>
        <w:ind w:left="2268" w:firstLine="0"/>
        <w:contextualSpacing w:val="0"/>
        <w:rPr>
          <w:sz w:val="20"/>
        </w:rPr>
      </w:pPr>
      <w:r w:rsidRPr="00143055">
        <w:rPr>
          <w:sz w:val="20"/>
        </w:rPr>
        <w:t xml:space="preserve">APELAÇÃO CRIMINAL. VIAS DE FATO. AUTORIA E MATERIALIDADE DEVIDAMENTE COMPROVADAS. ABSOLVIÇÃO. INADMISSIBILIDADE. PROVA INDICIÁRIA COMPROVADA EM JUÍZO. DEPOIMENTO EXTRAJUDICIAL DA VÍTIMA CORROBORADO PELAS DECLARAÇÕES DO POLICIAL. ELEMENTOS COLIGIDOS AOS AUTOS APTOS PARA EMBASAR A CONDENAÇÃO. DECISÃO MANTIDA. CONCESSÃO DOS BENEFÍCIOS DA JUSTIÇA GRATUITA. NÃO CONHECIMENTO. MATÉRIA AFETA AO JUÍZO DA EXECUÇÃO. ARBITRAMENTO DE HONORÁRIOS ADVOCATÍCIOS. CABIMENTO. RECURSO PARCIALMENTE CONHECIDO E, NESTA PARTE, DESPROVIDO, COM FIXAÇÃO DA VERBA HONORÁRIA. (TJ-PR - </w:t>
      </w:r>
      <w:proofErr w:type="spellStart"/>
      <w:r w:rsidRPr="00143055">
        <w:rPr>
          <w:sz w:val="20"/>
        </w:rPr>
        <w:t>APL</w:t>
      </w:r>
      <w:proofErr w:type="spellEnd"/>
      <w:r w:rsidRPr="00143055">
        <w:rPr>
          <w:sz w:val="20"/>
        </w:rPr>
        <w:t>: 00019564120198160074 Corbélia 0001956-41.2019.8.16.0074 (Acórdão), Relator: Maria José de Toledo Marcondes Teixeira, Data de Julgamento: 23/01/2023, 5ª Câmara Criminal, Data de Publicação: 23/01/2023)</w:t>
      </w:r>
      <w:r w:rsidR="00022D79">
        <w:rPr>
          <w:sz w:val="20"/>
        </w:rPr>
        <w:t>.</w:t>
      </w:r>
    </w:p>
    <w:p w:rsidR="00E660EE" w:rsidRDefault="007B4A89" w:rsidP="001436D8">
      <w:pPr>
        <w:pStyle w:val="PargrafodaLista"/>
        <w:ind w:left="0"/>
        <w:contextualSpacing w:val="0"/>
      </w:pPr>
      <w:r>
        <w:t>Quanto a subsunção típica das condutas, o produto da recognição histórica permite inferir, com elevada segurança informativa,</w:t>
      </w:r>
      <w:r w:rsidR="001436D8">
        <w:t xml:space="preserve"> que o réu arrecadou a </w:t>
      </w:r>
      <w:r w:rsidR="001436D8">
        <w:rPr>
          <w:i/>
        </w:rPr>
        <w:t xml:space="preserve">res </w:t>
      </w:r>
      <w:r w:rsidR="001436D8">
        <w:t xml:space="preserve">furtiva com outrem, justamente porque sabia de sua procedência ilícita. Após, ele transportou a coisa consigo e a deixou escondida por determinado período de tempo, até quando resolveu propor a devolução, mediante paga, ao real proprietário. É, pois, o que se dessume dos depoimentos pessoais da vítima e do policial militar Anderson Felipe </w:t>
      </w:r>
      <w:proofErr w:type="spellStart"/>
      <w:r w:rsidR="001436D8">
        <w:t>Canzi</w:t>
      </w:r>
      <w:proofErr w:type="spellEnd"/>
      <w:r w:rsidR="001436D8">
        <w:t>, em confronto com o interrogatório judicial do imputado.</w:t>
      </w:r>
    </w:p>
    <w:p w:rsidR="005D0BEF" w:rsidRDefault="005D0BEF" w:rsidP="001436D8">
      <w:pPr>
        <w:pStyle w:val="PargrafodaLista"/>
        <w:ind w:left="0"/>
        <w:contextualSpacing w:val="0"/>
      </w:pPr>
      <w:r>
        <w:t>Reputa-se, configurado o exercício da posse, mediante prática das ações previstas no tipo objetivo, bem como a finalidade específica de obtenção de proveito próprio, matizada no impulso volitivo de condicionar a devolução do bem ao proprietário, mediante pagamento de R$ 300,00 (trezentos reais).</w:t>
      </w:r>
    </w:p>
    <w:p w:rsidR="005D0BEF" w:rsidRDefault="005D0BEF" w:rsidP="005D0BEF">
      <w:pPr>
        <w:pStyle w:val="PargrafodaLista"/>
        <w:ind w:left="0"/>
        <w:contextualSpacing w:val="0"/>
      </w:pPr>
      <w:r>
        <w:t>Tal conduta reflete inequívoca prática do crime previsto no artigo 180, do Código Penal, em todos seus aspectos objetivos e subjetivos.</w:t>
      </w:r>
    </w:p>
    <w:p w:rsidR="005D0BEF" w:rsidRDefault="005D0BEF" w:rsidP="005D0BEF">
      <w:pPr>
        <w:pStyle w:val="PargrafodaLista"/>
        <w:ind w:left="0"/>
        <w:contextualSpacing w:val="0"/>
      </w:pPr>
      <w:r>
        <w:t>Após a consumação do primeiro fato delituoso, o agente novamente se dirigiu contra a vítima, exigindo o pagamento de mais R$ 200,00 (duzentos reais), proferindo ameaças veladas, consistentes em afirmar que, por sua condição de egresso do sistema penitenciário, não tinha nada a perder.</w:t>
      </w:r>
    </w:p>
    <w:p w:rsidR="005D0BEF" w:rsidRDefault="005D0BEF" w:rsidP="005D0BEF">
      <w:pPr>
        <w:pStyle w:val="PargrafodaLista"/>
        <w:ind w:left="0"/>
        <w:contextualSpacing w:val="0"/>
      </w:pPr>
      <w:r>
        <w:t xml:space="preserve">Infere-se, portanto, consubstanciada a prática do crime de </w:t>
      </w:r>
      <w:r w:rsidR="00C33754">
        <w:t>extorsão, à razão da comprovação do cometimento da ação proscrita no preceito primário do artigo 158, do Código Penal.</w:t>
      </w:r>
    </w:p>
    <w:p w:rsidR="00C33754" w:rsidRDefault="00C33754" w:rsidP="005D0BEF">
      <w:pPr>
        <w:pStyle w:val="PargrafodaLista"/>
        <w:ind w:left="0"/>
        <w:contextualSpacing w:val="0"/>
      </w:pPr>
      <w:r>
        <w:t>Ademais, o réu não comprovou, sob nenhum aspecto, sua alegação de que o ofendido teria ofertado recompensa para devolução do motosserra, invectiva refutada peremptoriamente pela vítima e, por via reflexa, pelo policial militar responsável pela ocorrência.</w:t>
      </w:r>
    </w:p>
    <w:p w:rsidR="00C33754" w:rsidRDefault="00C33754" w:rsidP="005D0BEF">
      <w:pPr>
        <w:pStyle w:val="PargrafodaLista"/>
        <w:ind w:left="0"/>
        <w:contextualSpacing w:val="0"/>
      </w:pPr>
      <w:r>
        <w:t xml:space="preserve">Sendo assim, mantem-se incólume a sentença condenatória, porquanto concebida mediante escorreita análise do conjunto probatório e perfeita subsunção dos fatos às normais penais aplicáveis. </w:t>
      </w:r>
    </w:p>
    <w:p w:rsidR="005D0BEF" w:rsidRPr="001436D8" w:rsidRDefault="005D0BEF" w:rsidP="001436D8">
      <w:pPr>
        <w:pStyle w:val="PargrafodaLista"/>
        <w:ind w:left="0"/>
        <w:contextualSpacing w:val="0"/>
      </w:pPr>
    </w:p>
    <w:p w:rsidR="00746E3F" w:rsidRDefault="00746E3F" w:rsidP="00746E3F">
      <w:pPr>
        <w:spacing w:before="240"/>
        <w:rPr>
          <w:rFonts w:eastAsia="Times New Roman" w:cs="Times New Roman"/>
          <w:szCs w:val="24"/>
          <w:lang w:eastAsia="pt-BR"/>
        </w:rPr>
      </w:pPr>
      <w:proofErr w:type="spellStart"/>
      <w:r>
        <w:rPr>
          <w:rFonts w:eastAsia="Times New Roman" w:cs="Times New Roman"/>
          <w:szCs w:val="24"/>
          <w:lang w:eastAsia="pt-BR"/>
        </w:rPr>
        <w:t>II.V</w:t>
      </w:r>
      <w:proofErr w:type="spellEnd"/>
      <w:r>
        <w:rPr>
          <w:rFonts w:eastAsia="Times New Roman" w:cs="Times New Roman"/>
          <w:szCs w:val="24"/>
          <w:lang w:eastAsia="pt-BR"/>
        </w:rPr>
        <w:t xml:space="preserve"> – DOS HONORÁRIOS DATIVOS</w:t>
      </w:r>
    </w:p>
    <w:p w:rsidR="00746E3F" w:rsidRDefault="00746E3F" w:rsidP="00746E3F">
      <w:pPr>
        <w:spacing w:before="240"/>
        <w:rPr>
          <w:rFonts w:eastAsia="Times New Roman" w:cs="Times New Roman"/>
          <w:szCs w:val="24"/>
          <w:lang w:eastAsia="pt-BR"/>
        </w:rPr>
      </w:pPr>
      <w:r w:rsidRPr="00FC6D2F">
        <w:rPr>
          <w:rFonts w:eastAsia="Times New Roman" w:cs="Times New Roman"/>
          <w:szCs w:val="24"/>
          <w:lang w:eastAsia="pt-BR"/>
        </w:rPr>
        <w:t>Considerando o grau de zelo, o lugar de prestação do serviço, a natureza e importância da caus</w:t>
      </w:r>
      <w:r>
        <w:rPr>
          <w:rFonts w:eastAsia="Times New Roman" w:cs="Times New Roman"/>
          <w:szCs w:val="24"/>
          <w:lang w:eastAsia="pt-BR"/>
        </w:rPr>
        <w:t>a</w:t>
      </w:r>
      <w:r w:rsidRPr="00FC6D2F">
        <w:rPr>
          <w:rFonts w:eastAsia="Times New Roman" w:cs="Times New Roman"/>
          <w:szCs w:val="24"/>
          <w:lang w:eastAsia="pt-BR"/>
        </w:rPr>
        <w:t xml:space="preserve">, o trabalho realizado e tempo exigido, arbitra-se em R$ </w:t>
      </w:r>
      <w:r>
        <w:rPr>
          <w:rFonts w:eastAsia="Times New Roman" w:cs="Times New Roman"/>
          <w:szCs w:val="24"/>
          <w:lang w:eastAsia="pt-BR"/>
        </w:rPr>
        <w:t>6</w:t>
      </w:r>
      <w:r w:rsidRPr="00FC6D2F">
        <w:rPr>
          <w:rFonts w:eastAsia="Times New Roman" w:cs="Times New Roman"/>
          <w:szCs w:val="24"/>
          <w:lang w:eastAsia="pt-BR"/>
        </w:rPr>
        <w:t>00,00 (</w:t>
      </w:r>
      <w:r>
        <w:rPr>
          <w:rFonts w:eastAsia="Times New Roman" w:cs="Times New Roman"/>
          <w:szCs w:val="24"/>
          <w:lang w:eastAsia="pt-BR"/>
        </w:rPr>
        <w:t xml:space="preserve">seiscentos </w:t>
      </w:r>
      <w:r w:rsidRPr="00FC6D2F">
        <w:rPr>
          <w:rFonts w:eastAsia="Times New Roman" w:cs="Times New Roman"/>
          <w:szCs w:val="24"/>
          <w:lang w:eastAsia="pt-BR"/>
        </w:rPr>
        <w:t xml:space="preserve">reais) os honorários dativos em favor </w:t>
      </w:r>
      <w:r>
        <w:rPr>
          <w:rFonts w:eastAsia="Times New Roman" w:cs="Times New Roman"/>
          <w:szCs w:val="24"/>
          <w:lang w:eastAsia="pt-BR"/>
        </w:rPr>
        <w:t xml:space="preserve">da advogada Alana Marina </w:t>
      </w:r>
      <w:proofErr w:type="spellStart"/>
      <w:r>
        <w:rPr>
          <w:rFonts w:eastAsia="Times New Roman" w:cs="Times New Roman"/>
          <w:szCs w:val="24"/>
          <w:lang w:eastAsia="pt-BR"/>
        </w:rPr>
        <w:t>Warken</w:t>
      </w:r>
      <w:proofErr w:type="spellEnd"/>
      <w:r>
        <w:rPr>
          <w:rFonts w:eastAsia="Times New Roman" w:cs="Times New Roman"/>
          <w:szCs w:val="24"/>
          <w:lang w:eastAsia="pt-BR"/>
        </w:rPr>
        <w:t>, servindo o acórdão como certidão de honorários.</w:t>
      </w:r>
    </w:p>
    <w:p w:rsidR="00746E3F" w:rsidRDefault="00746E3F" w:rsidP="00877419">
      <w:pPr>
        <w:pStyle w:val="PargrafodaLista"/>
        <w:ind w:left="0"/>
        <w:contextualSpacing w:val="0"/>
      </w:pPr>
    </w:p>
    <w:p w:rsidR="00AA28DF" w:rsidRDefault="00746E3F" w:rsidP="00877419">
      <w:pPr>
        <w:pStyle w:val="PargrafodaLista"/>
        <w:ind w:left="0"/>
        <w:contextualSpacing w:val="0"/>
      </w:pPr>
      <w:r>
        <w:t xml:space="preserve">II.VI – </w:t>
      </w:r>
      <w:r w:rsidR="00AA28DF">
        <w:t>DA CONCLUSÃO</w:t>
      </w:r>
    </w:p>
    <w:p w:rsidR="002A00D6" w:rsidRDefault="00AA28DF" w:rsidP="00877419">
      <w:pPr>
        <w:pStyle w:val="PargrafodaLista"/>
        <w:ind w:left="0"/>
        <w:contextualSpacing w:val="0"/>
      </w:pPr>
      <w:r>
        <w:t xml:space="preserve">Pela conjugação das premissas deduzidas, a conclusão a ser adota consiste </w:t>
      </w:r>
    </w:p>
    <w:p w:rsidR="00AA28DF" w:rsidRDefault="00AA28DF" w:rsidP="00877419">
      <w:pPr>
        <w:pStyle w:val="PargrafodaLista"/>
        <w:ind w:left="0"/>
        <w:contextualSpacing w:val="0"/>
      </w:pPr>
      <w:r>
        <w:t>É como voto.</w:t>
      </w:r>
    </w:p>
    <w:p w:rsidR="00AA28DF" w:rsidRDefault="00AA28DF" w:rsidP="00877419">
      <w:pPr>
        <w:pStyle w:val="PargrafodaLista"/>
        <w:ind w:left="0"/>
        <w:contextualSpacing w:val="0"/>
      </w:pPr>
    </w:p>
    <w:p w:rsidR="00AA28DF" w:rsidRPr="00AA28DF" w:rsidRDefault="00877419" w:rsidP="00877419">
      <w:pPr>
        <w:pStyle w:val="PargrafodaLista"/>
        <w:ind w:left="0"/>
        <w:contextualSpacing w:val="0"/>
        <w:rPr>
          <w:b/>
        </w:rPr>
      </w:pPr>
      <w:proofErr w:type="spellStart"/>
      <w:r>
        <w:rPr>
          <w:b/>
        </w:rPr>
        <w:t>III</w:t>
      </w:r>
      <w:proofErr w:type="spellEnd"/>
      <w:r>
        <w:rPr>
          <w:b/>
        </w:rPr>
        <w:t xml:space="preserve"> - DECISÃO</w:t>
      </w:r>
    </w:p>
    <w:sectPr w:rsidR="00AA28DF" w:rsidRPr="00AA28D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2942"/>
    <w:rsid w:val="00022D79"/>
    <w:rsid w:val="00143055"/>
    <w:rsid w:val="001436D8"/>
    <w:rsid w:val="00165C47"/>
    <w:rsid w:val="002A00D6"/>
    <w:rsid w:val="00587834"/>
    <w:rsid w:val="005D0BEF"/>
    <w:rsid w:val="00672942"/>
    <w:rsid w:val="00731795"/>
    <w:rsid w:val="00746E3F"/>
    <w:rsid w:val="007B4A89"/>
    <w:rsid w:val="00877419"/>
    <w:rsid w:val="00AA28DF"/>
    <w:rsid w:val="00AE47D1"/>
    <w:rsid w:val="00BC6187"/>
    <w:rsid w:val="00C33754"/>
    <w:rsid w:val="00E660E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A6747"/>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6295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0" ma:contentTypeDescription="Crie um novo documento." ma:contentTypeScope="" ma:versionID="643d9fb435752e3d6862488196d3e0f5">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78acd22a2cf20e79878f507866f50da0"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6179DD2-930E-478A-A73A-CBDF5539BF6E}"/>
</file>

<file path=customXml/itemProps2.xml><?xml version="1.0" encoding="utf-8"?>
<ds:datastoreItem xmlns:ds="http://schemas.openxmlformats.org/officeDocument/2006/customXml" ds:itemID="{7D49DD78-ECFF-4FDC-B0DD-776E9D0E1844}"/>
</file>

<file path=customXml/itemProps3.xml><?xml version="1.0" encoding="utf-8"?>
<ds:datastoreItem xmlns:ds="http://schemas.openxmlformats.org/officeDocument/2006/customXml" ds:itemID="{6FEB2C4E-1B02-4058-AC5F-43369E73FC2E}"/>
</file>

<file path=docProps/app.xml><?xml version="1.0" encoding="utf-8"?>
<Properties xmlns="http://schemas.openxmlformats.org/officeDocument/2006/extended-properties" xmlns:vt="http://schemas.openxmlformats.org/officeDocument/2006/docPropsVTypes">
  <Template>Normal</Template>
  <TotalTime>253</TotalTime>
  <Pages>1</Pages>
  <Words>968</Words>
  <Characters>5231</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6187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5</cp:revision>
  <dcterms:created xsi:type="dcterms:W3CDTF">2024-02-08T17:42:00Z</dcterms:created>
  <dcterms:modified xsi:type="dcterms:W3CDTF">2024-02-14T17:53:00Z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336600</vt:r8>
  </property>
</Properties>
</file>