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AE5E98" w14:textId="0CF6B012" w:rsidR="00644C07" w:rsidRDefault="00644C07" w:rsidP="005044F9">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PENAL E PROCESSUAL PENAL. APELAÇÃO CRIMINAL. TRÁFICO DE DROGAS. ART. 33 DA LEI 11.343 DE 2006. SENTENÇA CONDENATÓRIA. CONJUNTO PROBATÓRIO. COMPROVAÇÃO DA MATERIALIDADE E AUTORIA. PALAVRA DE POLICIAIS MILITARES. PROVA TESTEMUNHAL. LAUDO PERICIAL. DESCLASSIFICAÇÃO PARA O TIPO DO ART. 28 DA LEI 11.343 DE 2006. NÃO ACOLHIMENTO. DOLO ESPECÍFICO DE USO PESSOAL CONTRÁRIO À EVIDÊNCIA DOS AUTOS. ELEVADA QUANTIDADE DE DROGA. CIRCUNSTÂNCIAS DA CONDUTA. PRETENSÃO DESCLASSIFICATÓRIA AFASTADA. RECURSO CONHECIDO E DESPROVIDO.</w:t>
      </w:r>
    </w:p>
    <w:p w14:paraId="6ECD4ED2" w14:textId="5F814ABC" w:rsidR="00644C07" w:rsidRDefault="00644C07" w:rsidP="005044F9">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 O depoimento judicial dos policiais militares responsáveis pela prisão em flagrante, aliado à prova testemunhal e laudo pericial, são suficientes para comprovação da materialidade e autoria delitiva do crime de tráfico.</w:t>
      </w:r>
    </w:p>
    <w:p w14:paraId="23E8070D" w14:textId="7B3CBB28" w:rsidR="005044F9" w:rsidRDefault="00644C07" w:rsidP="005044F9">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w:t>
      </w:r>
      <w:r w:rsidR="005044F9">
        <w:rPr>
          <w:rFonts w:ascii="Times New Roman" w:eastAsia="Times New Roman" w:hAnsi="Times New Roman" w:cs="Times New Roman"/>
          <w:b/>
          <w:sz w:val="24"/>
          <w:szCs w:val="24"/>
          <w:lang w:eastAsia="pt-BR"/>
        </w:rPr>
        <w:t>. A desclassificação da capitulação do crime do artigo 33 da Lei 11.343 de 2006, para o tipo do artigo 28, pressupõe efetiva comprovação do dolo específico de consumo pessoal.</w:t>
      </w:r>
    </w:p>
    <w:p w14:paraId="63E4D60E" w14:textId="13A5EA11" w:rsidR="00644C07" w:rsidRDefault="00644C07" w:rsidP="005044F9">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Recurso conhecido e desprovido.</w:t>
      </w:r>
    </w:p>
    <w:p w14:paraId="5D87201E" w14:textId="77777777" w:rsidR="005044F9" w:rsidRDefault="005044F9"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2C3DE501" w:rsidR="00D74F23" w:rsidRPr="00896588"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896588">
        <w:rPr>
          <w:rFonts w:ascii="Times New Roman" w:eastAsia="Times New Roman" w:hAnsi="Times New Roman" w:cs="Times New Roman"/>
          <w:b/>
          <w:sz w:val="24"/>
          <w:szCs w:val="24"/>
          <w:lang w:eastAsia="pt-BR"/>
        </w:rPr>
        <w:t>I – RELATÓRIO</w:t>
      </w:r>
    </w:p>
    <w:p w14:paraId="410227EF" w14:textId="26A3905F" w:rsidR="00896588" w:rsidRDefault="0089658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 de apelação interposto por Ulisses Adriano Correia, tendo como objeto sentença proferida pelo juízo da Vara Criminal de Matinhos, que julgou procedente pretensão acusatória estatal para condenar-lhe pelo crime previsto no artigo 33 da Lei 11.343 de 2006, à pena de 5 (cinco) anos e 6 (seis) meses de reclusão e quinhentos e cinquenta e cinco dias-multa (evento 99.1 – autos de origem).</w:t>
      </w:r>
    </w:p>
    <w:p w14:paraId="001CA5F1" w14:textId="417E5F58" w:rsidR="00896588" w:rsidRDefault="0089658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Postulou o recorrente, por sua defesa técnica, em apertada síntese: a) decretação de sua absolvição com base no artigo 386, incisos V ou VII, do Código de Processo Penal; b) subsidiariamente, a desclassificação do crime de tráfico para o de consumo pessoal; c) arbitramento de honorários dativos pela atuação em grau recursal (evento 116.1 – autos de origem).</w:t>
      </w:r>
    </w:p>
    <w:p w14:paraId="255C2B71" w14:textId="4D8EA7A0" w:rsidR="008536D1" w:rsidRDefault="008536D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suas contrarrazões, o Ministério Público argumentou que: a) o depoimento dos policiais militares demonstra, a contento, a materialidade</w:t>
      </w:r>
      <w:r w:rsidR="00A326F1">
        <w:rPr>
          <w:rFonts w:ascii="Times New Roman" w:eastAsia="Times New Roman" w:hAnsi="Times New Roman" w:cs="Times New Roman"/>
          <w:sz w:val="24"/>
          <w:szCs w:val="24"/>
          <w:lang w:eastAsia="pt-BR"/>
        </w:rPr>
        <w:t xml:space="preserve"> delitiva</w:t>
      </w:r>
      <w:r>
        <w:rPr>
          <w:rFonts w:ascii="Times New Roman" w:eastAsia="Times New Roman" w:hAnsi="Times New Roman" w:cs="Times New Roman"/>
          <w:sz w:val="24"/>
          <w:szCs w:val="24"/>
          <w:lang w:eastAsia="pt-BR"/>
        </w:rPr>
        <w:t xml:space="preserve"> e autoria do crime de tráfico; b) a expressiva quantidade de droga afasta a hipótese de consumo pessoal</w:t>
      </w:r>
      <w:r w:rsidR="00A326F1">
        <w:rPr>
          <w:rFonts w:ascii="Times New Roman" w:eastAsia="Times New Roman" w:hAnsi="Times New Roman" w:cs="Times New Roman"/>
          <w:sz w:val="24"/>
          <w:szCs w:val="24"/>
          <w:lang w:eastAsia="pt-BR"/>
        </w:rPr>
        <w:t xml:space="preserve"> (evento 14.1).</w:t>
      </w:r>
    </w:p>
    <w:p w14:paraId="763B9604" w14:textId="534B2AF6" w:rsidR="00896588" w:rsidRDefault="0089658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Opinou a Procuradoria-Geral de Justiça pelo conhecimento e desprovimento do recurso </w:t>
      </w:r>
      <w:r w:rsidR="008536D1">
        <w:rPr>
          <w:rFonts w:ascii="Times New Roman" w:eastAsia="Times New Roman" w:hAnsi="Times New Roman" w:cs="Times New Roman"/>
          <w:sz w:val="24"/>
          <w:szCs w:val="24"/>
          <w:lang w:eastAsia="pt-BR"/>
        </w:rPr>
        <w:t>(evento 18.1).</w:t>
      </w:r>
    </w:p>
    <w:p w14:paraId="120EB578" w14:textId="7213C91F"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bookmarkEnd w:id="0"/>
    <w:p w14:paraId="7C1794BB" w14:textId="77777777" w:rsidR="008536D1" w:rsidRDefault="008536D1"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4C179DE"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326F1">
        <w:rPr>
          <w:rFonts w:ascii="Times New Roman" w:eastAsia="Times New Roman" w:hAnsi="Times New Roman" w:cs="Times New Roman"/>
          <w:b/>
          <w:sz w:val="24"/>
          <w:szCs w:val="24"/>
          <w:lang w:eastAsia="pt-BR"/>
        </w:rPr>
        <w:t>II – VOTO E SUA FUNDAMENTAÇÃO</w:t>
      </w:r>
    </w:p>
    <w:p w14:paraId="3D6D2432" w14:textId="7CD2C16A" w:rsidR="00A326F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r w:rsidRPr="006565C1">
        <w:rPr>
          <w:rFonts w:ascii="Times New Roman" w:eastAsia="Times New Roman" w:hAnsi="Times New Roman" w:cs="Times New Roman"/>
          <w:sz w:val="24"/>
          <w:szCs w:val="24"/>
          <w:lang w:eastAsia="pt-BR"/>
        </w:rPr>
        <w:t>II</w:t>
      </w:r>
      <w:r>
        <w:rPr>
          <w:rFonts w:ascii="Times New Roman" w:eastAsia="Times New Roman" w:hAnsi="Times New Roman" w:cs="Times New Roman"/>
          <w:sz w:val="24"/>
          <w:szCs w:val="24"/>
          <w:lang w:eastAsia="pt-BR"/>
        </w:rPr>
        <w:t>.I – DO JUÍZO DE ADMISSIBLIDADE</w:t>
      </w:r>
    </w:p>
    <w:p w14:paraId="3C530781" w14:textId="59116BE6" w:rsidR="006565C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recursais, conhece-se da apelação interposta.</w:t>
      </w:r>
    </w:p>
    <w:p w14:paraId="0C65321F" w14:textId="21408164" w:rsidR="006565C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p>
    <w:p w14:paraId="42B0A0A9" w14:textId="70AB43A4" w:rsidR="006565C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MATERIALIDADE E AUTORIA DELITIVA</w:t>
      </w:r>
    </w:p>
    <w:p w14:paraId="45A78061" w14:textId="4AC3799D" w:rsidR="00B43429"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que pesem os argumentos deduzidos nas razões de inconformismo, o</w:t>
      </w:r>
      <w:r w:rsidR="00B43429">
        <w:rPr>
          <w:rFonts w:ascii="Times New Roman" w:eastAsia="Times New Roman" w:hAnsi="Times New Roman" w:cs="Times New Roman"/>
          <w:sz w:val="24"/>
          <w:szCs w:val="24"/>
          <w:lang w:eastAsia="pt-BR"/>
        </w:rPr>
        <w:t>s</w:t>
      </w:r>
      <w:r>
        <w:rPr>
          <w:rFonts w:ascii="Times New Roman" w:eastAsia="Times New Roman" w:hAnsi="Times New Roman" w:cs="Times New Roman"/>
          <w:sz w:val="24"/>
          <w:szCs w:val="24"/>
          <w:lang w:eastAsia="pt-BR"/>
        </w:rPr>
        <w:t xml:space="preserve"> depoimento</w:t>
      </w:r>
      <w:r w:rsidR="00B43429">
        <w:rPr>
          <w:rFonts w:ascii="Times New Roman" w:eastAsia="Times New Roman" w:hAnsi="Times New Roman" w:cs="Times New Roman"/>
          <w:sz w:val="24"/>
          <w:szCs w:val="24"/>
          <w:lang w:eastAsia="pt-BR"/>
        </w:rPr>
        <w:t>s</w:t>
      </w:r>
      <w:r>
        <w:rPr>
          <w:rFonts w:ascii="Times New Roman" w:eastAsia="Times New Roman" w:hAnsi="Times New Roman" w:cs="Times New Roman"/>
          <w:sz w:val="24"/>
          <w:szCs w:val="24"/>
          <w:lang w:eastAsia="pt-BR"/>
        </w:rPr>
        <w:t xml:space="preserve"> dos policiais militares</w:t>
      </w:r>
      <w:r w:rsidR="00B43429">
        <w:rPr>
          <w:rFonts w:ascii="Times New Roman" w:eastAsia="Times New Roman" w:hAnsi="Times New Roman" w:cs="Times New Roman"/>
          <w:sz w:val="24"/>
          <w:szCs w:val="24"/>
          <w:lang w:eastAsia="pt-BR"/>
        </w:rPr>
        <w:t xml:space="preserve"> (eventos 1.6, 1.7, 19.15 e 16.16), da testemunha Murilo Dorneles Veiga (evento 44.1 – autos de origem), o interrogatório policial e o laudo do exame pericial realizado no entorpecente apreendido (evento 1.48 – autos de origem)</w:t>
      </w:r>
      <w:r w:rsidR="005044F9">
        <w:rPr>
          <w:rFonts w:ascii="Times New Roman" w:eastAsia="Times New Roman" w:hAnsi="Times New Roman" w:cs="Times New Roman"/>
          <w:sz w:val="24"/>
          <w:szCs w:val="24"/>
          <w:lang w:eastAsia="pt-BR"/>
        </w:rPr>
        <w:t xml:space="preserve"> comprovam, de maneira categoria, a materialidade e a autoria delitiva.</w:t>
      </w:r>
    </w:p>
    <w:p w14:paraId="5DF12EC2" w14:textId="77777777" w:rsidR="005044F9" w:rsidRDefault="005044F9"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Inexiste, diga-se, controvérsia sobre a posse do entorpecente. A divergência estabelecida pela defesa, no presente caso, consiste na afirmação de dolo específico de uso pessoal, para subsunção a tipo penal diverso.</w:t>
      </w:r>
    </w:p>
    <w:p w14:paraId="481D6802" w14:textId="140C4480" w:rsidR="005044F9" w:rsidRDefault="005044F9"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Entrementes, para além da peremptória demonstração da natureza da substância apreendida por exame pericial, o Superior Tribunal de Justiça consolidou entendimento de que o depoimento dos policiais prestados em juízo constitui meio de prova idôneo, notadamente quando ausente qualquer dúvida sobre a imparcialidade dos agentes de segurança pública, atribuindo-se à defesa (CPP, art. 156) o ônus de demonst</w:t>
      </w:r>
      <w:r w:rsidR="00644C07">
        <w:rPr>
          <w:rFonts w:ascii="Times New Roman" w:eastAsia="Times New Roman" w:hAnsi="Times New Roman" w:cs="Times New Roman"/>
          <w:sz w:val="24"/>
          <w:szCs w:val="24"/>
          <w:lang w:eastAsia="pt-BR"/>
        </w:rPr>
        <w:t>rar a imprestabilidade da prova.</w:t>
      </w:r>
    </w:p>
    <w:p w14:paraId="08DEA1D6" w14:textId="62A6F6B0" w:rsidR="005044F9" w:rsidRDefault="00644C07" w:rsidP="00644C0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0A18DE83" w14:textId="70BA59A8" w:rsidR="005044F9" w:rsidRPr="005044F9" w:rsidRDefault="005044F9" w:rsidP="005044F9">
      <w:pPr>
        <w:spacing w:before="600" w:after="600" w:line="360" w:lineRule="auto"/>
        <w:ind w:left="2268"/>
        <w:jc w:val="both"/>
        <w:rPr>
          <w:rFonts w:ascii="Times New Roman" w:eastAsia="Times New Roman" w:hAnsi="Times New Roman" w:cs="Times New Roman"/>
          <w:sz w:val="20"/>
          <w:szCs w:val="24"/>
          <w:lang w:eastAsia="pt-BR"/>
        </w:rPr>
      </w:pPr>
      <w:r w:rsidRPr="005044F9">
        <w:rPr>
          <w:rFonts w:ascii="Times New Roman" w:eastAsia="Times New Roman" w:hAnsi="Times New Roman" w:cs="Times New Roman"/>
          <w:sz w:val="20"/>
          <w:szCs w:val="24"/>
          <w:lang w:eastAsia="pt-BR"/>
        </w:rPr>
        <w:t xml:space="preserve">HABEAS CORPUS SUBSTITUTIVO DE RECURSO ESPECIAL. NÃO CABIMENTO. TRÁFICO DE DROGAS. PRETENDIDA ABSOLVIÇÃO. PALAVRA DE POLICIAIS. PROVA PARA A CONDENAÇÃO. VALIDADE. INSUFICIÊNCIA DO ACERVO PROBATÓRIO. INVIABILIDADE DE ANÁLISE NA VIA ESTREITA DO HABEAS CORPUS. WRIT NÃO CONHECIDO. I - A Terceira Seção desta Corte, seguindo entendimento firmado pela Primeira Turma do col. Pretório Excelso, firmou orientação no sentido de não admitir a impetração de habeas corpus em substituição ao recurso adequado, situação que implica o não conhecimento da impetração, ressalvados casos excepcionais em que, configurada flagrante ilegalidade apta a gerar constrangimento ilegal, seja possível a concessão da ordem de ofício. II - O depoimento dos policiais prestado em Juízo constitui meio de prova idôneo a resultar na condenação do réu, notadamente quando ausente qualquer dúvida sobre a imparcialidade dos agentes, cabendo à defesa o ônus de demonstrar a imprestabilidade da prova, o que não ocorreu no presente caso. Precedentes. III - Ademais, no caso dos autos, constou do v. acórdão vergastado que os depoimentos dos policiais são </w:t>
      </w:r>
      <w:r w:rsidR="00644C07" w:rsidRPr="005044F9">
        <w:rPr>
          <w:rFonts w:ascii="Times New Roman" w:eastAsia="Times New Roman" w:hAnsi="Times New Roman" w:cs="Times New Roman"/>
          <w:sz w:val="20"/>
          <w:szCs w:val="24"/>
          <w:lang w:eastAsia="pt-BR"/>
        </w:rPr>
        <w:t>corroborados</w:t>
      </w:r>
      <w:r w:rsidRPr="005044F9">
        <w:rPr>
          <w:rFonts w:ascii="Times New Roman" w:eastAsia="Times New Roman" w:hAnsi="Times New Roman" w:cs="Times New Roman"/>
          <w:sz w:val="20"/>
          <w:szCs w:val="24"/>
          <w:lang w:eastAsia="pt-BR"/>
        </w:rPr>
        <w:t xml:space="preserve"> por outros elementos probatórios, notadamente a apreensão de considerável quantidade de crack, de forma a demonstrar que a droga tinha por destinação o tráfico ilícito. IV - Afastar a condenação, in casu, demandaria o exame aprofundado de todo conjunto probatório, como forma de desconstituir as conclusões das instâncias ordinárias, soberanas na análise dos fatos, providência inviável de ser realizada dentro dos estreitos limites do habeas corpus, que não admite dilação probatória. Habeas corpus não conhecido.</w:t>
      </w:r>
      <w:r w:rsidR="00644C07">
        <w:rPr>
          <w:rFonts w:ascii="Times New Roman" w:eastAsia="Times New Roman" w:hAnsi="Times New Roman" w:cs="Times New Roman"/>
          <w:sz w:val="20"/>
          <w:szCs w:val="24"/>
          <w:lang w:eastAsia="pt-BR"/>
        </w:rPr>
        <w:t xml:space="preserve"> </w:t>
      </w:r>
      <w:r w:rsidRPr="005044F9">
        <w:rPr>
          <w:rFonts w:ascii="Times New Roman" w:eastAsia="Times New Roman" w:hAnsi="Times New Roman" w:cs="Times New Roman"/>
          <w:sz w:val="20"/>
          <w:szCs w:val="24"/>
          <w:lang w:eastAsia="pt-BR"/>
        </w:rPr>
        <w:t>(STJ - HC: 404507 PE 2017/0146497-9, Relator: Ministro FELIX FISCHER, Data de Julgamento: 10/04/2018, T5 - QUINTA TURMA, Data de Publicação: DJe 18/04/2018)</w:t>
      </w:r>
    </w:p>
    <w:p w14:paraId="754ED666" w14:textId="30E9F694" w:rsidR="006565C1" w:rsidRDefault="00644C07"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Assim, reputa-se suficiente a prova dos autos para a concepção do juízo condenatório proferido em primeiro grau, porquanto ausente configuração das hipóteses absolutórias reclamadas pela defesa técnica.</w:t>
      </w:r>
    </w:p>
    <w:p w14:paraId="547C4916" w14:textId="77777777" w:rsidR="006565C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p>
    <w:p w14:paraId="1C8AE998" w14:textId="0471BDF4" w:rsidR="006565C1" w:rsidRDefault="006565C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DA DESCLASSIFICAÇÃO PARA O TIPO DO ARTIGO 28 DA LEI Nº 11.343 DE 2006</w:t>
      </w:r>
    </w:p>
    <w:p w14:paraId="2BB3C12B" w14:textId="6754E04A" w:rsidR="006565C1" w:rsidRDefault="00C336A4"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Os elementos de prova angariados no curso da instrução em cotejo com os elementos de informação produzidos durante o inquérito policial afastam a hipótese defensiva de que a droga se destinava a consumo pessoal.</w:t>
      </w:r>
    </w:p>
    <w:p w14:paraId="576DBBB4" w14:textId="4D3554FC" w:rsidR="007A49B5" w:rsidRDefault="007A49B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sua defesa, o apelante postula a desclassificação da capitulação jurídica, do tipo do artigo 33 para do 38, ambos da Lei nº 11.343 de 2006, sob argumento de que o entorpecente que trazia consigo, 87 (oitenta e sete) gramas de maconha, serviria a seu consumo próprio, durante o período de estadia no litoral paranaense.</w:t>
      </w:r>
    </w:p>
    <w:p w14:paraId="120A224A" w14:textId="7E78C742" w:rsidR="007A49B5" w:rsidRDefault="007A49B5"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 </w:t>
      </w:r>
      <w:r w:rsidR="00E020F1">
        <w:rPr>
          <w:rFonts w:ascii="Times New Roman" w:eastAsia="Times New Roman" w:hAnsi="Times New Roman" w:cs="Times New Roman"/>
          <w:sz w:val="24"/>
          <w:szCs w:val="24"/>
          <w:lang w:eastAsia="pt-BR"/>
        </w:rPr>
        <w:t xml:space="preserve">imputado, </w:t>
      </w:r>
      <w:r>
        <w:rPr>
          <w:rFonts w:ascii="Times New Roman" w:eastAsia="Times New Roman" w:hAnsi="Times New Roman" w:cs="Times New Roman"/>
          <w:sz w:val="24"/>
          <w:szCs w:val="24"/>
          <w:lang w:eastAsia="pt-BR"/>
        </w:rPr>
        <w:t xml:space="preserve">abordado pela polícia militar, transitando em via pública com o entorpecente, </w:t>
      </w:r>
      <w:r w:rsidR="00E020F1">
        <w:rPr>
          <w:rFonts w:ascii="Times New Roman" w:eastAsia="Times New Roman" w:hAnsi="Times New Roman" w:cs="Times New Roman"/>
          <w:sz w:val="24"/>
          <w:szCs w:val="24"/>
          <w:lang w:eastAsia="pt-BR"/>
        </w:rPr>
        <w:t>perto de 2h da madrugada do dia 07-12-2010, declarou que se hospedaria na residência da amiga Jaqueline Soares Marchioro (evento 1.8 – autos de origem).</w:t>
      </w:r>
    </w:p>
    <w:p w14:paraId="7A811853" w14:textId="40094B25" w:rsidR="00E020F1" w:rsidRDefault="00E020F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Jaqueline, por sua vez, confirmou que hospedaria o réu na data em questão, bem como que ele costumava ficar em sua residência com frequência (evento 1.17 – autos de origem).</w:t>
      </w:r>
    </w:p>
    <w:p w14:paraId="3F94A4CE" w14:textId="2C0E3C34" w:rsidR="00E020F1" w:rsidRDefault="00E020F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Entretanto, a versão apresentada pela testemunha Murilo Dorneles Correia, que estava com o réu no momento da abordagem, </w:t>
      </w:r>
      <w:r w:rsidR="00657F8B">
        <w:rPr>
          <w:rFonts w:ascii="Times New Roman" w:eastAsia="Times New Roman" w:hAnsi="Times New Roman" w:cs="Times New Roman"/>
          <w:sz w:val="24"/>
          <w:szCs w:val="24"/>
          <w:lang w:eastAsia="pt-BR"/>
        </w:rPr>
        <w:t>apresenta elementos circunstanciais que afastam a invectiva defensiva fática.</w:t>
      </w:r>
      <w:r w:rsidR="00500226">
        <w:rPr>
          <w:rFonts w:ascii="Times New Roman" w:eastAsia="Times New Roman" w:hAnsi="Times New Roman" w:cs="Times New Roman"/>
          <w:sz w:val="24"/>
          <w:szCs w:val="24"/>
          <w:lang w:eastAsia="pt-BR"/>
        </w:rPr>
        <w:t xml:space="preserve"> Segundo referida testemunha, ambos saíram de suas residências, no município de São José dos Pinhais, por volta das 18h do dia anterior, com destino à residência de Jaqueline (evento 44.1 – autos de origem).</w:t>
      </w:r>
    </w:p>
    <w:p w14:paraId="1C56B712" w14:textId="354DE3D0" w:rsidR="00AD3CCA" w:rsidRDefault="003E520A" w:rsidP="00AD3C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Pontua-se, nesse quadro, </w:t>
      </w:r>
      <w:r w:rsidR="00E61E70">
        <w:rPr>
          <w:rFonts w:ascii="Times New Roman" w:eastAsia="Times New Roman" w:hAnsi="Times New Roman" w:cs="Times New Roman"/>
          <w:sz w:val="24"/>
          <w:szCs w:val="24"/>
          <w:lang w:eastAsia="pt-BR"/>
        </w:rPr>
        <w:t>que: a) a distância entre a residência do acusado e o local de abordagem era de aproximadamente cem quilômetros; b) o</w:t>
      </w:r>
      <w:r w:rsidR="00AD3CCA">
        <w:rPr>
          <w:rFonts w:ascii="Times New Roman" w:eastAsia="Times New Roman" w:hAnsi="Times New Roman" w:cs="Times New Roman"/>
          <w:sz w:val="24"/>
          <w:szCs w:val="24"/>
          <w:lang w:eastAsia="pt-BR"/>
        </w:rPr>
        <w:t xml:space="preserve"> meio de transporte, motocicleta, empresta agilidade ao deslocamento; c) o lapso entre o horário informado para a saída de São José dos Pinhais</w:t>
      </w:r>
      <w:r>
        <w:rPr>
          <w:rFonts w:ascii="Times New Roman" w:eastAsia="Times New Roman" w:hAnsi="Times New Roman" w:cs="Times New Roman"/>
          <w:sz w:val="24"/>
          <w:szCs w:val="24"/>
          <w:lang w:eastAsia="pt-BR"/>
        </w:rPr>
        <w:t xml:space="preserve">, 18h do dia 06-12-2010, e o da abordagem em Pontal </w:t>
      </w:r>
      <w:r w:rsidR="00AD3CCA">
        <w:rPr>
          <w:rFonts w:ascii="Times New Roman" w:eastAsia="Times New Roman" w:hAnsi="Times New Roman" w:cs="Times New Roman"/>
          <w:sz w:val="24"/>
          <w:szCs w:val="24"/>
          <w:lang w:eastAsia="pt-BR"/>
        </w:rPr>
        <w:t xml:space="preserve">do Paraná, 2h do dia 07-12-2010, é de aproximadamente seis horas; d) não há justificativa para </w:t>
      </w:r>
      <w:r w:rsidR="005044F9">
        <w:rPr>
          <w:rFonts w:ascii="Times New Roman" w:eastAsia="Times New Roman" w:hAnsi="Times New Roman" w:cs="Times New Roman"/>
          <w:sz w:val="24"/>
          <w:szCs w:val="24"/>
          <w:lang w:eastAsia="pt-BR"/>
        </w:rPr>
        <w:t xml:space="preserve">o alongamento do tempo razoavelmente exigido para o trajeto; e) não foram apreendidos </w:t>
      </w:r>
      <w:r w:rsidR="00AD3CCA">
        <w:rPr>
          <w:rFonts w:ascii="Times New Roman" w:eastAsia="Times New Roman" w:hAnsi="Times New Roman" w:cs="Times New Roman"/>
          <w:sz w:val="24"/>
          <w:szCs w:val="24"/>
          <w:lang w:eastAsia="pt-BR"/>
        </w:rPr>
        <w:t xml:space="preserve">equipamentos próprios </w:t>
      </w:r>
      <w:r w:rsidR="005044F9">
        <w:rPr>
          <w:rFonts w:ascii="Times New Roman" w:eastAsia="Times New Roman" w:hAnsi="Times New Roman" w:cs="Times New Roman"/>
          <w:sz w:val="24"/>
          <w:szCs w:val="24"/>
          <w:lang w:eastAsia="pt-BR"/>
        </w:rPr>
        <w:t>fracionamento e preparação do entorpecente para uso.</w:t>
      </w:r>
    </w:p>
    <w:p w14:paraId="5D245D1E" w14:textId="2E2CF7C0" w:rsidR="005044F9" w:rsidRDefault="00AD3CCA" w:rsidP="00AD3C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Assim, contrariamente à invectiva defensiva de dolo específico de consumo próprio, as especificidades do caso concreto </w:t>
      </w:r>
      <w:r w:rsidR="005044F9">
        <w:rPr>
          <w:rFonts w:ascii="Times New Roman" w:eastAsia="Times New Roman" w:hAnsi="Times New Roman" w:cs="Times New Roman"/>
          <w:sz w:val="24"/>
          <w:szCs w:val="24"/>
          <w:lang w:eastAsia="pt-BR"/>
        </w:rPr>
        <w:t>não permitem inferir hipótese de que elevada quantidade de droga se destinava ao consumo próprio do agente, que passaria apenas alguns dias na localidade.</w:t>
      </w:r>
    </w:p>
    <w:p w14:paraId="4634C882" w14:textId="77777777" w:rsidR="005044F9" w:rsidRDefault="005044F9" w:rsidP="005044F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Esta Corte Paranaense assentou o entendimento de que a quantidade de droga, local e condições em que se desenvolveu a ação são elementos relevantes para verificação da prática do tráfico, em detrimento do uso pessoal.</w:t>
      </w:r>
    </w:p>
    <w:p w14:paraId="71FD042F" w14:textId="77777777" w:rsidR="005044F9" w:rsidRDefault="005044F9" w:rsidP="005044F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12966607" w14:textId="77777777" w:rsidR="005044F9" w:rsidRPr="00F102E2" w:rsidRDefault="005044F9" w:rsidP="005044F9">
      <w:pPr>
        <w:spacing w:before="600" w:after="600" w:line="360" w:lineRule="auto"/>
        <w:ind w:left="2268"/>
        <w:jc w:val="both"/>
        <w:rPr>
          <w:rFonts w:ascii="Times New Roman" w:eastAsia="Times New Roman" w:hAnsi="Times New Roman" w:cs="Times New Roman"/>
          <w:sz w:val="24"/>
          <w:szCs w:val="24"/>
          <w:lang w:eastAsia="pt-BR"/>
        </w:rPr>
      </w:pPr>
      <w:r w:rsidRPr="00F102E2">
        <w:rPr>
          <w:rFonts w:ascii="Times New Roman" w:hAnsi="Times New Roman" w:cs="Times New Roman"/>
          <w:spacing w:val="2"/>
          <w:sz w:val="20"/>
          <w:szCs w:val="30"/>
          <w:shd w:val="clear" w:color="auto" w:fill="FFFFFF"/>
        </w:rPr>
        <w:t xml:space="preserve">APELAÇÃO CRIME - TRÁFICO DE DROGAS - SENTENÇA CONDENATÓRIA - INCONFORMISMO DO RÉU - PRETENSÃO ABSOLUTÓRIA - IMPROCEDÊNCIA - </w:t>
      </w:r>
      <w:r w:rsidRPr="005044F9">
        <w:rPr>
          <w:rFonts w:ascii="Times New Roman" w:hAnsi="Times New Roman" w:cs="Times New Roman"/>
          <w:b/>
          <w:spacing w:val="2"/>
          <w:sz w:val="20"/>
          <w:szCs w:val="30"/>
          <w:shd w:val="clear" w:color="auto" w:fill="FFFFFF"/>
        </w:rPr>
        <w:t>CONJUNTO DE PROVAS SUFICIENTES A SUSTENTAR O DECRETO CONDENATÓRIO - AUTORIA E MATERIALIDADE DEVIDAMENTE DEMONSTRADAS</w:t>
      </w:r>
      <w:r w:rsidRPr="00F102E2">
        <w:rPr>
          <w:rFonts w:ascii="Times New Roman" w:hAnsi="Times New Roman" w:cs="Times New Roman"/>
          <w:spacing w:val="2"/>
          <w:sz w:val="20"/>
          <w:szCs w:val="30"/>
          <w:shd w:val="clear" w:color="auto" w:fill="FFFFFF"/>
        </w:rPr>
        <w:t xml:space="preserve"> - </w:t>
      </w:r>
      <w:r w:rsidRPr="005044F9">
        <w:rPr>
          <w:rFonts w:ascii="Times New Roman" w:hAnsi="Times New Roman" w:cs="Times New Roman"/>
          <w:b/>
          <w:spacing w:val="2"/>
          <w:sz w:val="20"/>
          <w:szCs w:val="30"/>
          <w:shd w:val="clear" w:color="auto" w:fill="FFFFFF"/>
        </w:rPr>
        <w:t>QUANTIDADE DA DROGA, LOCAL E CONDIÇÕES EM QUE SE DESENVOLVEU A AÇÃO QUE IMPÕEM A CONDENAÇÃO POR TRÁFICO</w:t>
      </w:r>
      <w:r w:rsidRPr="00F102E2">
        <w:rPr>
          <w:rFonts w:ascii="Times New Roman" w:hAnsi="Times New Roman" w:cs="Times New Roman"/>
          <w:spacing w:val="2"/>
          <w:sz w:val="20"/>
          <w:szCs w:val="30"/>
          <w:shd w:val="clear" w:color="auto" w:fill="FFFFFF"/>
        </w:rPr>
        <w:t xml:space="preserve"> - </w:t>
      </w:r>
      <w:r w:rsidRPr="005044F9">
        <w:rPr>
          <w:rFonts w:ascii="Times New Roman" w:hAnsi="Times New Roman" w:cs="Times New Roman"/>
          <w:b/>
          <w:spacing w:val="2"/>
          <w:sz w:val="20"/>
          <w:szCs w:val="30"/>
          <w:shd w:val="clear" w:color="auto" w:fill="FFFFFF"/>
        </w:rPr>
        <w:t>DESNECESSIDADE DA PRÁTICA DE ATOS DE MERCANCIA</w:t>
      </w:r>
      <w:r w:rsidRPr="00F102E2">
        <w:rPr>
          <w:rFonts w:ascii="Times New Roman" w:hAnsi="Times New Roman" w:cs="Times New Roman"/>
          <w:spacing w:val="2"/>
          <w:sz w:val="20"/>
          <w:szCs w:val="30"/>
          <w:shd w:val="clear" w:color="auto" w:fill="FFFFFF"/>
        </w:rPr>
        <w:t xml:space="preserve"> - DEPOIMENTOS DOS POLICIAIS MILITARES - MEIO DE PROVA IDÔNEO - DESCLASSIFICAÇÃO PARA O TIPO PREVISTO NO ARTIGO 28 DA LEI 11.343/2006 - ALEGAÇÃO DE QUE A DROGA SE DESTINAVA AO CONSUMO PESSOAL - NÃO ACOLHIMENTO - FINALIDADE EXCLUSIVA AO CONSUMO PESSOAL EXPRESSAMENTE REFUTADA NO DECURSO DA PERSECUÇÃO PENAL - </w:t>
      </w:r>
      <w:r w:rsidRPr="005044F9">
        <w:rPr>
          <w:rFonts w:ascii="Times New Roman" w:hAnsi="Times New Roman" w:cs="Times New Roman"/>
          <w:b/>
          <w:spacing w:val="2"/>
          <w:sz w:val="20"/>
          <w:szCs w:val="30"/>
          <w:shd w:val="clear" w:color="auto" w:fill="FFFFFF"/>
        </w:rPr>
        <w:t>CONDIÇÃO DE USUÁRIO QUE, POR SI SÓ, NÃO AFASTA A PRÁTICA DA TRAFICÂNCIA</w:t>
      </w:r>
      <w:r w:rsidRPr="00F102E2">
        <w:rPr>
          <w:rFonts w:ascii="Times New Roman" w:hAnsi="Times New Roman" w:cs="Times New Roman"/>
          <w:spacing w:val="2"/>
          <w:sz w:val="20"/>
          <w:szCs w:val="30"/>
          <w:shd w:val="clear" w:color="auto" w:fill="FFFFFF"/>
        </w:rPr>
        <w:t xml:space="preserve"> - PEDIDO SUBSIDIÁRIO PELO AUMENTO DO PATAMAR DE DIMINUIÇÃO CONCERNENTE À MINORANTE PREVISTA NO § 4º, DO ART. 33, DA LEI 11.343/2006, NA RAZÃO MÁXIMA DE 2/3 - IMPOSSIBLIDADE - QUANTIDADE DA SUBSTÂNCIA APREENDIDA QUE INFLUENCIOU NA FRAÇÃO ADOTADA - FUNDAMENTOS IDÔNEOS - DOSIMETRIA ESCORREITA - RECURSO CONHECIDO E NÃO PROVIDO. (TJPR - 5ª C. Criminal - AC - 1668487-0 - Cascavel - Rel.: Desembargador Luiz Osório Moraes Panza - Unânime - J. 08.03.2018)</w:t>
      </w:r>
    </w:p>
    <w:p w14:paraId="2ED4E433" w14:textId="77777777" w:rsidR="005044F9" w:rsidRDefault="005044F9" w:rsidP="005044F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Entrementes, a condição de usuário não afasta a hipótese de tráfico. O hábito de uso pode convergir com a posse ou transporte da droga para outras finalidades.</w:t>
      </w:r>
    </w:p>
    <w:p w14:paraId="72586F99" w14:textId="77777777" w:rsidR="005044F9" w:rsidRDefault="005044F9" w:rsidP="005044F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Prevalece, portanto, a capitulação jurídica pelo crime de tráfico, em detrimento da pretensão desclassificatória.</w:t>
      </w:r>
    </w:p>
    <w:p w14:paraId="6A55A0BC" w14:textId="77777777" w:rsidR="00C336A4" w:rsidRDefault="00C336A4" w:rsidP="00C0763E">
      <w:pPr>
        <w:spacing w:before="240" w:after="240" w:line="360" w:lineRule="auto"/>
        <w:ind w:firstLine="709"/>
        <w:jc w:val="both"/>
        <w:rPr>
          <w:rFonts w:ascii="Times New Roman" w:eastAsia="Times New Roman" w:hAnsi="Times New Roman" w:cs="Times New Roman"/>
          <w:sz w:val="24"/>
          <w:szCs w:val="24"/>
          <w:lang w:eastAsia="pt-BR"/>
        </w:rPr>
      </w:pPr>
    </w:p>
    <w:p w14:paraId="1BB9C514" w14:textId="39CC2591" w:rsidR="00A326F1" w:rsidRDefault="006565C1" w:rsidP="006565C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II.IV </w:t>
      </w:r>
      <w:r w:rsidR="00A326F1">
        <w:rPr>
          <w:rFonts w:ascii="Times New Roman" w:eastAsia="Times New Roman" w:hAnsi="Times New Roman" w:cs="Times New Roman"/>
          <w:sz w:val="24"/>
          <w:szCs w:val="24"/>
          <w:lang w:eastAsia="pt-BR"/>
        </w:rPr>
        <w:t xml:space="preserve">– </w:t>
      </w:r>
      <w:r w:rsidR="00A326F1" w:rsidRPr="00A326F1">
        <w:rPr>
          <w:rFonts w:ascii="Times New Roman" w:eastAsia="Times New Roman" w:hAnsi="Times New Roman" w:cs="Times New Roman"/>
          <w:sz w:val="24"/>
          <w:szCs w:val="24"/>
          <w:lang w:eastAsia="pt-BR"/>
        </w:rPr>
        <w:t xml:space="preserve">DOS HONORÁRIOS </w:t>
      </w:r>
      <w:r>
        <w:rPr>
          <w:rFonts w:ascii="Times New Roman" w:eastAsia="Times New Roman" w:hAnsi="Times New Roman" w:cs="Times New Roman"/>
          <w:sz w:val="24"/>
          <w:szCs w:val="24"/>
          <w:lang w:eastAsia="pt-BR"/>
        </w:rPr>
        <w:t>DATIVOS</w:t>
      </w:r>
    </w:p>
    <w:p w14:paraId="07DFE6DD" w14:textId="442844DD" w:rsidR="006565C1" w:rsidRDefault="006565C1" w:rsidP="006565C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bCs/>
          <w:sz w:val="24"/>
          <w:szCs w:val="24"/>
          <w:lang w:eastAsia="pt-BR"/>
        </w:rPr>
        <w:t xml:space="preserve">Considerando </w:t>
      </w:r>
      <w:r>
        <w:rPr>
          <w:rFonts w:ascii="Times New Roman" w:eastAsia="Times New Roman" w:hAnsi="Times New Roman" w:cs="Times New Roman"/>
          <w:sz w:val="24"/>
          <w:szCs w:val="24"/>
          <w:lang w:eastAsia="pt-BR"/>
        </w:rPr>
        <w:t>o grau de zelo, o lugar de prestação do serviço, a natureza e importância da cause, o trabalho realizado e tempo exigido, arbitra-se em R$ 600,00 (seiscentos reais) os honorários dativos em favor do advogado Elias de Souza Maciel, inscrito na OAB PR sob o nº 74.859 (evento 94.1 – autos de origem), em razão da atuação nesta instância recursal.</w:t>
      </w:r>
    </w:p>
    <w:p w14:paraId="7D437034" w14:textId="77777777" w:rsidR="00A326F1" w:rsidRDefault="00A326F1" w:rsidP="00C0763E">
      <w:pPr>
        <w:spacing w:before="240" w:after="240" w:line="360" w:lineRule="auto"/>
        <w:ind w:firstLine="709"/>
        <w:jc w:val="both"/>
        <w:rPr>
          <w:rFonts w:ascii="Times New Roman" w:eastAsia="Times New Roman" w:hAnsi="Times New Roman" w:cs="Times New Roman"/>
          <w:b/>
          <w:sz w:val="24"/>
          <w:szCs w:val="24"/>
          <w:lang w:eastAsia="pt-BR"/>
        </w:rPr>
      </w:pPr>
    </w:p>
    <w:p w14:paraId="4FF18D78" w14:textId="7A96F0A6" w:rsidR="00A326F1" w:rsidRDefault="00A326F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 </w:t>
      </w:r>
      <w:r w:rsidR="006565C1">
        <w:rPr>
          <w:rFonts w:ascii="Times New Roman" w:eastAsia="Times New Roman" w:hAnsi="Times New Roman" w:cs="Times New Roman"/>
          <w:sz w:val="24"/>
          <w:szCs w:val="24"/>
          <w:lang w:eastAsia="pt-BR"/>
        </w:rPr>
        <w:t xml:space="preserve">V </w:t>
      </w:r>
      <w:r>
        <w:rPr>
          <w:rFonts w:ascii="Times New Roman" w:eastAsia="Times New Roman" w:hAnsi="Times New Roman" w:cs="Times New Roman"/>
          <w:sz w:val="24"/>
          <w:szCs w:val="24"/>
          <w:lang w:eastAsia="pt-BR"/>
        </w:rPr>
        <w:t xml:space="preserve">– </w:t>
      </w:r>
      <w:r w:rsidRPr="00A326F1">
        <w:rPr>
          <w:rFonts w:ascii="Times New Roman" w:eastAsia="Times New Roman" w:hAnsi="Times New Roman" w:cs="Times New Roman"/>
          <w:sz w:val="24"/>
          <w:szCs w:val="24"/>
          <w:lang w:eastAsia="pt-BR"/>
        </w:rPr>
        <w:t>DA CONCLUSÃO</w:t>
      </w:r>
    </w:p>
    <w:p w14:paraId="189FD703" w14:textId="6C971154" w:rsidR="00A326F1" w:rsidRDefault="00A326F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Ante o exposto, a solução a ser adotada no presente caso consiste no conhecimento e desprovimento do recurso, nos termos da fundamentação.</w:t>
      </w:r>
    </w:p>
    <w:p w14:paraId="7A80A6DE" w14:textId="0B6D9109" w:rsidR="00A326F1" w:rsidRDefault="00A326F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0561BF12" w14:textId="77777777" w:rsidR="00A326F1" w:rsidRPr="00A326F1" w:rsidRDefault="00A326F1" w:rsidP="00C0763E">
      <w:pPr>
        <w:spacing w:before="240" w:after="240" w:line="360" w:lineRule="auto"/>
        <w:ind w:firstLine="709"/>
        <w:jc w:val="both"/>
        <w:rPr>
          <w:rFonts w:ascii="Times New Roman" w:eastAsia="Times New Roman" w:hAnsi="Times New Roman" w:cs="Times New Roman"/>
          <w:sz w:val="24"/>
          <w:szCs w:val="24"/>
          <w:lang w:eastAsia="pt-BR"/>
        </w:rPr>
      </w:pPr>
    </w:p>
    <w:p w14:paraId="35798B1F" w14:textId="3E315350" w:rsidR="00412E7C" w:rsidRPr="00A326F1" w:rsidRDefault="00A326F1" w:rsidP="00A326F1">
      <w:pPr>
        <w:spacing w:before="240" w:after="240" w:line="360" w:lineRule="auto"/>
        <w:ind w:firstLine="709"/>
        <w:jc w:val="both"/>
        <w:rPr>
          <w:rFonts w:ascii="Times New Roman" w:eastAsia="Times New Roman" w:hAnsi="Times New Roman" w:cs="Times New Roman"/>
          <w:b/>
          <w:sz w:val="24"/>
          <w:szCs w:val="24"/>
          <w:lang w:eastAsia="pt-BR"/>
        </w:rPr>
      </w:pPr>
      <w:r w:rsidRPr="00A326F1">
        <w:rPr>
          <w:rFonts w:ascii="Times New Roman" w:eastAsia="Times New Roman" w:hAnsi="Times New Roman" w:cs="Times New Roman"/>
          <w:b/>
          <w:sz w:val="24"/>
          <w:szCs w:val="24"/>
          <w:lang w:eastAsia="pt-BR"/>
        </w:rPr>
        <w:t>III - DECISÃO</w:t>
      </w:r>
    </w:p>
    <w:sectPr w:rsidR="00412E7C" w:rsidRPr="00A326F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E520A"/>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0226"/>
    <w:rsid w:val="00502B69"/>
    <w:rsid w:val="005044F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152"/>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4C07"/>
    <w:rsid w:val="00645955"/>
    <w:rsid w:val="00647C71"/>
    <w:rsid w:val="00650B35"/>
    <w:rsid w:val="00651518"/>
    <w:rsid w:val="006565C1"/>
    <w:rsid w:val="00657F8B"/>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49B5"/>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36D1"/>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96588"/>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26F1"/>
    <w:rsid w:val="00A35175"/>
    <w:rsid w:val="00A559CE"/>
    <w:rsid w:val="00A6119C"/>
    <w:rsid w:val="00A730B6"/>
    <w:rsid w:val="00A8064C"/>
    <w:rsid w:val="00A82B31"/>
    <w:rsid w:val="00A8725B"/>
    <w:rsid w:val="00A91602"/>
    <w:rsid w:val="00AA12F7"/>
    <w:rsid w:val="00AD3CCA"/>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3429"/>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36A4"/>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20F1"/>
    <w:rsid w:val="00E04001"/>
    <w:rsid w:val="00E109CB"/>
    <w:rsid w:val="00E13163"/>
    <w:rsid w:val="00E17110"/>
    <w:rsid w:val="00E32EC6"/>
    <w:rsid w:val="00E41DC6"/>
    <w:rsid w:val="00E46924"/>
    <w:rsid w:val="00E46F5F"/>
    <w:rsid w:val="00E544D7"/>
    <w:rsid w:val="00E61DDD"/>
    <w:rsid w:val="00E61E70"/>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31967212">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448994-7C2E-40DF-87CA-8CCB6BE1F897}">
  <ds:schemaRefs>
    <ds:schemaRef ds:uri="http://schemas.openxmlformats.org/officeDocument/2006/bibliography"/>
  </ds:schemaRefs>
</ds:datastoreItem>
</file>

<file path=customXml/itemProps2.xml><?xml version="1.0" encoding="utf-8"?>
<ds:datastoreItem xmlns:ds="http://schemas.openxmlformats.org/officeDocument/2006/customXml" ds:itemID="{191DC1FF-47F0-459E-A204-8372E81A21B7}"/>
</file>

<file path=customXml/itemProps3.xml><?xml version="1.0" encoding="utf-8"?>
<ds:datastoreItem xmlns:ds="http://schemas.openxmlformats.org/officeDocument/2006/customXml" ds:itemID="{A20961EE-8024-4406-9938-29C85523E3CB}"/>
</file>

<file path=customXml/itemProps4.xml><?xml version="1.0" encoding="utf-8"?>
<ds:datastoreItem xmlns:ds="http://schemas.openxmlformats.org/officeDocument/2006/customXml" ds:itemID="{CF1D80F0-91D6-4373-8615-538747423A0F}"/>
</file>

<file path=docProps/app.xml><?xml version="1.0" encoding="utf-8"?>
<Properties xmlns="http://schemas.openxmlformats.org/officeDocument/2006/extended-properties" xmlns:vt="http://schemas.openxmlformats.org/officeDocument/2006/docPropsVTypes">
  <Template>Normal</Template>
  <TotalTime>954</TotalTime>
  <Pages>1</Pages>
  <Words>1562</Words>
  <Characters>8439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cp:lastPrinted>2023-02-01T16:46:00Z</cp:lastPrinted>
  <dcterms:created xsi:type="dcterms:W3CDTF">2023-06-15T19:39:00Z</dcterms:created>
  <dcterms:modified xsi:type="dcterms:W3CDTF">2023-11-27T18:51:00Z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337800</vt:r8>
  </property>
</Properties>
</file>