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626511" w14:textId="76BCEEB4" w:rsidR="006016FE" w:rsidRDefault="004726EB" w:rsidP="006016FE">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DIREITO PENAL E PROCESSUAL PENAL.</w:t>
      </w:r>
      <w:r w:rsidR="006016FE">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HABEAS CORPUS.</w:t>
      </w:r>
      <w:r w:rsidR="006016FE">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MEDIDAS PROTETIVAS. LEI Nº 11.340/2006.</w:t>
      </w:r>
      <w:r w:rsidR="006016FE">
        <w:rPr>
          <w:rFonts w:ascii="Times New Roman" w:eastAsia="Times New Roman" w:hAnsi="Times New Roman" w:cs="Times New Roman"/>
          <w:b/>
          <w:sz w:val="24"/>
          <w:szCs w:val="24"/>
          <w:lang w:eastAsia="pt-BR"/>
        </w:rPr>
        <w:t xml:space="preserve"> PROIBIÇÃO DE CONTATO E APROXIMAÇÃO. </w:t>
      </w:r>
      <w:r w:rsidR="006016FE">
        <w:rPr>
          <w:rFonts w:ascii="Times New Roman" w:eastAsia="Times New Roman" w:hAnsi="Times New Roman" w:cs="Times New Roman"/>
          <w:b/>
          <w:sz w:val="24"/>
          <w:szCs w:val="24"/>
          <w:lang w:eastAsia="pt-BR"/>
        </w:rPr>
        <w:t xml:space="preserve">REMÉDIO LIBERTÁRIO UTILIZADO COMO SUBSTITUTO DE RECURSO CABÍVEL. VIA PROCESSUAL INADEQUADA. </w:t>
      </w:r>
      <w:r w:rsidR="006016FE">
        <w:rPr>
          <w:rFonts w:ascii="Times New Roman" w:eastAsia="Times New Roman" w:hAnsi="Times New Roman" w:cs="Times New Roman"/>
          <w:b/>
          <w:sz w:val="24"/>
          <w:szCs w:val="24"/>
          <w:lang w:eastAsia="pt-BR"/>
        </w:rPr>
        <w:t>AUSÊNCIA DE FLAGRANTE ILEGALIDADE A SER DECLARADA DE OFÍCIO. ADEQUAÇÃO E NECESSIDADE DAS MEDIDAS PROTETIVAS. PRESERVAÇÃO DA INTEGRIDADE PSICOLÓGICA DA VÍTIMA. ORDEM NÃO CONHECIDA.</w:t>
      </w:r>
    </w:p>
    <w:p w14:paraId="491E5A17" w14:textId="385F1022" w:rsidR="006016FE" w:rsidRPr="006016FE" w:rsidRDefault="006016FE" w:rsidP="006016FE">
      <w:pPr>
        <w:spacing w:before="240" w:after="240" w:line="360" w:lineRule="auto"/>
        <w:jc w:val="both"/>
        <w:rPr>
          <w:rFonts w:ascii="Times New Roman" w:eastAsia="Times New Roman" w:hAnsi="Times New Roman" w:cs="Times New Roman"/>
          <w:b/>
          <w:sz w:val="24"/>
          <w:szCs w:val="24"/>
          <w:lang w:eastAsia="pt-BR"/>
        </w:rPr>
      </w:pPr>
      <w:r w:rsidRPr="006016FE">
        <w:rPr>
          <w:rFonts w:ascii="Times New Roman" w:eastAsia="Times New Roman" w:hAnsi="Times New Roman" w:cs="Times New Roman"/>
          <w:b/>
          <w:sz w:val="24"/>
          <w:szCs w:val="24"/>
          <w:lang w:eastAsia="pt-BR"/>
        </w:rPr>
        <w:t xml:space="preserve">1. </w:t>
      </w:r>
      <w:r w:rsidRPr="006016FE">
        <w:rPr>
          <w:rFonts w:ascii="Times New Roman" w:eastAsia="Times New Roman" w:hAnsi="Times New Roman" w:cs="Times New Roman"/>
          <w:b/>
          <w:spacing w:val="2"/>
          <w:sz w:val="24"/>
          <w:szCs w:val="24"/>
          <w:lang w:eastAsia="pt-BR"/>
        </w:rPr>
        <w:t>N</w:t>
      </w:r>
      <w:r w:rsidRPr="00767FD8">
        <w:rPr>
          <w:rFonts w:ascii="Times New Roman" w:eastAsia="Times New Roman" w:hAnsi="Times New Roman" w:cs="Times New Roman"/>
          <w:b/>
          <w:spacing w:val="2"/>
          <w:sz w:val="24"/>
          <w:szCs w:val="24"/>
          <w:lang w:eastAsia="pt-BR"/>
        </w:rPr>
        <w:t xml:space="preserve">ão se admite </w:t>
      </w:r>
      <w:r w:rsidRPr="00767FD8">
        <w:rPr>
          <w:rFonts w:ascii="Times New Roman" w:eastAsia="Times New Roman" w:hAnsi="Times New Roman" w:cs="Times New Roman"/>
          <w:b/>
          <w:i/>
          <w:spacing w:val="2"/>
          <w:sz w:val="24"/>
          <w:szCs w:val="24"/>
          <w:lang w:eastAsia="pt-BR"/>
        </w:rPr>
        <w:t>habeas corpus</w:t>
      </w:r>
      <w:r w:rsidRPr="00767FD8">
        <w:rPr>
          <w:rFonts w:ascii="Times New Roman" w:eastAsia="Times New Roman" w:hAnsi="Times New Roman" w:cs="Times New Roman"/>
          <w:b/>
          <w:spacing w:val="2"/>
          <w:sz w:val="24"/>
          <w:szCs w:val="24"/>
          <w:lang w:eastAsia="pt-BR"/>
        </w:rPr>
        <w:t xml:space="preserve"> substitutivo ou sucedâneo de recurso próprio, caso em que não se conhece da impetração, exceto quando configurada flagrante ilegalidade que permita a concessão da ordem de ofício</w:t>
      </w:r>
      <w:r w:rsidRPr="00767FD8">
        <w:rPr>
          <w:rFonts w:ascii="Times New Roman" w:eastAsia="Times New Roman" w:hAnsi="Times New Roman" w:cs="Times New Roman"/>
          <w:spacing w:val="2"/>
          <w:sz w:val="24"/>
          <w:szCs w:val="24"/>
          <w:lang w:eastAsia="pt-BR"/>
        </w:rPr>
        <w:t>.</w:t>
      </w:r>
    </w:p>
    <w:p w14:paraId="1CC25CFD" w14:textId="36A2C3AD" w:rsidR="006016FE" w:rsidRPr="006016FE" w:rsidRDefault="006016FE" w:rsidP="006016FE">
      <w:pPr>
        <w:spacing w:before="240" w:after="240" w:line="360" w:lineRule="auto"/>
        <w:jc w:val="both"/>
        <w:rPr>
          <w:rFonts w:ascii="Times New Roman" w:eastAsia="Times New Roman" w:hAnsi="Times New Roman" w:cs="Times New Roman"/>
          <w:b/>
          <w:sz w:val="24"/>
          <w:szCs w:val="24"/>
          <w:lang w:eastAsia="pt-BR"/>
        </w:rPr>
      </w:pPr>
      <w:r w:rsidRPr="006016FE">
        <w:rPr>
          <w:rFonts w:ascii="Times New Roman" w:eastAsia="Times New Roman" w:hAnsi="Times New Roman" w:cs="Times New Roman"/>
          <w:b/>
          <w:sz w:val="24"/>
          <w:szCs w:val="24"/>
          <w:lang w:eastAsia="pt-BR"/>
        </w:rPr>
        <w:t>2. Ordem não conhecida.</w:t>
      </w:r>
    </w:p>
    <w:p w14:paraId="40AFA11B" w14:textId="77777777" w:rsidR="004726EB" w:rsidRDefault="004726EB" w:rsidP="00C0763E">
      <w:pPr>
        <w:spacing w:before="240" w:after="240" w:line="360" w:lineRule="auto"/>
        <w:ind w:firstLine="709"/>
        <w:jc w:val="both"/>
        <w:rPr>
          <w:rFonts w:ascii="Times New Roman" w:eastAsia="Times New Roman" w:hAnsi="Times New Roman" w:cs="Times New Roman"/>
          <w:b/>
          <w:sz w:val="24"/>
          <w:szCs w:val="24"/>
          <w:lang w:eastAsia="pt-BR"/>
        </w:rPr>
      </w:pPr>
    </w:p>
    <w:p w14:paraId="702E0484" w14:textId="34798F8C" w:rsidR="00D74F23" w:rsidRPr="00A56548"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A56548">
        <w:rPr>
          <w:rFonts w:ascii="Times New Roman" w:eastAsia="Times New Roman" w:hAnsi="Times New Roman" w:cs="Times New Roman"/>
          <w:b/>
          <w:sz w:val="24"/>
          <w:szCs w:val="24"/>
          <w:lang w:eastAsia="pt-BR"/>
        </w:rPr>
        <w:t>I – RELATÓRIO</w:t>
      </w:r>
    </w:p>
    <w:p w14:paraId="1598FE7C" w14:textId="2826D50C" w:rsidR="00A56548" w:rsidRDefault="00C0763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w:t>
      </w:r>
      <w:r w:rsidR="00A56548">
        <w:rPr>
          <w:rFonts w:ascii="Times New Roman" w:eastAsia="Times New Roman" w:hAnsi="Times New Roman" w:cs="Times New Roman"/>
          <w:sz w:val="24"/>
          <w:szCs w:val="24"/>
          <w:lang w:eastAsia="pt-BR"/>
        </w:rPr>
        <w:t xml:space="preserve"> de </w:t>
      </w:r>
      <w:r w:rsidR="00A56548" w:rsidRPr="00A56548">
        <w:rPr>
          <w:rFonts w:ascii="Times New Roman" w:eastAsia="Times New Roman" w:hAnsi="Times New Roman" w:cs="Times New Roman"/>
          <w:i/>
          <w:sz w:val="24"/>
          <w:szCs w:val="24"/>
          <w:lang w:eastAsia="pt-BR"/>
        </w:rPr>
        <w:t>habeas corpus</w:t>
      </w:r>
      <w:r w:rsidR="00A56548">
        <w:rPr>
          <w:rFonts w:ascii="Times New Roman" w:eastAsia="Times New Roman" w:hAnsi="Times New Roman" w:cs="Times New Roman"/>
          <w:sz w:val="24"/>
          <w:szCs w:val="24"/>
          <w:lang w:eastAsia="pt-BR"/>
        </w:rPr>
        <w:t xml:space="preserve"> impetrado pelo advogado Anderson Viecelli Della Beta em favor do paciente Luiz Henrique Mazer Junior, tendo como objeto decisão do juízo do Juizado de Violência Doméstica Contra a Mulher e Vara de Crimes Contra Crianças, Adolescentes e Idosos de Cascavel, que decretou medidas protetivas de urgência consistentes em proibição de aproximação em distância inferior a 300 (trezentos) metros e de contato com a vítima, seus familiares e testemunhas (eventos 8.1 e 71.1 – autos de origem).</w:t>
      </w:r>
    </w:p>
    <w:p w14:paraId="0699A7EC" w14:textId="58681B06" w:rsidR="00A56548" w:rsidRDefault="00A56548"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Eis, em síntese, os argumentos deduzidos: a) </w:t>
      </w:r>
      <w:r w:rsidR="007920EB">
        <w:rPr>
          <w:rFonts w:ascii="Times New Roman" w:eastAsia="Times New Roman" w:hAnsi="Times New Roman" w:cs="Times New Roman"/>
          <w:sz w:val="24"/>
          <w:szCs w:val="24"/>
          <w:lang w:eastAsia="pt-BR"/>
        </w:rPr>
        <w:t>as oitivas policiais da ofendida e sua genitora não justificam a aplicação de medidas protetivas; b) não há prova da hipótese delitiva de importunação sexual; c) as medidas protetivas restringem o exercício de sua atividade comercial e da fé confessional, ante a impossibilidade de atendimento de clientes próximos à residência da ofendida e de frequência ao templo religioso comum (evento 1.1).</w:t>
      </w:r>
    </w:p>
    <w:p w14:paraId="6C3F92D3" w14:textId="01263FDC" w:rsidR="00A56548" w:rsidRPr="00A56548" w:rsidRDefault="00A56548"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Inferiu-se a liminar postulada, sob fundamento de não verificação, </w:t>
      </w:r>
      <w:r>
        <w:rPr>
          <w:rFonts w:ascii="Times New Roman" w:eastAsia="Times New Roman" w:hAnsi="Times New Roman" w:cs="Times New Roman"/>
          <w:i/>
          <w:sz w:val="24"/>
          <w:szCs w:val="24"/>
          <w:lang w:eastAsia="pt-BR"/>
        </w:rPr>
        <w:t xml:space="preserve">primo ictu oculi, </w:t>
      </w:r>
      <w:r>
        <w:rPr>
          <w:rFonts w:ascii="Times New Roman" w:eastAsia="Times New Roman" w:hAnsi="Times New Roman" w:cs="Times New Roman"/>
          <w:sz w:val="24"/>
          <w:szCs w:val="24"/>
          <w:lang w:eastAsia="pt-BR"/>
        </w:rPr>
        <w:t>de manifesta ilegalidade (evento 4.1).</w:t>
      </w:r>
    </w:p>
    <w:p w14:paraId="0B37BE78" w14:textId="6F223683" w:rsidR="007920EB" w:rsidRDefault="007920EB"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 xml:space="preserve">A Procuradoria-Geral de Justiça opinou pelo não conhecimento da ordem, ante a necessidade de incursão cognitiva para </w:t>
      </w:r>
      <w:r w:rsidR="003D389B">
        <w:rPr>
          <w:rFonts w:ascii="Times New Roman" w:eastAsia="Times New Roman" w:hAnsi="Times New Roman" w:cs="Times New Roman"/>
          <w:sz w:val="24"/>
          <w:szCs w:val="24"/>
          <w:lang w:eastAsia="pt-BR"/>
        </w:rPr>
        <w:t xml:space="preserve">inferência sobre a hipótese de inocorrência do crime cogitado. No mérito, se manifestou pela denegação, porquanto ausente ilegalidade </w:t>
      </w:r>
      <w:r>
        <w:rPr>
          <w:rFonts w:ascii="Times New Roman" w:eastAsia="Times New Roman" w:hAnsi="Times New Roman" w:cs="Times New Roman"/>
          <w:sz w:val="24"/>
          <w:szCs w:val="24"/>
          <w:lang w:eastAsia="pt-BR"/>
        </w:rPr>
        <w:t>(evento 30.1).</w:t>
      </w:r>
    </w:p>
    <w:p w14:paraId="67A53D0B" w14:textId="6443C809" w:rsidR="007920EB" w:rsidRDefault="007920EB"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18F69EAF" w14:textId="77777777" w:rsidR="007920EB" w:rsidRDefault="007920EB"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3D389B"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bookmarkStart w:id="0" w:name="_GoBack"/>
      <w:r w:rsidRPr="003D389B">
        <w:rPr>
          <w:rFonts w:ascii="Times New Roman" w:eastAsia="Times New Roman" w:hAnsi="Times New Roman" w:cs="Times New Roman"/>
          <w:b/>
          <w:sz w:val="24"/>
          <w:szCs w:val="24"/>
          <w:lang w:eastAsia="pt-BR"/>
        </w:rPr>
        <w:t>II – VOTO E SUA FUNDAMENTAÇÃO</w:t>
      </w:r>
    </w:p>
    <w:p w14:paraId="1B0DC76D" w14:textId="527439FA" w:rsidR="003D389B" w:rsidRDefault="003D389B" w:rsidP="00D3271F">
      <w:pPr>
        <w:spacing w:before="240" w:after="240" w:line="360" w:lineRule="auto"/>
        <w:ind w:firstLine="709"/>
        <w:jc w:val="both"/>
        <w:rPr>
          <w:rFonts w:ascii="Times New Roman" w:eastAsia="Times New Roman" w:hAnsi="Times New Roman" w:cs="Times New Roman"/>
          <w:bCs/>
          <w:sz w:val="24"/>
          <w:szCs w:val="24"/>
          <w:lang w:eastAsia="pt-BR"/>
        </w:rPr>
      </w:pPr>
      <w:r w:rsidRPr="003D389B">
        <w:rPr>
          <w:rFonts w:ascii="Times New Roman" w:eastAsia="Times New Roman" w:hAnsi="Times New Roman" w:cs="Times New Roman"/>
          <w:bCs/>
          <w:sz w:val="24"/>
          <w:szCs w:val="24"/>
          <w:lang w:eastAsia="pt-BR"/>
        </w:rPr>
        <w:t xml:space="preserve">II.I </w:t>
      </w:r>
      <w:r>
        <w:rPr>
          <w:rFonts w:ascii="Times New Roman" w:eastAsia="Times New Roman" w:hAnsi="Times New Roman" w:cs="Times New Roman"/>
          <w:bCs/>
          <w:sz w:val="24"/>
          <w:szCs w:val="24"/>
          <w:lang w:eastAsia="pt-BR"/>
        </w:rPr>
        <w:t>–</w:t>
      </w:r>
      <w:r w:rsidRPr="003D389B">
        <w:rPr>
          <w:rFonts w:ascii="Times New Roman" w:eastAsia="Times New Roman" w:hAnsi="Times New Roman" w:cs="Times New Roman"/>
          <w:bCs/>
          <w:sz w:val="24"/>
          <w:szCs w:val="24"/>
          <w:lang w:eastAsia="pt-BR"/>
        </w:rPr>
        <w:t xml:space="preserve"> </w:t>
      </w:r>
      <w:r>
        <w:rPr>
          <w:rFonts w:ascii="Times New Roman" w:eastAsia="Times New Roman" w:hAnsi="Times New Roman" w:cs="Times New Roman"/>
          <w:bCs/>
          <w:sz w:val="24"/>
          <w:szCs w:val="24"/>
          <w:lang w:eastAsia="pt-BR"/>
        </w:rPr>
        <w:t>DO JUÍZO DE ADMISSIBILIDADE</w:t>
      </w:r>
    </w:p>
    <w:p w14:paraId="7783F960" w14:textId="77777777" w:rsidR="00767FD8" w:rsidRDefault="00500F1B" w:rsidP="00767FD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Na esteira do pronunciamento ministerial, em que pesem os argumentos deduzidos pelo impetrante, a pretensão de revisão das medidas protetivas de urgência excede o estrito perímetro cognitivo do </w:t>
      </w:r>
      <w:r>
        <w:rPr>
          <w:rFonts w:ascii="Times New Roman" w:eastAsia="Times New Roman" w:hAnsi="Times New Roman" w:cs="Times New Roman"/>
          <w:bCs/>
          <w:i/>
          <w:sz w:val="24"/>
          <w:szCs w:val="24"/>
          <w:lang w:eastAsia="pt-BR"/>
        </w:rPr>
        <w:t>habeas corpus</w:t>
      </w:r>
      <w:r>
        <w:rPr>
          <w:rFonts w:ascii="Times New Roman" w:eastAsia="Times New Roman" w:hAnsi="Times New Roman" w:cs="Times New Roman"/>
          <w:bCs/>
          <w:sz w:val="24"/>
          <w:szCs w:val="24"/>
          <w:lang w:eastAsia="pt-BR"/>
        </w:rPr>
        <w:t>.</w:t>
      </w:r>
    </w:p>
    <w:p w14:paraId="361C6DE1" w14:textId="68275B4E" w:rsidR="00767FD8" w:rsidRDefault="00767FD8" w:rsidP="00767FD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No presente caso, a arguição de ilegalidade das medidas de proteção encontra-se lastreada no argumento de que a conduta noticiada pela vítima e sua genitora não se amolda ao tipo penal incialmente cogitado, de importunação sexual (CP, art. 215-A).</w:t>
      </w:r>
    </w:p>
    <w:p w14:paraId="48E6A11E" w14:textId="5AE03E37" w:rsidR="00767FD8" w:rsidRPr="00767FD8" w:rsidRDefault="00767FD8" w:rsidP="00767FD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Assim, a pretensão em exame demanda incursão cognitiva inadequada ao rito procedimental do </w:t>
      </w:r>
      <w:r>
        <w:rPr>
          <w:rFonts w:ascii="Times New Roman" w:eastAsia="Times New Roman" w:hAnsi="Times New Roman" w:cs="Times New Roman"/>
          <w:bCs/>
          <w:i/>
          <w:sz w:val="24"/>
          <w:szCs w:val="24"/>
          <w:lang w:eastAsia="pt-BR"/>
        </w:rPr>
        <w:t xml:space="preserve">habeas corpus, </w:t>
      </w:r>
      <w:r>
        <w:rPr>
          <w:rFonts w:ascii="Times New Roman" w:eastAsia="Times New Roman" w:hAnsi="Times New Roman" w:cs="Times New Roman"/>
          <w:bCs/>
          <w:sz w:val="24"/>
          <w:szCs w:val="24"/>
          <w:lang w:eastAsia="pt-BR"/>
        </w:rPr>
        <w:t>em substituição à interposição de instrumento recursal próprio.</w:t>
      </w:r>
    </w:p>
    <w:p w14:paraId="49EB12BC" w14:textId="67BF9B0C" w:rsidR="00500F1B" w:rsidRDefault="00767FD8" w:rsidP="00767FD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Com efeito, </w:t>
      </w:r>
      <w:r w:rsidR="00500F1B">
        <w:rPr>
          <w:rFonts w:ascii="Times New Roman" w:eastAsia="Times New Roman" w:hAnsi="Times New Roman" w:cs="Times New Roman"/>
          <w:bCs/>
          <w:sz w:val="24"/>
          <w:szCs w:val="24"/>
          <w:lang w:eastAsia="pt-BR"/>
        </w:rPr>
        <w:t>o remédio libertário não pode ser utilizado como substitutivo ou sucedâneo de recurso</w:t>
      </w:r>
      <w:r>
        <w:rPr>
          <w:rFonts w:ascii="Times New Roman" w:eastAsia="Times New Roman" w:hAnsi="Times New Roman" w:cs="Times New Roman"/>
          <w:bCs/>
          <w:sz w:val="24"/>
          <w:szCs w:val="24"/>
          <w:lang w:eastAsia="pt-BR"/>
        </w:rPr>
        <w:t>. Seu uso inadequado, portanto, determina o não conhecimento da impetração.</w:t>
      </w:r>
    </w:p>
    <w:p w14:paraId="3D89DF3E" w14:textId="3313EA96" w:rsidR="00767FD8" w:rsidRDefault="00767FD8" w:rsidP="00767FD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Sobre o tema:</w:t>
      </w:r>
    </w:p>
    <w:p w14:paraId="4182BAEA" w14:textId="3CABF7BF" w:rsidR="00767FD8" w:rsidRDefault="00767FD8" w:rsidP="00767FD8">
      <w:pPr>
        <w:shd w:val="clear" w:color="auto" w:fill="FFFFFF"/>
        <w:spacing w:before="600" w:after="600" w:line="360" w:lineRule="auto"/>
        <w:ind w:left="2268"/>
        <w:jc w:val="both"/>
        <w:rPr>
          <w:rFonts w:ascii="Times New Roman" w:eastAsia="Times New Roman" w:hAnsi="Times New Roman" w:cs="Times New Roman"/>
          <w:spacing w:val="2"/>
          <w:sz w:val="20"/>
          <w:szCs w:val="30"/>
          <w:lang w:eastAsia="pt-BR"/>
        </w:rPr>
      </w:pPr>
      <w:r w:rsidRPr="00767FD8">
        <w:rPr>
          <w:rFonts w:ascii="Times New Roman" w:eastAsia="Times New Roman" w:hAnsi="Times New Roman" w:cs="Times New Roman"/>
          <w:spacing w:val="2"/>
          <w:sz w:val="20"/>
          <w:szCs w:val="30"/>
          <w:lang w:eastAsia="pt-BR"/>
        </w:rPr>
        <w:t xml:space="preserve">PROCESSO PENAL. HABEAS CORPUS SUBSTITUTIVO DE RECURSO ORDINÁRIO. NÃO CONHECIMENTO. INEXISTÊNCIA DE FLAGRANTE ILEGALIDADE HÁBIL A ENSEJAR A CONCESSÃO DA ORDEM, DE OFÍCIO. ALEGAÇÃO DE AUSÊNCIA DE RISCO CONCRETO À OFENDIDA. INVIABILIDADE DE ANÁLISE NA VIA ELEITA. LEI MARIA DA PENHA. MEDIDAS PROTETIVAS DE URGÊNCIA QUE OBRIGAM O AGRESSOR (ART. 22, INCISOS I, II E </w:t>
      </w:r>
      <w:r w:rsidRPr="00767FD8">
        <w:rPr>
          <w:rFonts w:ascii="Times New Roman" w:eastAsia="Times New Roman" w:hAnsi="Times New Roman" w:cs="Times New Roman"/>
          <w:spacing w:val="2"/>
          <w:sz w:val="20"/>
          <w:szCs w:val="30"/>
          <w:lang w:eastAsia="pt-BR"/>
        </w:rPr>
        <w:lastRenderedPageBreak/>
        <w:t xml:space="preserve">III, DA LEI N. 11.340/2006). NATUREZA JURÍDICA CAUTELAR DE CARÁTER EMINENTEMENTE PENAL. TUTELA DE DIREITOS FUNDAMENTAIS DO OFENSOR E OFENDIDA. MAIOR EFICÁCIA ÀS GARANTIAS PROCESSUAIS DO POTENCIAL AGRESSOR, EM FAVOR DO STATUS LIBERTATIS, E SALVAGUARDA DA INTEGRIDADE FÍSICA E PSÍQUICA DA VÍTIMA, FAMILIARES E TESTEMUNHAS. MANDAMUS SUCEDÂNEO DE RECURSO NÃO CONHECIDO. </w:t>
      </w:r>
      <w:r w:rsidRPr="00767FD8">
        <w:rPr>
          <w:rFonts w:ascii="Times New Roman" w:eastAsia="Times New Roman" w:hAnsi="Times New Roman" w:cs="Times New Roman"/>
          <w:b/>
          <w:spacing w:val="2"/>
          <w:sz w:val="20"/>
          <w:szCs w:val="30"/>
          <w:lang w:eastAsia="pt-BR"/>
        </w:rPr>
        <w:t>1. A Terceira Seção do Superior Tribunal de Justiça assentou que não se admite habeas corpus substitutivo ou sucedâneo de recurso próprio, caso em que não se conhece da impetração, exceto quando configurada flagrante ilegalidade que permita a concessão da ordem de ofício</w:t>
      </w:r>
      <w:r w:rsidRPr="00767FD8">
        <w:rPr>
          <w:rFonts w:ascii="Times New Roman" w:eastAsia="Times New Roman" w:hAnsi="Times New Roman" w:cs="Times New Roman"/>
          <w:spacing w:val="2"/>
          <w:sz w:val="20"/>
          <w:szCs w:val="30"/>
          <w:lang w:eastAsia="pt-BR"/>
        </w:rPr>
        <w:t xml:space="preserve">. 2. Hipótese em que o paciente objetiva  revogação de medidas protetivas de urgência deferidas e sucessivamente prorrogadas pelo Juízo singular, a despeito do arquivamento de inquérito policial instaurado para apurar potencial crime de ameaça, sob a alegação de ausência de risco concreto à ofendida. 3. Não há que se falar em patente constrangimento ilegal quando apresentada fundamentação idônea para o deferimento das medidas protetivas de urgência, evidenciada no risco à incolumidade da ofendida. As instâncias ordinárias assinalaram que tramita ação judicial de reconhecimento e dissolução de união estável e a partilha de bens oferecida pela suposta vítima contra o potencial ofensor e apontaram a necessidade concreta de se evitar desentendimentos e ameaças ao longo do processo. </w:t>
      </w:r>
      <w:r w:rsidRPr="00767FD8">
        <w:rPr>
          <w:rFonts w:ascii="Times New Roman" w:eastAsia="Times New Roman" w:hAnsi="Times New Roman" w:cs="Times New Roman"/>
          <w:b/>
          <w:spacing w:val="2"/>
          <w:sz w:val="20"/>
          <w:szCs w:val="30"/>
          <w:lang w:eastAsia="pt-BR"/>
        </w:rPr>
        <w:t>4. Inexistindo manifesta teratologia ou ilegalidade, não coaduna com a estreita via do habeas corpus, em razão da exigência de revolvimento do conteúdo fático-probatório, a análise das peculiaridades do caso concreto para fins de aferição da adequação e necessidade na manutenção das medidas protetivas de urgência deferidas pelo Juízo singular.</w:t>
      </w:r>
      <w:r w:rsidRPr="00767FD8">
        <w:rPr>
          <w:rFonts w:ascii="Times New Roman" w:eastAsia="Times New Roman" w:hAnsi="Times New Roman" w:cs="Times New Roman"/>
          <w:spacing w:val="2"/>
          <w:sz w:val="20"/>
          <w:szCs w:val="30"/>
          <w:lang w:eastAsia="pt-BR"/>
        </w:rPr>
        <w:t xml:space="preserve"> 5. A Quinta Turma do Superior Tribunal de Justiça, ao interpretar o regime jurídico de medidas dispostas na Lei Maria da Penha, por maioria, firmou orientação de que "[a]s medidas protetivas de urgência previstas nos incisos I, II e III do art. 22 da Lei Maria da Penha têm caráter eminentemente penal, porquanto restringem a liberdade de ir e vir do acusado, ao tempo em que tutelam os direitos fundamentais à vida e à integridade física e psíquica da vítima" ( REsp n. 2.009.402/GO, relator Ministro RIBEIRO DANTAS, em que fui relator para o acórdão, QUINTA TURMA, DJe de 18/11/2022). 6. A aplicação das medidas protetivas de urgência que obrigam o agressor dispostas no art. 22, incisos I, II e III, da Lei Maria da Penha implica uma dupla tutela ao disponibilizar à ofendida um meio célere de proteção própria, de familiares e testemunhas, bem como garantir ao potencial ofensor, caso queira, a possibilidade de se insurgir contra sua imposição ou manutenção </w:t>
      </w:r>
      <w:r w:rsidRPr="00767FD8">
        <w:rPr>
          <w:rFonts w:ascii="Times New Roman" w:eastAsia="Times New Roman" w:hAnsi="Times New Roman" w:cs="Times New Roman"/>
          <w:spacing w:val="2"/>
          <w:sz w:val="20"/>
          <w:szCs w:val="30"/>
          <w:lang w:eastAsia="pt-BR"/>
        </w:rPr>
        <w:lastRenderedPageBreak/>
        <w:t>sem que tenha que suportar os efeitos da revelia próprios ao processo civil. 7. Habeas Corpus não conhecido.</w:t>
      </w:r>
      <w:r>
        <w:rPr>
          <w:rFonts w:ascii="Times New Roman" w:eastAsia="Times New Roman" w:hAnsi="Times New Roman" w:cs="Times New Roman"/>
          <w:spacing w:val="2"/>
          <w:sz w:val="20"/>
          <w:szCs w:val="30"/>
          <w:lang w:eastAsia="pt-BR"/>
        </w:rPr>
        <w:t xml:space="preserve"> </w:t>
      </w:r>
      <w:r w:rsidRPr="00767FD8">
        <w:rPr>
          <w:rFonts w:ascii="Times New Roman" w:eastAsia="Times New Roman" w:hAnsi="Times New Roman" w:cs="Times New Roman"/>
          <w:spacing w:val="2"/>
          <w:sz w:val="20"/>
          <w:szCs w:val="30"/>
          <w:lang w:eastAsia="pt-BR"/>
        </w:rPr>
        <w:t>(STJ - HC: 762530 RS 2022/0247207-1, Data de Julgamento: 06/12/2022, T5 - QUINTA TURMA, Data de Publicação: DJe 16/12/2022)</w:t>
      </w:r>
    </w:p>
    <w:p w14:paraId="2C4C32CE" w14:textId="682FC506" w:rsidR="00767FD8" w:rsidRPr="00767FD8" w:rsidRDefault="00767FD8" w:rsidP="00767FD8">
      <w:pPr>
        <w:shd w:val="clear" w:color="auto" w:fill="FFFFFF"/>
        <w:spacing w:before="600" w:after="600" w:line="360" w:lineRule="auto"/>
        <w:ind w:left="2268"/>
        <w:jc w:val="both"/>
        <w:rPr>
          <w:rFonts w:ascii="Times New Roman" w:eastAsia="Times New Roman" w:hAnsi="Times New Roman" w:cs="Times New Roman"/>
          <w:spacing w:val="2"/>
          <w:sz w:val="20"/>
          <w:szCs w:val="30"/>
          <w:lang w:eastAsia="pt-BR"/>
        </w:rPr>
      </w:pPr>
      <w:r w:rsidRPr="00767FD8">
        <w:rPr>
          <w:rFonts w:ascii="Times New Roman" w:eastAsia="Times New Roman" w:hAnsi="Times New Roman" w:cs="Times New Roman"/>
          <w:spacing w:val="2"/>
          <w:sz w:val="20"/>
          <w:szCs w:val="30"/>
          <w:lang w:eastAsia="pt-BR"/>
        </w:rPr>
        <w:t>DIREITO PENAL E PROCESSUAL PENAL. HABEAS CORPUS CRIMINAL. MEDIDAS PROTETIVAS (ART. 24-A DA LEI 11.340/2006</w:t>
      </w:r>
      <w:r w:rsidRPr="004726EB">
        <w:rPr>
          <w:rFonts w:ascii="Times New Roman" w:eastAsia="Times New Roman" w:hAnsi="Times New Roman" w:cs="Times New Roman"/>
          <w:spacing w:val="2"/>
          <w:sz w:val="20"/>
          <w:szCs w:val="30"/>
          <w:lang w:eastAsia="pt-BR"/>
        </w:rPr>
        <w:t xml:space="preserve">). </w:t>
      </w:r>
      <w:r w:rsidRPr="004726EB">
        <w:rPr>
          <w:rFonts w:ascii="Times New Roman" w:eastAsia="Times New Roman" w:hAnsi="Times New Roman" w:cs="Times New Roman"/>
          <w:b/>
          <w:spacing w:val="2"/>
          <w:sz w:val="20"/>
          <w:szCs w:val="30"/>
          <w:lang w:eastAsia="pt-BR"/>
        </w:rPr>
        <w:t>PLEITO DE READEQUAÇÃO SOBRE MEDIDA PROTETIVA CONSISTENTE EM PROIBIÇÃO DE APROXIMAÇÃO DE DUZENTOS METROS</w:t>
      </w:r>
      <w:r w:rsidRPr="00767FD8">
        <w:rPr>
          <w:rFonts w:ascii="Times New Roman" w:eastAsia="Times New Roman" w:hAnsi="Times New Roman" w:cs="Times New Roman"/>
          <w:spacing w:val="2"/>
          <w:sz w:val="20"/>
          <w:szCs w:val="30"/>
          <w:lang w:eastAsia="pt-BR"/>
        </w:rPr>
        <w:t xml:space="preserve"> – PERDA DO OBJETO – PLEITO JÁ DEFERIDO PELO JUÍZO A QUO. AUSÊNCIA DE INTERESSE. ALEGAÇÃO DE CONSTRANGIMENTO ILEGAL PELA IMPOSIÇÃO DAS DEMAIS MEDIDAS PROTETIVAS, AS QUAIS OFENDERIAM O PRINCÍPIO DA PRESUNÇÃO DE INOCÊNCIA – INADIMISSIBILIDADE - INEXISTÊNCIA DE AMEAÇA CONCRETA E IMINENTE À LIBERDADE DE LOCOMOÇÃO. </w:t>
      </w:r>
      <w:r w:rsidRPr="004726EB">
        <w:rPr>
          <w:rFonts w:ascii="Times New Roman" w:eastAsia="Times New Roman" w:hAnsi="Times New Roman" w:cs="Times New Roman"/>
          <w:b/>
          <w:spacing w:val="2"/>
          <w:sz w:val="20"/>
          <w:szCs w:val="30"/>
          <w:lang w:eastAsia="pt-BR"/>
        </w:rPr>
        <w:t>REMÉDIO CONSTITUCIONAL UTILIZADO COMO SUBSTITUTO DO RECURSO CABÍVEL. VIA INADEQUADA. AUSÊNCIA DE ILEGALIDADE MANIFESTA A SER DECLARADA DE OFÍCIO. IMPOSSIBILIDADE DE UTILIZAÇÃO DO WRIT COMO SUCEDÂNEO RECURSAL</w:t>
      </w:r>
      <w:r w:rsidRPr="00767FD8">
        <w:rPr>
          <w:rFonts w:ascii="Times New Roman" w:eastAsia="Times New Roman" w:hAnsi="Times New Roman" w:cs="Times New Roman"/>
          <w:spacing w:val="2"/>
          <w:sz w:val="20"/>
          <w:szCs w:val="30"/>
          <w:lang w:eastAsia="pt-BR"/>
        </w:rPr>
        <w:t>. ORDEM NÃO CONHECIDA.</w:t>
      </w:r>
      <w:r>
        <w:rPr>
          <w:rFonts w:ascii="Times New Roman" w:eastAsia="Times New Roman" w:hAnsi="Times New Roman" w:cs="Times New Roman"/>
          <w:spacing w:val="2"/>
          <w:sz w:val="20"/>
          <w:szCs w:val="30"/>
          <w:lang w:eastAsia="pt-BR"/>
        </w:rPr>
        <w:t xml:space="preserve"> </w:t>
      </w:r>
      <w:r w:rsidRPr="00767FD8">
        <w:rPr>
          <w:rFonts w:ascii="Times New Roman" w:eastAsia="Times New Roman" w:hAnsi="Times New Roman" w:cs="Times New Roman"/>
          <w:spacing w:val="2"/>
          <w:sz w:val="20"/>
          <w:szCs w:val="30"/>
          <w:lang w:eastAsia="pt-BR"/>
        </w:rPr>
        <w:t>(TJPR - 1ª Câmara Criminal - 0084010-53.2023.8.16.0000 - Catanduvas -  Rel.: SUBSTITUTO HUMBERTO GONCALVES BRITO -  J. 02.12.2023)</w:t>
      </w:r>
    </w:p>
    <w:p w14:paraId="1E1B5A88" w14:textId="0B1CCBA2" w:rsidR="00767FD8" w:rsidRDefault="004726EB" w:rsidP="00767FD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Entrementes, inexiste demonstração de manifesta ilegalidade a ensejar constrangimento por indevida restrição da liberdade de locomoção a ser pronunciada de ofício.</w:t>
      </w:r>
    </w:p>
    <w:p w14:paraId="6ABCABD7" w14:textId="41EF5EBC" w:rsidR="004726EB" w:rsidRDefault="004726EB" w:rsidP="00767FD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As medidas protetivas fundamentam-se em fatos concretos e no temor da ofendida em relação à pessoa do acusado. Resultam, pois, configurados, ao menos em sede de exame superficial próprio do </w:t>
      </w:r>
      <w:r>
        <w:rPr>
          <w:rFonts w:ascii="Times New Roman" w:eastAsia="Times New Roman" w:hAnsi="Times New Roman" w:cs="Times New Roman"/>
          <w:bCs/>
          <w:i/>
          <w:sz w:val="24"/>
          <w:szCs w:val="24"/>
          <w:lang w:eastAsia="pt-BR"/>
        </w:rPr>
        <w:t xml:space="preserve">habeas corpus, </w:t>
      </w:r>
      <w:r>
        <w:rPr>
          <w:rFonts w:ascii="Times New Roman" w:eastAsia="Times New Roman" w:hAnsi="Times New Roman" w:cs="Times New Roman"/>
          <w:bCs/>
          <w:sz w:val="24"/>
          <w:szCs w:val="24"/>
          <w:lang w:eastAsia="pt-BR"/>
        </w:rPr>
        <w:t>os requisitos inscritos no artigo 22 da Lei 11.340 de 2006.</w:t>
      </w:r>
    </w:p>
    <w:p w14:paraId="6CFA1421" w14:textId="3AA10015" w:rsidR="004726EB" w:rsidRDefault="004726EB" w:rsidP="004726EB">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Tal inferência determina, nos termos do artigo 22, inciso III, alínea “c”, do referido diploma legal, aplicação das medidas de proteção para preservação da integridade física e psicológica da ofendida, até ulterior ultimação da cognição fática em via processual própria.</w:t>
      </w:r>
    </w:p>
    <w:p w14:paraId="6270A58F" w14:textId="77777777" w:rsidR="00500F1B" w:rsidRDefault="00500F1B"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5EA3A292" w14:textId="59BCC9FF" w:rsidR="003D389B" w:rsidRDefault="003D389B"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II.III – DA CONCLUSÃO</w:t>
      </w:r>
    </w:p>
    <w:p w14:paraId="3A9E1B05" w14:textId="482CFE07" w:rsidR="003D389B" w:rsidRDefault="00500F1B"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Ante o exposto, a solução a ser adotada consiste em não conhecer da presente ordem, nos termos da fundamentação.</w:t>
      </w:r>
    </w:p>
    <w:p w14:paraId="011A2618" w14:textId="323E9460" w:rsidR="00500F1B" w:rsidRDefault="00500F1B"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É como voto.</w:t>
      </w:r>
    </w:p>
    <w:p w14:paraId="25CEE358" w14:textId="77777777" w:rsidR="00500F1B" w:rsidRDefault="00500F1B"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35798B1F" w14:textId="31BEC36E" w:rsidR="00412E7C" w:rsidRPr="003D389B" w:rsidRDefault="003D389B" w:rsidP="003D389B">
      <w:pPr>
        <w:spacing w:before="240" w:after="240" w:line="360" w:lineRule="auto"/>
        <w:ind w:firstLine="709"/>
        <w:jc w:val="both"/>
        <w:rPr>
          <w:rFonts w:ascii="Times New Roman" w:eastAsia="Times New Roman" w:hAnsi="Times New Roman" w:cs="Times New Roman"/>
          <w:b/>
          <w:bCs/>
          <w:sz w:val="24"/>
          <w:szCs w:val="24"/>
          <w:lang w:eastAsia="pt-BR"/>
        </w:rPr>
      </w:pPr>
      <w:r w:rsidRPr="003D389B">
        <w:rPr>
          <w:rFonts w:ascii="Times New Roman" w:eastAsia="Times New Roman" w:hAnsi="Times New Roman" w:cs="Times New Roman"/>
          <w:b/>
          <w:bCs/>
          <w:sz w:val="24"/>
          <w:szCs w:val="24"/>
          <w:lang w:eastAsia="pt-BR"/>
        </w:rPr>
        <w:t>III – DECISÃO</w:t>
      </w:r>
      <w:bookmarkEnd w:id="0"/>
    </w:p>
    <w:sectPr w:rsidR="00412E7C" w:rsidRPr="003D389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D389B"/>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726EB"/>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0F1B"/>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16FE"/>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67FD8"/>
    <w:rsid w:val="00775668"/>
    <w:rsid w:val="00775A3B"/>
    <w:rsid w:val="00775B86"/>
    <w:rsid w:val="007775DF"/>
    <w:rsid w:val="007839E4"/>
    <w:rsid w:val="007857DD"/>
    <w:rsid w:val="00786FD9"/>
    <w:rsid w:val="007901E9"/>
    <w:rsid w:val="00790531"/>
    <w:rsid w:val="007920EB"/>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5175"/>
    <w:rsid w:val="00A559CE"/>
    <w:rsid w:val="00A56548"/>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6510293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473193-3CF7-4330-8DC8-F92149EEB795}">
  <ds:schemaRefs>
    <ds:schemaRef ds:uri="http://schemas.openxmlformats.org/officeDocument/2006/bibliography"/>
  </ds:schemaRefs>
</ds:datastoreItem>
</file>

<file path=customXml/itemProps2.xml><?xml version="1.0" encoding="utf-8"?>
<ds:datastoreItem xmlns:ds="http://schemas.openxmlformats.org/officeDocument/2006/customXml" ds:itemID="{C7F0B4A0-AD1E-41EB-9BDF-C712EC77E1F7}"/>
</file>

<file path=customXml/itemProps3.xml><?xml version="1.0" encoding="utf-8"?>
<ds:datastoreItem xmlns:ds="http://schemas.openxmlformats.org/officeDocument/2006/customXml" ds:itemID="{1ABED09C-FE04-441C-91A3-4A1ED970FBC7}"/>
</file>

<file path=customXml/itemProps4.xml><?xml version="1.0" encoding="utf-8"?>
<ds:datastoreItem xmlns:ds="http://schemas.openxmlformats.org/officeDocument/2006/customXml" ds:itemID="{110C9915-BD5B-44B5-B231-17FB9F68FA52}"/>
</file>

<file path=docProps/app.xml><?xml version="1.0" encoding="utf-8"?>
<Properties xmlns="http://schemas.openxmlformats.org/officeDocument/2006/extended-properties" xmlns:vt="http://schemas.openxmlformats.org/officeDocument/2006/docPropsVTypes">
  <Template>Normal</Template>
  <TotalTime>834</TotalTime>
  <Pages>5</Pages>
  <Words>1245</Words>
  <Characters>6725</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11</cp:revision>
  <cp:lastPrinted>2023-02-01T16:46:00Z</cp:lastPrinted>
  <dcterms:created xsi:type="dcterms:W3CDTF">2023-06-15T19:39:00Z</dcterms:created>
  <dcterms:modified xsi:type="dcterms:W3CDTF">2023-12-06T22:29:00Z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338000</vt:r8>
  </property>
</Properties>
</file>