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437584C" w14:textId="7D241185" w:rsidR="00721DF2" w:rsidRDefault="00721DF2" w:rsidP="00C0763E">
      <w:pPr>
        <w:spacing w:before="240" w:after="240" w:line="360" w:lineRule="auto"/>
        <w:ind w:firstLine="709"/>
        <w:jc w:val="both"/>
        <w:rPr>
          <w:rFonts w:ascii="Times New Roman" w:eastAsia="Times New Roman" w:hAnsi="Times New Roman" w:cs="Times New Roman"/>
          <w:b/>
          <w:sz w:val="24"/>
          <w:szCs w:val="24"/>
          <w:lang w:eastAsia="pt-BR"/>
        </w:rPr>
      </w:pPr>
      <w:r>
        <w:rPr>
          <w:rFonts w:ascii="Times New Roman" w:eastAsia="Times New Roman" w:hAnsi="Times New Roman" w:cs="Times New Roman"/>
          <w:b/>
          <w:sz w:val="24"/>
          <w:szCs w:val="24"/>
          <w:lang w:eastAsia="pt-BR"/>
        </w:rPr>
        <w:t>DIREITO PENAL E PROCESSUAL PENAL. RECURSO EM SENTIDO ESTRITO. RECEPTAÇÃO. ART. 180 DO CP. PRISÃO EM FLAGRANTE. LIBERDADE PROVISÓRIA CONCEDIDA EM AUDIÊNCIA DE CUSTÓDIA. MEDIDAS CAUTELARES ALTERNATIVAS. COMPARECIMENTO A TODOS OS ATOS DO PROCESSO, COMPARECIMENTO PERIÓDICO EM JUÍZO E TRATAMENTO PARA DEPENDÊNCIA QUÍMICA. RECURSO DO MINISTÉRIO PÚBLICO. DECRETAÇÃO DE PRISÃO PREVENTIVA. MÚLTIPLAS ANOTAÇÕES CRIMINAIS. REINCIDÊNCIA. FATO PRATICADO NA VIGÊNCIA DE LIBERDADE PROVISÓRIA CONCEDIDA EM PROCESO CRIMINAL ANTERIOR. RISCO CONCRETO DE REITERAÇÃO DELITIVA. DESCUMPRIMENTO DAS MEDIDAS ALTERNATIVAS. PERICULUM LIBERTATIS CONFIGURADO. RECURSO CONHECIDO E PROVIDO.</w:t>
      </w:r>
    </w:p>
    <w:p w14:paraId="01453D60" w14:textId="29B4BC84" w:rsidR="00C76EB3" w:rsidRDefault="00721DF2" w:rsidP="00C0763E">
      <w:pPr>
        <w:spacing w:before="240" w:after="240" w:line="360" w:lineRule="auto"/>
        <w:ind w:firstLine="709"/>
        <w:jc w:val="both"/>
        <w:rPr>
          <w:rFonts w:ascii="Times New Roman" w:eastAsia="Times New Roman" w:hAnsi="Times New Roman" w:cs="Times New Roman"/>
          <w:b/>
          <w:sz w:val="24"/>
          <w:szCs w:val="24"/>
          <w:lang w:eastAsia="pt-BR"/>
        </w:rPr>
      </w:pPr>
      <w:r>
        <w:rPr>
          <w:rFonts w:ascii="Times New Roman" w:eastAsia="Times New Roman" w:hAnsi="Times New Roman" w:cs="Times New Roman"/>
          <w:b/>
          <w:sz w:val="24"/>
          <w:szCs w:val="24"/>
          <w:lang w:eastAsia="pt-BR"/>
        </w:rPr>
        <w:t>1. A</w:t>
      </w:r>
      <w:r w:rsidRPr="00721DF2">
        <w:rPr>
          <w:rFonts w:ascii="Times New Roman" w:eastAsia="Times New Roman" w:hAnsi="Times New Roman" w:cs="Times New Roman"/>
          <w:b/>
          <w:sz w:val="24"/>
          <w:szCs w:val="24"/>
          <w:lang w:eastAsia="pt-BR"/>
        </w:rPr>
        <w:t xml:space="preserve"> preservação da ordem pública justifica a imposição da prisão preventiva quando o agente possuir maus antecedentes, reincidência, atos infracionais pretéritos, inquéritos ou mesmo ações penais em curso,</w:t>
      </w:r>
      <w:r w:rsidR="00C76EB3">
        <w:rPr>
          <w:rFonts w:ascii="Times New Roman" w:eastAsia="Times New Roman" w:hAnsi="Times New Roman" w:cs="Times New Roman"/>
          <w:b/>
          <w:sz w:val="24"/>
          <w:szCs w:val="24"/>
          <w:lang w:eastAsia="pt-BR"/>
        </w:rPr>
        <w:t xml:space="preserve"> circunstâncias indicativas de contumácia delitiva e, via de consequência, de sua periculosidade.</w:t>
      </w:r>
    </w:p>
    <w:p w14:paraId="15B0DDC3" w14:textId="08B5E90E" w:rsidR="00C76EB3" w:rsidRDefault="00C76EB3" w:rsidP="00C0763E">
      <w:pPr>
        <w:spacing w:before="240" w:after="240" w:line="360" w:lineRule="auto"/>
        <w:ind w:firstLine="709"/>
        <w:jc w:val="both"/>
        <w:rPr>
          <w:rFonts w:ascii="Times New Roman" w:eastAsia="Times New Roman" w:hAnsi="Times New Roman" w:cs="Times New Roman"/>
          <w:b/>
          <w:sz w:val="24"/>
          <w:szCs w:val="24"/>
          <w:lang w:eastAsia="pt-BR"/>
        </w:rPr>
      </w:pPr>
      <w:r>
        <w:rPr>
          <w:rFonts w:ascii="Times New Roman" w:eastAsia="Times New Roman" w:hAnsi="Times New Roman" w:cs="Times New Roman"/>
          <w:b/>
          <w:sz w:val="24"/>
          <w:szCs w:val="24"/>
          <w:lang w:eastAsia="pt-BR"/>
        </w:rPr>
        <w:t>2. O descumprimento de medida cautelar anteriormente imposta, por ocasião da concessão da liberdade provisória, é motivo legal para decretação da prisão preventiva.</w:t>
      </w:r>
    </w:p>
    <w:p w14:paraId="45BA735C" w14:textId="4BA73040" w:rsidR="00C76EB3" w:rsidRDefault="00C76EB3" w:rsidP="00C0763E">
      <w:pPr>
        <w:spacing w:before="240" w:after="240" w:line="360" w:lineRule="auto"/>
        <w:ind w:firstLine="709"/>
        <w:jc w:val="both"/>
        <w:rPr>
          <w:rFonts w:ascii="Times New Roman" w:eastAsia="Times New Roman" w:hAnsi="Times New Roman" w:cs="Times New Roman"/>
          <w:b/>
          <w:sz w:val="24"/>
          <w:szCs w:val="24"/>
          <w:lang w:eastAsia="pt-BR"/>
        </w:rPr>
      </w:pPr>
      <w:r>
        <w:rPr>
          <w:rFonts w:ascii="Times New Roman" w:eastAsia="Times New Roman" w:hAnsi="Times New Roman" w:cs="Times New Roman"/>
          <w:b/>
          <w:sz w:val="24"/>
          <w:szCs w:val="24"/>
          <w:lang w:eastAsia="pt-BR"/>
        </w:rPr>
        <w:t>3. Recurso conhecido e provido.</w:t>
      </w:r>
    </w:p>
    <w:p w14:paraId="6D38EF70" w14:textId="77777777" w:rsidR="00C76EB3" w:rsidRDefault="00C76EB3" w:rsidP="00C0763E">
      <w:pPr>
        <w:spacing w:before="240" w:after="240" w:line="360" w:lineRule="auto"/>
        <w:ind w:firstLine="709"/>
        <w:jc w:val="both"/>
        <w:rPr>
          <w:rFonts w:ascii="Roboto" w:hAnsi="Roboto"/>
          <w:sz w:val="21"/>
          <w:szCs w:val="21"/>
          <w:shd w:val="clear" w:color="auto" w:fill="FFFFFF"/>
        </w:rPr>
      </w:pPr>
    </w:p>
    <w:p w14:paraId="702E0484" w14:textId="67F2EB47" w:rsidR="00D74F23" w:rsidRPr="006D6364" w:rsidRDefault="00D74F23" w:rsidP="00C0763E">
      <w:pPr>
        <w:spacing w:before="240" w:after="240" w:line="360" w:lineRule="auto"/>
        <w:ind w:firstLine="709"/>
        <w:jc w:val="both"/>
        <w:rPr>
          <w:rFonts w:ascii="Times New Roman" w:eastAsia="Times New Roman" w:hAnsi="Times New Roman" w:cs="Times New Roman"/>
          <w:b/>
          <w:sz w:val="24"/>
          <w:szCs w:val="24"/>
          <w:lang w:eastAsia="pt-BR"/>
        </w:rPr>
      </w:pPr>
      <w:r w:rsidRPr="006D6364">
        <w:rPr>
          <w:rFonts w:ascii="Times New Roman" w:eastAsia="Times New Roman" w:hAnsi="Times New Roman" w:cs="Times New Roman"/>
          <w:b/>
          <w:sz w:val="24"/>
          <w:szCs w:val="24"/>
          <w:lang w:eastAsia="pt-BR"/>
        </w:rPr>
        <w:t>I – RELATÓRIO</w:t>
      </w:r>
    </w:p>
    <w:p w14:paraId="747E70A2" w14:textId="7DBEAE09" w:rsidR="006D6364" w:rsidRDefault="00C0763E" w:rsidP="00877694">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Cuida-se</w:t>
      </w:r>
      <w:r w:rsidR="006D6364">
        <w:rPr>
          <w:rFonts w:ascii="Times New Roman" w:eastAsia="Times New Roman" w:hAnsi="Times New Roman" w:cs="Times New Roman"/>
          <w:sz w:val="24"/>
          <w:szCs w:val="24"/>
          <w:lang w:eastAsia="pt-BR"/>
        </w:rPr>
        <w:t xml:space="preserve"> de recurso em sentido estrito interposto pelo Ministé</w:t>
      </w:r>
      <w:r w:rsidR="006E5FE4">
        <w:rPr>
          <w:rFonts w:ascii="Times New Roman" w:eastAsia="Times New Roman" w:hAnsi="Times New Roman" w:cs="Times New Roman"/>
          <w:sz w:val="24"/>
          <w:szCs w:val="24"/>
          <w:lang w:eastAsia="pt-BR"/>
        </w:rPr>
        <w:t>rio Público do Estado do Paraná, tendo como objeto decisão concessiva de liberdade provisória, que indeferiu requerimento de decretação de prisão preventiva (evento 18.1 – autos de origem).</w:t>
      </w:r>
    </w:p>
    <w:p w14:paraId="483F1EDC" w14:textId="440E2FF9" w:rsidR="006E5FE4" w:rsidRPr="000C4388" w:rsidRDefault="0072262E" w:rsidP="00877694">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Eis, em síntese, as razões de inconformismo: a) há suficiente prova da materialidade e indícios de autoria delitiva;</w:t>
      </w:r>
      <w:r w:rsidR="000C4388">
        <w:rPr>
          <w:rFonts w:ascii="Times New Roman" w:eastAsia="Times New Roman" w:hAnsi="Times New Roman" w:cs="Times New Roman"/>
          <w:sz w:val="24"/>
          <w:szCs w:val="24"/>
          <w:lang w:eastAsia="pt-BR"/>
        </w:rPr>
        <w:t xml:space="preserve"> b) os agentes possuem diversas anotações criminais e estão respondendo acusações, entre outros, por delitos patrimoniais da mesma espécie; c) as condições pessoais dos agentes denotam configuração do </w:t>
      </w:r>
      <w:r w:rsidR="000C4388">
        <w:rPr>
          <w:rFonts w:ascii="Times New Roman" w:eastAsia="Times New Roman" w:hAnsi="Times New Roman" w:cs="Times New Roman"/>
          <w:i/>
          <w:sz w:val="24"/>
          <w:szCs w:val="24"/>
          <w:lang w:eastAsia="pt-BR"/>
        </w:rPr>
        <w:t>periculum libertatis</w:t>
      </w:r>
      <w:r w:rsidR="000C4388">
        <w:rPr>
          <w:rFonts w:ascii="Times New Roman" w:eastAsia="Times New Roman" w:hAnsi="Times New Roman" w:cs="Times New Roman"/>
          <w:sz w:val="24"/>
          <w:szCs w:val="24"/>
          <w:lang w:eastAsia="pt-BR"/>
        </w:rPr>
        <w:t>, em razão do concreto risco de reiteração delitiva (evento 1.1 – autos de origem).</w:t>
      </w:r>
    </w:p>
    <w:p w14:paraId="0684BC23" w14:textId="166BA887" w:rsidR="0072262E" w:rsidRDefault="0072262E" w:rsidP="00877694">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Nas contrarrazões, a defesa sustentou que:</w:t>
      </w:r>
      <w:r w:rsidR="000C4388">
        <w:rPr>
          <w:rFonts w:ascii="Times New Roman" w:eastAsia="Times New Roman" w:hAnsi="Times New Roman" w:cs="Times New Roman"/>
          <w:sz w:val="24"/>
          <w:szCs w:val="24"/>
          <w:lang w:eastAsia="pt-BR"/>
        </w:rPr>
        <w:t xml:space="preserve"> a) o Órgão Ministerial não logrou demonstrar a imprescindibilidade da prisão, por insuficiência de medidas cautelares alternativas; b) </w:t>
      </w:r>
      <w:r w:rsidR="00A02641">
        <w:rPr>
          <w:rFonts w:ascii="Times New Roman" w:eastAsia="Times New Roman" w:hAnsi="Times New Roman" w:cs="Times New Roman"/>
          <w:sz w:val="24"/>
          <w:szCs w:val="24"/>
          <w:lang w:eastAsia="pt-BR"/>
        </w:rPr>
        <w:t>a medida cautelar de imposição de tratamento de toxicomania é suficiente para cessar o quadro clínico determinante da suposta periculosidade social invocada no pedido prisional (evento 12.1 – autos de origem).</w:t>
      </w:r>
    </w:p>
    <w:p w14:paraId="64DB92E0" w14:textId="688DCEF5" w:rsidR="0072262E" w:rsidRDefault="0072262E" w:rsidP="00877694">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Opinou a Procuradoria-Geral de Justiça pelo conhecimento e provimento de recurso, para decretação da prisão preventiva dos acusados (evento 13.1).</w:t>
      </w:r>
    </w:p>
    <w:p w14:paraId="120EB578" w14:textId="388FB01E" w:rsidR="00877694" w:rsidRDefault="00877694" w:rsidP="00877694">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É o necessário relato.</w:t>
      </w:r>
    </w:p>
    <w:p w14:paraId="334BCB6C" w14:textId="77777777" w:rsidR="006D6364" w:rsidRDefault="006D6364" w:rsidP="00877694">
      <w:pPr>
        <w:spacing w:before="240" w:after="240" w:line="360" w:lineRule="auto"/>
        <w:ind w:firstLine="709"/>
        <w:jc w:val="both"/>
        <w:rPr>
          <w:rFonts w:ascii="Times New Roman" w:eastAsia="Times New Roman" w:hAnsi="Times New Roman" w:cs="Times New Roman"/>
          <w:sz w:val="24"/>
          <w:szCs w:val="24"/>
          <w:lang w:eastAsia="pt-BR"/>
        </w:rPr>
      </w:pPr>
      <w:bookmarkStart w:id="0" w:name="_GoBack"/>
    </w:p>
    <w:p w14:paraId="5B3E7BDA" w14:textId="52C59B21" w:rsidR="00D74F23" w:rsidRPr="006E5FE4" w:rsidRDefault="00D74F23" w:rsidP="00C0763E">
      <w:pPr>
        <w:spacing w:before="240" w:after="240" w:line="360" w:lineRule="auto"/>
        <w:ind w:firstLine="709"/>
        <w:jc w:val="both"/>
        <w:rPr>
          <w:rFonts w:ascii="Times New Roman" w:eastAsia="Times New Roman" w:hAnsi="Times New Roman" w:cs="Times New Roman"/>
          <w:b/>
          <w:sz w:val="24"/>
          <w:szCs w:val="24"/>
          <w:lang w:eastAsia="pt-BR"/>
        </w:rPr>
      </w:pPr>
      <w:r w:rsidRPr="006E5FE4">
        <w:rPr>
          <w:rFonts w:ascii="Times New Roman" w:eastAsia="Times New Roman" w:hAnsi="Times New Roman" w:cs="Times New Roman"/>
          <w:b/>
          <w:sz w:val="24"/>
          <w:szCs w:val="24"/>
          <w:lang w:eastAsia="pt-BR"/>
        </w:rPr>
        <w:t>II – VOTO E SUA FUNDAMENTAÇÃO</w:t>
      </w:r>
    </w:p>
    <w:p w14:paraId="01DD35CE" w14:textId="5527378B" w:rsidR="006E5FE4" w:rsidRDefault="006E5FE4" w:rsidP="00C0763E">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II.I – DO JUÍZO DE ADMISSIBILIDADE</w:t>
      </w:r>
    </w:p>
    <w:p w14:paraId="5C8AA79C" w14:textId="3441EADC" w:rsidR="006E5FE4" w:rsidRDefault="006E5FE4" w:rsidP="006E5FE4">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 xml:space="preserve">Satisfeitos os pressupostos de admissibilidade, conhece-se do recurso interposto. </w:t>
      </w:r>
    </w:p>
    <w:p w14:paraId="5FDBC214" w14:textId="0CB15009" w:rsidR="006E5FE4" w:rsidRDefault="006E5FE4" w:rsidP="006E5FE4">
      <w:pPr>
        <w:spacing w:before="240" w:after="240" w:line="360" w:lineRule="auto"/>
        <w:ind w:firstLine="709"/>
        <w:jc w:val="both"/>
        <w:rPr>
          <w:rFonts w:ascii="Times New Roman" w:eastAsia="Times New Roman" w:hAnsi="Times New Roman" w:cs="Times New Roman"/>
          <w:sz w:val="24"/>
          <w:szCs w:val="24"/>
          <w:lang w:eastAsia="pt-BR"/>
        </w:rPr>
      </w:pPr>
    </w:p>
    <w:p w14:paraId="095829C9" w14:textId="7C1C21E3" w:rsidR="006E5FE4" w:rsidRDefault="006E5FE4" w:rsidP="006E5FE4">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II.II – DA PRISÃO PREVENTIVA</w:t>
      </w:r>
    </w:p>
    <w:p w14:paraId="3EAEBADE" w14:textId="7493030C" w:rsidR="00214756" w:rsidRDefault="00214756" w:rsidP="00214756">
      <w:pPr>
        <w:spacing w:before="240" w:after="240" w:line="360" w:lineRule="auto"/>
        <w:ind w:firstLine="709"/>
        <w:jc w:val="both"/>
        <w:rPr>
          <w:rFonts w:ascii="Times New Roman" w:eastAsia="Times New Roman" w:hAnsi="Times New Roman" w:cs="Times New Roman"/>
          <w:i/>
          <w:sz w:val="24"/>
          <w:szCs w:val="24"/>
          <w:lang w:eastAsia="pt-BR"/>
        </w:rPr>
      </w:pPr>
      <w:r>
        <w:rPr>
          <w:rFonts w:ascii="Times New Roman" w:eastAsia="Times New Roman" w:hAnsi="Times New Roman" w:cs="Times New Roman"/>
          <w:sz w:val="24"/>
          <w:szCs w:val="24"/>
          <w:lang w:eastAsia="pt-BR"/>
        </w:rPr>
        <w:t xml:space="preserve">Cinge-se a controvérsia recursal à configuração do </w:t>
      </w:r>
      <w:r w:rsidRPr="00214756">
        <w:rPr>
          <w:rFonts w:ascii="Times New Roman" w:eastAsia="Times New Roman" w:hAnsi="Times New Roman" w:cs="Times New Roman"/>
          <w:i/>
          <w:sz w:val="24"/>
          <w:szCs w:val="24"/>
          <w:lang w:eastAsia="pt-BR"/>
        </w:rPr>
        <w:t>periculum libertatis</w:t>
      </w:r>
      <w:r>
        <w:rPr>
          <w:rFonts w:ascii="Times New Roman" w:eastAsia="Times New Roman" w:hAnsi="Times New Roman" w:cs="Times New Roman"/>
          <w:sz w:val="24"/>
          <w:szCs w:val="24"/>
          <w:lang w:eastAsia="pt-BR"/>
        </w:rPr>
        <w:t xml:space="preserve">, requisito para decretação de prisão preventiva como medida destinada ao acautelamento da ordem </w:t>
      </w:r>
      <w:r>
        <w:rPr>
          <w:rFonts w:ascii="Times New Roman" w:eastAsia="Times New Roman" w:hAnsi="Times New Roman" w:cs="Times New Roman"/>
          <w:sz w:val="24"/>
          <w:szCs w:val="24"/>
          <w:lang w:eastAsia="pt-BR"/>
        </w:rPr>
        <w:lastRenderedPageBreak/>
        <w:t xml:space="preserve">pública. O Ministério Público argumenta, de um lado, a indispensabilidade da prisão. A defesa, de outro, sustenta a suficiência das medidas cautelares alternativas fixadas pelo juízo </w:t>
      </w:r>
      <w:r>
        <w:rPr>
          <w:rFonts w:ascii="Times New Roman" w:eastAsia="Times New Roman" w:hAnsi="Times New Roman" w:cs="Times New Roman"/>
          <w:i/>
          <w:sz w:val="24"/>
          <w:szCs w:val="24"/>
          <w:lang w:eastAsia="pt-BR"/>
        </w:rPr>
        <w:t>a quo.</w:t>
      </w:r>
    </w:p>
    <w:p w14:paraId="46E8E655" w14:textId="0E290D3F" w:rsidR="00214756" w:rsidRDefault="00214756" w:rsidP="00214756">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 xml:space="preserve">Infere-se dos autos que o imputados </w:t>
      </w:r>
      <w:r w:rsidR="0093354A">
        <w:rPr>
          <w:rFonts w:ascii="Times New Roman" w:eastAsia="Times New Roman" w:hAnsi="Times New Roman" w:cs="Times New Roman"/>
          <w:sz w:val="24"/>
          <w:szCs w:val="24"/>
          <w:lang w:eastAsia="pt-BR"/>
        </w:rPr>
        <w:t>Beatriz de Lima e Diego Marcondes foram presos em situação de flagrante delito, pela prática, em tese, da conduta capitulada no artigo 180, do Código Penal (evento 1.1 – autos de origem).</w:t>
      </w:r>
    </w:p>
    <w:p w14:paraId="06C5958E" w14:textId="796C0198" w:rsidR="00214756" w:rsidRDefault="0093354A" w:rsidP="006E5FE4">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Entrementes, como apontado pelo Ministério Público, Diego possui condenações transitadas em julgado pelos crimes de falsidade ideológica e roubo, possui diversas anotações criminais por jogo de azar, ameaça e posse de drogas para consumo pessoal, é investigado por suposto estupro de vulnerável e, sobretudo, encontra-se em situação de liberdade provisória em ação penal destinada à apuração de receptação (evento 12.1 – autos de origem).</w:t>
      </w:r>
    </w:p>
    <w:p w14:paraId="3F8625C5" w14:textId="49330C32" w:rsidR="0093354A" w:rsidRDefault="0093354A" w:rsidP="006E5FE4">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Beatriz, por sua vez,</w:t>
      </w:r>
      <w:r w:rsidR="00642C21">
        <w:rPr>
          <w:rFonts w:ascii="Times New Roman" w:eastAsia="Times New Roman" w:hAnsi="Times New Roman" w:cs="Times New Roman"/>
          <w:sz w:val="24"/>
          <w:szCs w:val="24"/>
          <w:lang w:eastAsia="pt-BR"/>
        </w:rPr>
        <w:t xml:space="preserve"> embora tecnicamente primária, responde ação penal por tráfico de drogas, é investigada por receptação e possui outras anotações por ameaça e violação de domicílio (evento 13.1 – autos de origem).</w:t>
      </w:r>
    </w:p>
    <w:p w14:paraId="5C097818" w14:textId="099DA748" w:rsidR="00642C21" w:rsidRDefault="00642C21" w:rsidP="00642C21">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A multiplicidade de anotações criminais, inclusive por fatos recentes, configura risco concreto de reiter</w:t>
      </w:r>
      <w:r w:rsidR="001067E1">
        <w:rPr>
          <w:rFonts w:ascii="Times New Roman" w:eastAsia="Times New Roman" w:hAnsi="Times New Roman" w:cs="Times New Roman"/>
          <w:sz w:val="24"/>
          <w:szCs w:val="24"/>
          <w:lang w:eastAsia="pt-BR"/>
        </w:rPr>
        <w:t>ação delitiva a ensejar aplicação de medica cautelar corpórea para acautelamento da ordem pública.</w:t>
      </w:r>
    </w:p>
    <w:p w14:paraId="13881C61" w14:textId="6135EDA4" w:rsidR="00642C21" w:rsidRDefault="00642C21" w:rsidP="00642C21">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 xml:space="preserve">Sobre o tema: </w:t>
      </w:r>
    </w:p>
    <w:p w14:paraId="78E106BD" w14:textId="06240987" w:rsidR="00642C21" w:rsidRDefault="00642C21" w:rsidP="00642C21">
      <w:pPr>
        <w:spacing w:before="600" w:after="600" w:line="360" w:lineRule="auto"/>
        <w:ind w:left="2268"/>
        <w:jc w:val="both"/>
        <w:rPr>
          <w:rFonts w:ascii="Times New Roman" w:eastAsia="Times New Roman" w:hAnsi="Times New Roman" w:cs="Times New Roman"/>
          <w:sz w:val="20"/>
          <w:szCs w:val="24"/>
          <w:lang w:eastAsia="pt-BR"/>
        </w:rPr>
      </w:pPr>
      <w:r w:rsidRPr="00642C21">
        <w:rPr>
          <w:rFonts w:ascii="Times New Roman" w:eastAsia="Times New Roman" w:hAnsi="Times New Roman" w:cs="Times New Roman"/>
          <w:sz w:val="20"/>
          <w:szCs w:val="24"/>
          <w:lang w:eastAsia="pt-BR"/>
        </w:rPr>
        <w:t xml:space="preserve">RECURSO EM SENTIDO ESTRITO. RECEPTAÇÃO. PEDIDO DE DECRETAÇÃO DE PRISÃO PREVENTIVA. PRESENÇA DE INDÍCIOS SUFICIENTES DE AUTORIA E PROVA DA MATERIALIDADE. </w:t>
      </w:r>
      <w:r w:rsidRPr="00642C21">
        <w:rPr>
          <w:rFonts w:ascii="Times New Roman" w:eastAsia="Times New Roman" w:hAnsi="Times New Roman" w:cs="Times New Roman"/>
          <w:b/>
          <w:sz w:val="20"/>
          <w:szCs w:val="24"/>
          <w:lang w:eastAsia="pt-BR"/>
        </w:rPr>
        <w:t>CUSTÓDIA CAUTELAR NECESSÁRIA PARA GARANTIA DA ORDEM PÚBLICA. EXISTÊNCIA DE ANOTAÇÕES CRIMINAIS. REINCIDÊNCIA VERIFICADA. RISCO DE REITERAÇÃO DELITIVA. CONTEMPORANEIDADE CARACTERIZADA</w:t>
      </w:r>
      <w:r w:rsidRPr="00642C21">
        <w:rPr>
          <w:rFonts w:ascii="Times New Roman" w:eastAsia="Times New Roman" w:hAnsi="Times New Roman" w:cs="Times New Roman"/>
          <w:sz w:val="20"/>
          <w:szCs w:val="24"/>
          <w:lang w:eastAsia="pt-BR"/>
        </w:rPr>
        <w:t>. CRIME PRATICADO DURANTE A EXECUÇÃO DE PENA. MEDIDAS CAUTELARES DIVERSAS. INEFICÁCIA. RECURSO CONHECIDO E PROVIDO.</w:t>
      </w:r>
      <w:r>
        <w:rPr>
          <w:rFonts w:ascii="Times New Roman" w:eastAsia="Times New Roman" w:hAnsi="Times New Roman" w:cs="Times New Roman"/>
          <w:sz w:val="20"/>
          <w:szCs w:val="24"/>
          <w:lang w:eastAsia="pt-BR"/>
        </w:rPr>
        <w:t xml:space="preserve"> </w:t>
      </w:r>
      <w:r w:rsidRPr="00642C21">
        <w:rPr>
          <w:rFonts w:ascii="Times New Roman" w:eastAsia="Times New Roman" w:hAnsi="Times New Roman" w:cs="Times New Roman"/>
          <w:sz w:val="20"/>
          <w:szCs w:val="24"/>
          <w:lang w:eastAsia="pt-BR"/>
        </w:rPr>
        <w:t>(TJPR - 5ª Câmara Criminal - 0003152-74.2023.8.16.0084 [0001403-22.2023.8.16.0084/0] - Goioerê -  Rel.: SUBSTITUTO DELCIO MIRANDA DA ROCHA -  J. 21.10.2023)</w:t>
      </w:r>
    </w:p>
    <w:p w14:paraId="2F8E29B4" w14:textId="3203C9E0" w:rsidR="00642C21" w:rsidRDefault="00642C21" w:rsidP="00642C21">
      <w:pPr>
        <w:spacing w:before="600" w:after="600" w:line="360" w:lineRule="auto"/>
        <w:ind w:left="2268"/>
        <w:jc w:val="both"/>
        <w:rPr>
          <w:rFonts w:ascii="Times New Roman" w:eastAsia="Times New Roman" w:hAnsi="Times New Roman" w:cs="Times New Roman"/>
          <w:sz w:val="20"/>
          <w:szCs w:val="24"/>
          <w:lang w:eastAsia="pt-BR"/>
        </w:rPr>
      </w:pPr>
      <w:r w:rsidRPr="00642C21">
        <w:rPr>
          <w:rFonts w:ascii="Times New Roman" w:eastAsia="Times New Roman" w:hAnsi="Times New Roman" w:cs="Times New Roman"/>
          <w:sz w:val="20"/>
          <w:szCs w:val="24"/>
          <w:lang w:eastAsia="pt-BR"/>
        </w:rPr>
        <w:lastRenderedPageBreak/>
        <w:t>HABEAS CORPUS. CRIMES</w:t>
      </w:r>
      <w:r>
        <w:rPr>
          <w:rFonts w:ascii="Times New Roman" w:eastAsia="Times New Roman" w:hAnsi="Times New Roman" w:cs="Times New Roman"/>
          <w:sz w:val="20"/>
          <w:szCs w:val="24"/>
          <w:lang w:eastAsia="pt-BR"/>
        </w:rPr>
        <w:t xml:space="preserve"> </w:t>
      </w:r>
      <w:r w:rsidRPr="00642C21">
        <w:rPr>
          <w:rFonts w:ascii="Times New Roman" w:eastAsia="Times New Roman" w:hAnsi="Times New Roman" w:cs="Times New Roman"/>
          <w:sz w:val="20"/>
          <w:szCs w:val="24"/>
          <w:lang w:eastAsia="pt-BR"/>
        </w:rPr>
        <w:t xml:space="preserve">DE ESTUPRO DE VULNERÁVEL. ART. 217-A, CAPUT, DO CÓDIGO PENAL. PEDIDO DE RECONHECIMENTO DE NULIDADE DO INTERROGATÓRIO NÃO CONHECIDO. SUPRESSÃO DE INSTÂNCIA. PEDIDO DE REVOGAÇÃO DA PRISÃO PREVENTIVA NÃO ACOLHIDO. MATERIALIDADE E INDÍCIOS SUFICIENTES DE AUTORIA. GRAVIDADE CONCRETA DA CONDUTA E PERICULOSIDADE DO AGENTE EVIDENCIADAS PELAS CIRCUNSTÂNCIAS DA AÇÃO DELITUOSA. PACIENTE QUE SUPOSTAMENTE SE APROVEITOU DE CARGO EM ORGANIZAÇÃO RELIGIOSA E DA CONFIANÇA DA FAMÍLIA DA VÍTIMA PARA PRATICAR OS CRIMES. VÍTIMA QUE RELATOU AMEAÇAS PARA NÃO COMUNICAR OS FATOS. PERICULOSIDADE ACENTUADA QUE AUTORIZA A DECRETAÇÃO DA PRISÃO. PRECEDENTES DO STJ. </w:t>
      </w:r>
      <w:r w:rsidRPr="00642C21">
        <w:rPr>
          <w:rFonts w:ascii="Times New Roman" w:eastAsia="Times New Roman" w:hAnsi="Times New Roman" w:cs="Times New Roman"/>
          <w:b/>
          <w:sz w:val="20"/>
          <w:szCs w:val="24"/>
          <w:lang w:eastAsia="pt-BR"/>
        </w:rPr>
        <w:t>RISCO CONCRETO DE REITERAÇÃO DELITIVA TAMBÉM EVIDENCIADO. EXISTÊNCIA DE OUTRAS ANOTAÇÕES CRIMINAIS E REGISTRO RECENTE DE BOLETIM DE OCORRÊNCIA POR CRIME DA MESMA NATUREZA</w:t>
      </w:r>
      <w:r w:rsidRPr="00642C21">
        <w:rPr>
          <w:rFonts w:ascii="Times New Roman" w:eastAsia="Times New Roman" w:hAnsi="Times New Roman" w:cs="Times New Roman"/>
          <w:sz w:val="20"/>
          <w:szCs w:val="24"/>
          <w:lang w:eastAsia="pt-BR"/>
        </w:rPr>
        <w:t xml:space="preserve">. TESE DE INOCÊNCIA QUE DEVERÁ SER ANALISADA PELO JUÍZO CRIMINAL APÓS A INSTRUÇÃO PROBATÓRIA. </w:t>
      </w:r>
      <w:r w:rsidRPr="00642C21">
        <w:rPr>
          <w:rFonts w:ascii="Times New Roman" w:eastAsia="Times New Roman" w:hAnsi="Times New Roman" w:cs="Times New Roman"/>
          <w:b/>
          <w:sz w:val="20"/>
          <w:szCs w:val="24"/>
          <w:lang w:eastAsia="pt-BR"/>
        </w:rPr>
        <w:t>CONDIÇÕES PESSOAIS INSUFICIENTES PARA AFASTAR A NECESSIDADE DA ULTIMA RATIO. MEDIDAS CAUTELARES ALTERNATIVAS INADEQUADAS. ORDEM PARCIALMENTE CONHECIDA E, NESTA EXTENSÃO, DENEGADA</w:t>
      </w:r>
      <w:r w:rsidRPr="00642C21">
        <w:rPr>
          <w:rFonts w:ascii="Times New Roman" w:eastAsia="Times New Roman" w:hAnsi="Times New Roman" w:cs="Times New Roman"/>
          <w:sz w:val="20"/>
          <w:szCs w:val="24"/>
          <w:lang w:eastAsia="pt-BR"/>
        </w:rPr>
        <w:t>.</w:t>
      </w:r>
      <w:r>
        <w:rPr>
          <w:rFonts w:ascii="Times New Roman" w:eastAsia="Times New Roman" w:hAnsi="Times New Roman" w:cs="Times New Roman"/>
          <w:sz w:val="20"/>
          <w:szCs w:val="24"/>
          <w:lang w:eastAsia="pt-BR"/>
        </w:rPr>
        <w:t xml:space="preserve"> </w:t>
      </w:r>
      <w:r w:rsidRPr="00642C21">
        <w:rPr>
          <w:rFonts w:ascii="Times New Roman" w:eastAsia="Times New Roman" w:hAnsi="Times New Roman" w:cs="Times New Roman"/>
          <w:sz w:val="20"/>
          <w:szCs w:val="24"/>
          <w:lang w:eastAsia="pt-BR"/>
        </w:rPr>
        <w:t>(TJPR - 3ª Câmara Criminal - 0091332-27.2023.8.16.0000 - Palotina -  Rel.: DESEMBARGADOR MARIO NINI AZZOLINI -  J. 30.10.2023)</w:t>
      </w:r>
    </w:p>
    <w:p w14:paraId="7E36CA0F" w14:textId="5BB4FBF7" w:rsidR="00642C21" w:rsidRPr="00642C21" w:rsidRDefault="00642C21" w:rsidP="00642C21">
      <w:pPr>
        <w:spacing w:before="600" w:after="600" w:line="360" w:lineRule="auto"/>
        <w:ind w:left="2268"/>
        <w:jc w:val="both"/>
        <w:rPr>
          <w:rFonts w:ascii="Times New Roman" w:eastAsia="Times New Roman" w:hAnsi="Times New Roman" w:cs="Times New Roman"/>
          <w:sz w:val="20"/>
          <w:szCs w:val="24"/>
          <w:lang w:eastAsia="pt-BR"/>
        </w:rPr>
      </w:pPr>
      <w:r>
        <w:rPr>
          <w:rFonts w:ascii="Times New Roman" w:eastAsia="Times New Roman" w:hAnsi="Times New Roman" w:cs="Times New Roman"/>
          <w:sz w:val="20"/>
          <w:szCs w:val="24"/>
          <w:lang w:eastAsia="pt-BR"/>
        </w:rPr>
        <w:t>HABEAS CORPUS CRIME</w:t>
      </w:r>
      <w:r w:rsidRPr="00642C21">
        <w:rPr>
          <w:rFonts w:ascii="Times New Roman" w:eastAsia="Times New Roman" w:hAnsi="Times New Roman" w:cs="Times New Roman"/>
          <w:sz w:val="20"/>
          <w:szCs w:val="24"/>
          <w:lang w:eastAsia="pt-BR"/>
        </w:rPr>
        <w:t xml:space="preserve"> – </w:t>
      </w:r>
      <w:r>
        <w:rPr>
          <w:rFonts w:ascii="Times New Roman" w:eastAsia="Times New Roman" w:hAnsi="Times New Roman" w:cs="Times New Roman"/>
          <w:sz w:val="20"/>
          <w:szCs w:val="24"/>
          <w:lang w:eastAsia="pt-BR"/>
        </w:rPr>
        <w:t xml:space="preserve">VIOLÊNCIA DOMÉSTICA </w:t>
      </w:r>
      <w:r w:rsidRPr="00642C21">
        <w:rPr>
          <w:rFonts w:ascii="Times New Roman" w:eastAsia="Times New Roman" w:hAnsi="Times New Roman" w:cs="Times New Roman"/>
          <w:sz w:val="20"/>
          <w:szCs w:val="24"/>
          <w:lang w:eastAsia="pt-BR"/>
        </w:rPr>
        <w:t>– DESCUMPRIMENTO DE MEDIDA PROTETIVA FACE A MENOR DE IDADE – ART. 25 DA LEI 14.344/22 –</w:t>
      </w:r>
      <w:r>
        <w:rPr>
          <w:rFonts w:ascii="Times New Roman" w:eastAsia="Times New Roman" w:hAnsi="Times New Roman" w:cs="Times New Roman"/>
          <w:sz w:val="20"/>
          <w:szCs w:val="24"/>
          <w:lang w:eastAsia="pt-BR"/>
        </w:rPr>
        <w:t xml:space="preserve"> INSURGÊNCIA DA DEFESA </w:t>
      </w:r>
      <w:r w:rsidRPr="00642C21">
        <w:rPr>
          <w:rFonts w:ascii="Times New Roman" w:eastAsia="Times New Roman" w:hAnsi="Times New Roman" w:cs="Times New Roman"/>
          <w:sz w:val="20"/>
          <w:szCs w:val="24"/>
          <w:lang w:eastAsia="pt-BR"/>
        </w:rPr>
        <w:t>–</w:t>
      </w:r>
      <w:r>
        <w:rPr>
          <w:rFonts w:ascii="Times New Roman" w:eastAsia="Times New Roman" w:hAnsi="Times New Roman" w:cs="Times New Roman"/>
          <w:sz w:val="20"/>
          <w:szCs w:val="24"/>
          <w:lang w:eastAsia="pt-BR"/>
        </w:rPr>
        <w:t xml:space="preserve"> REVOGAÇÃO DA PRISÃO PREVENTIVA – FUMUS COMISSI DELICTI E PERICULUM LIBERTATIS DEVIDAMENTE COMPROVADOS – REQUISITOS DA PRISÃO PREVENTIVA QUE SE MOSTRAM PRESENTES – RISCO DE REITERAÇÃO DELITIVA – </w:t>
      </w:r>
      <w:r w:rsidRPr="001067E1">
        <w:rPr>
          <w:rFonts w:ascii="Times New Roman" w:eastAsia="Times New Roman" w:hAnsi="Times New Roman" w:cs="Times New Roman"/>
          <w:b/>
          <w:sz w:val="20"/>
          <w:szCs w:val="24"/>
          <w:lang w:eastAsia="pt-BR"/>
        </w:rPr>
        <w:t>PACIENTE COM ANOTAÇÕES CRIMINAIS – GRAVIDADE CONCRETA DA CONDUTA – AUSÊNCIA DE FREIOS INIBITÓRIOS</w:t>
      </w:r>
      <w:r>
        <w:rPr>
          <w:rFonts w:ascii="Times New Roman" w:eastAsia="Times New Roman" w:hAnsi="Times New Roman" w:cs="Times New Roman"/>
          <w:sz w:val="20"/>
          <w:szCs w:val="24"/>
          <w:lang w:eastAsia="pt-BR"/>
        </w:rPr>
        <w:t xml:space="preserve"> – MANUTENÇÃO NECESSÁRIA PARA SALVAGUARDAR A INTEGRIDADE FÍSICA E PSICOLÓGICA DA VÍTIMA </w:t>
      </w:r>
      <w:r w:rsidRPr="00642C21">
        <w:rPr>
          <w:rFonts w:ascii="Times New Roman" w:eastAsia="Times New Roman" w:hAnsi="Times New Roman" w:cs="Times New Roman"/>
          <w:sz w:val="20"/>
          <w:szCs w:val="24"/>
          <w:lang w:eastAsia="pt-BR"/>
        </w:rPr>
        <w:t xml:space="preserve">– CONSTRANGIMENTO ILEGAL NÃO CONFIGURADO – </w:t>
      </w:r>
      <w:r>
        <w:rPr>
          <w:rFonts w:ascii="Times New Roman" w:eastAsia="Times New Roman" w:hAnsi="Times New Roman" w:cs="Times New Roman"/>
          <w:sz w:val="20"/>
          <w:szCs w:val="24"/>
          <w:lang w:eastAsia="pt-BR"/>
        </w:rPr>
        <w:t>PRISÃO PREVENTIVA MANTIDA – ORDEM DENEGADA</w:t>
      </w:r>
      <w:r w:rsidRPr="00642C21">
        <w:rPr>
          <w:rFonts w:ascii="Times New Roman" w:eastAsia="Times New Roman" w:hAnsi="Times New Roman" w:cs="Times New Roman"/>
          <w:sz w:val="20"/>
          <w:szCs w:val="24"/>
          <w:lang w:eastAsia="pt-BR"/>
        </w:rPr>
        <w:t>.</w:t>
      </w:r>
      <w:r>
        <w:rPr>
          <w:rFonts w:ascii="Times New Roman" w:eastAsia="Times New Roman" w:hAnsi="Times New Roman" w:cs="Times New Roman"/>
          <w:sz w:val="20"/>
          <w:szCs w:val="24"/>
          <w:lang w:eastAsia="pt-BR"/>
        </w:rPr>
        <w:t xml:space="preserve"> </w:t>
      </w:r>
      <w:r w:rsidRPr="00642C21">
        <w:rPr>
          <w:rFonts w:ascii="Times New Roman" w:eastAsia="Times New Roman" w:hAnsi="Times New Roman" w:cs="Times New Roman"/>
          <w:sz w:val="20"/>
          <w:szCs w:val="24"/>
          <w:lang w:eastAsia="pt-BR"/>
        </w:rPr>
        <w:t xml:space="preserve">(TJPR - 1ª Câmara </w:t>
      </w:r>
      <w:r w:rsidRPr="00642C21">
        <w:rPr>
          <w:rFonts w:ascii="Times New Roman" w:eastAsia="Times New Roman" w:hAnsi="Times New Roman" w:cs="Times New Roman"/>
          <w:sz w:val="20"/>
          <w:szCs w:val="24"/>
          <w:lang w:eastAsia="pt-BR"/>
        </w:rPr>
        <w:lastRenderedPageBreak/>
        <w:t>Criminal - 0080500-32.2023.8.16.0000 - Colorado -  Rel.: SUBSTITUTO SERGIO LUIZ PATITUCCI -  J. 07.10.2023)</w:t>
      </w:r>
    </w:p>
    <w:p w14:paraId="52487A03" w14:textId="432697AE" w:rsidR="00642C21" w:rsidRDefault="001067E1" w:rsidP="006E5FE4">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Ademais, colhe-se dos autos de origem que os agentes não cumpriram a medida cautelar de comparecimento periódico em juízo (evento 72.1 – autos de origem) e sequer comprovaram submissão a tratamento ambulatorial da dependência química.</w:t>
      </w:r>
    </w:p>
    <w:p w14:paraId="3BDE88D1" w14:textId="59EB8673" w:rsidR="00721DF2" w:rsidRDefault="001067E1" w:rsidP="00507B84">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 xml:space="preserve">Referia constatação, em cotejo com multiplicidade de anotações criminais, </w:t>
      </w:r>
      <w:r w:rsidR="00721DF2">
        <w:rPr>
          <w:rFonts w:ascii="Times New Roman" w:eastAsia="Times New Roman" w:hAnsi="Times New Roman" w:cs="Times New Roman"/>
          <w:sz w:val="24"/>
          <w:szCs w:val="24"/>
          <w:lang w:eastAsia="pt-BR"/>
        </w:rPr>
        <w:t xml:space="preserve">ao passo em que reafirma a necessidade e adequação da prisão, </w:t>
      </w:r>
      <w:r>
        <w:rPr>
          <w:rFonts w:ascii="Times New Roman" w:eastAsia="Times New Roman" w:hAnsi="Times New Roman" w:cs="Times New Roman"/>
          <w:sz w:val="24"/>
          <w:szCs w:val="24"/>
          <w:lang w:eastAsia="pt-BR"/>
        </w:rPr>
        <w:t xml:space="preserve">assenta a mais absoluta insuficiência das medidas cautelares </w:t>
      </w:r>
      <w:r w:rsidR="00507B84">
        <w:rPr>
          <w:rFonts w:ascii="Times New Roman" w:eastAsia="Times New Roman" w:hAnsi="Times New Roman" w:cs="Times New Roman"/>
          <w:sz w:val="24"/>
          <w:szCs w:val="24"/>
          <w:lang w:eastAsia="pt-BR"/>
        </w:rPr>
        <w:t>alternativas outrora fi</w:t>
      </w:r>
      <w:r w:rsidR="00721DF2">
        <w:rPr>
          <w:rFonts w:ascii="Times New Roman" w:eastAsia="Times New Roman" w:hAnsi="Times New Roman" w:cs="Times New Roman"/>
          <w:sz w:val="24"/>
          <w:szCs w:val="24"/>
          <w:lang w:eastAsia="pt-BR"/>
        </w:rPr>
        <w:t xml:space="preserve">xadas (CPP, art. </w:t>
      </w:r>
      <w:r w:rsidR="00C76EB3">
        <w:rPr>
          <w:rFonts w:ascii="Times New Roman" w:eastAsia="Times New Roman" w:hAnsi="Times New Roman" w:cs="Times New Roman"/>
          <w:sz w:val="24"/>
          <w:szCs w:val="24"/>
          <w:lang w:eastAsia="pt-BR"/>
        </w:rPr>
        <w:t>282, § 4º</w:t>
      </w:r>
      <w:r w:rsidR="00721DF2">
        <w:rPr>
          <w:rFonts w:ascii="Times New Roman" w:eastAsia="Times New Roman" w:hAnsi="Times New Roman" w:cs="Times New Roman"/>
          <w:sz w:val="24"/>
          <w:szCs w:val="24"/>
          <w:lang w:eastAsia="pt-BR"/>
        </w:rPr>
        <w:t>).</w:t>
      </w:r>
    </w:p>
    <w:p w14:paraId="0FE2F5E5" w14:textId="76F66603" w:rsidR="00507B84" w:rsidRDefault="00507B84" w:rsidP="00507B84">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 xml:space="preserve">Os precedentes desta Corte Paranaense </w:t>
      </w:r>
      <w:r w:rsidR="00C76EB3">
        <w:rPr>
          <w:rFonts w:ascii="Times New Roman" w:eastAsia="Times New Roman" w:hAnsi="Times New Roman" w:cs="Times New Roman"/>
          <w:sz w:val="24"/>
          <w:szCs w:val="24"/>
          <w:lang w:eastAsia="pt-BR"/>
        </w:rPr>
        <w:t xml:space="preserve">e do Superior Tribunal de Justiça </w:t>
      </w:r>
      <w:r>
        <w:rPr>
          <w:rFonts w:ascii="Times New Roman" w:eastAsia="Times New Roman" w:hAnsi="Times New Roman" w:cs="Times New Roman"/>
          <w:sz w:val="24"/>
          <w:szCs w:val="24"/>
          <w:lang w:eastAsia="pt-BR"/>
        </w:rPr>
        <w:t xml:space="preserve">reconhecem o descumprimento de medidas cautelares alternativas como fator suficiente à revogação da liberdade provisória e </w:t>
      </w:r>
      <w:r w:rsidR="00721DF2">
        <w:rPr>
          <w:rFonts w:ascii="Times New Roman" w:eastAsia="Times New Roman" w:hAnsi="Times New Roman" w:cs="Times New Roman"/>
          <w:sz w:val="24"/>
          <w:szCs w:val="24"/>
          <w:lang w:eastAsia="pt-BR"/>
        </w:rPr>
        <w:t>consequente decretação de prisão preventiva.</w:t>
      </w:r>
    </w:p>
    <w:p w14:paraId="43285AB9" w14:textId="1CA22881" w:rsidR="00721DF2" w:rsidRPr="00721DF2" w:rsidRDefault="00721DF2" w:rsidP="00507B84">
      <w:pPr>
        <w:spacing w:before="240" w:after="240" w:line="360" w:lineRule="auto"/>
        <w:ind w:firstLine="709"/>
        <w:jc w:val="both"/>
        <w:rPr>
          <w:rFonts w:ascii="Times New Roman" w:eastAsia="Times New Roman" w:hAnsi="Times New Roman" w:cs="Times New Roman"/>
          <w:i/>
          <w:sz w:val="24"/>
          <w:szCs w:val="24"/>
          <w:lang w:eastAsia="pt-BR"/>
        </w:rPr>
      </w:pPr>
      <w:r>
        <w:rPr>
          <w:rFonts w:ascii="Times New Roman" w:eastAsia="Times New Roman" w:hAnsi="Times New Roman" w:cs="Times New Roman"/>
          <w:i/>
          <w:sz w:val="24"/>
          <w:szCs w:val="24"/>
          <w:lang w:eastAsia="pt-BR"/>
        </w:rPr>
        <w:t>In verbis</w:t>
      </w:r>
      <w:r>
        <w:rPr>
          <w:rFonts w:ascii="Times New Roman" w:eastAsia="Times New Roman" w:hAnsi="Times New Roman" w:cs="Times New Roman"/>
          <w:sz w:val="24"/>
          <w:szCs w:val="24"/>
          <w:lang w:eastAsia="pt-BR"/>
        </w:rPr>
        <w:t>:</w:t>
      </w:r>
    </w:p>
    <w:p w14:paraId="37423A6E" w14:textId="65B489E8" w:rsidR="00507B84" w:rsidRDefault="00507B84" w:rsidP="00507B84">
      <w:pPr>
        <w:spacing w:before="600" w:after="600" w:line="360" w:lineRule="auto"/>
        <w:ind w:left="2268"/>
        <w:jc w:val="both"/>
        <w:rPr>
          <w:rFonts w:ascii="Times New Roman" w:eastAsia="Times New Roman" w:hAnsi="Times New Roman" w:cs="Times New Roman"/>
          <w:sz w:val="20"/>
          <w:szCs w:val="24"/>
          <w:lang w:eastAsia="pt-BR"/>
        </w:rPr>
      </w:pPr>
      <w:r w:rsidRPr="00507B84">
        <w:rPr>
          <w:rFonts w:ascii="Times New Roman" w:eastAsia="Times New Roman" w:hAnsi="Times New Roman" w:cs="Times New Roman"/>
          <w:sz w:val="20"/>
          <w:szCs w:val="24"/>
          <w:lang w:eastAsia="pt-BR"/>
        </w:rPr>
        <w:t xml:space="preserve">RECURSO EM SENTIDO ESTRITO. TRÁFICO ILÍCITO DE DROGAS (ARTIGO 33, CAPUT, DA LEI Nº 11.343/2006). DECISÃO QUE INDEFERIU O PEDIDO DA ACUSAÇÃO PARA DECRETAR A PRISÃO PREVENTIVA. INSURGÊNCIA MINISTERIAL. MÉRITO - </w:t>
      </w:r>
      <w:r w:rsidRPr="00721DF2">
        <w:rPr>
          <w:rFonts w:ascii="Times New Roman" w:eastAsia="Times New Roman" w:hAnsi="Times New Roman" w:cs="Times New Roman"/>
          <w:b/>
          <w:sz w:val="20"/>
          <w:szCs w:val="24"/>
          <w:lang w:eastAsia="pt-BR"/>
        </w:rPr>
        <w:t>DESCUMPRIMENTO DE MEDIDA CAUTELAR. RÉU QUE DEIXOU DE CUMPRIR COM AS DETERMINAÇÕES IMPOSTAS PELO JUDICIÁRIO</w:t>
      </w:r>
      <w:r w:rsidRPr="00507B84">
        <w:rPr>
          <w:rFonts w:ascii="Times New Roman" w:eastAsia="Times New Roman" w:hAnsi="Times New Roman" w:cs="Times New Roman"/>
          <w:sz w:val="20"/>
          <w:szCs w:val="24"/>
          <w:lang w:eastAsia="pt-BR"/>
        </w:rPr>
        <w:t xml:space="preserve">. </w:t>
      </w:r>
      <w:r w:rsidRPr="00721DF2">
        <w:rPr>
          <w:rFonts w:ascii="Times New Roman" w:eastAsia="Times New Roman" w:hAnsi="Times New Roman" w:cs="Times New Roman"/>
          <w:b/>
          <w:sz w:val="20"/>
          <w:szCs w:val="24"/>
          <w:lang w:eastAsia="pt-BR"/>
        </w:rPr>
        <w:t>REVOGAÇÃO DO BENEFÍCIO DA LIBERDADE PROVISÓRIA</w:t>
      </w:r>
      <w:r w:rsidRPr="00507B84">
        <w:rPr>
          <w:rFonts w:ascii="Times New Roman" w:eastAsia="Times New Roman" w:hAnsi="Times New Roman" w:cs="Times New Roman"/>
          <w:sz w:val="20"/>
          <w:szCs w:val="24"/>
          <w:lang w:eastAsia="pt-BR"/>
        </w:rPr>
        <w:t>. DECISÃO REFORMADA. RECURSO CONHECIDO E PROVIDO.</w:t>
      </w:r>
      <w:r w:rsidR="00721DF2">
        <w:rPr>
          <w:rFonts w:ascii="Times New Roman" w:eastAsia="Times New Roman" w:hAnsi="Times New Roman" w:cs="Times New Roman"/>
          <w:sz w:val="20"/>
          <w:szCs w:val="24"/>
          <w:lang w:eastAsia="pt-BR"/>
        </w:rPr>
        <w:t xml:space="preserve"> </w:t>
      </w:r>
      <w:r w:rsidRPr="00507B84">
        <w:rPr>
          <w:rFonts w:ascii="Times New Roman" w:eastAsia="Times New Roman" w:hAnsi="Times New Roman" w:cs="Times New Roman"/>
          <w:sz w:val="20"/>
          <w:szCs w:val="24"/>
          <w:lang w:eastAsia="pt-BR"/>
        </w:rPr>
        <w:t>(TJPR - 3ª Câmara Criminal - 0014529-92.2023.8.16.0035 [0007936-47.2023.8.16.0035/0] - São José dos Pinhais -  Rel.: SUBSTITUTO HUMBERTO GONCALVES BRITO -  J. 23.10.2023)</w:t>
      </w:r>
    </w:p>
    <w:p w14:paraId="5A1B7D32" w14:textId="7F93A62D" w:rsidR="00C76EB3" w:rsidRPr="00507B84" w:rsidRDefault="00C76EB3" w:rsidP="00C76EB3">
      <w:pPr>
        <w:spacing w:before="600" w:after="600" w:line="360" w:lineRule="auto"/>
        <w:ind w:left="2268"/>
        <w:jc w:val="both"/>
        <w:rPr>
          <w:rFonts w:ascii="Times New Roman" w:eastAsia="Times New Roman" w:hAnsi="Times New Roman" w:cs="Times New Roman"/>
          <w:sz w:val="20"/>
          <w:szCs w:val="24"/>
          <w:lang w:eastAsia="pt-BR"/>
        </w:rPr>
      </w:pPr>
      <w:r w:rsidRPr="00C76EB3">
        <w:rPr>
          <w:rFonts w:ascii="Times New Roman" w:eastAsia="Times New Roman" w:hAnsi="Times New Roman" w:cs="Times New Roman"/>
          <w:sz w:val="20"/>
          <w:szCs w:val="24"/>
          <w:lang w:eastAsia="pt-BR"/>
        </w:rPr>
        <w:t xml:space="preserve">AGRAVO REGIMENTAL NO HABEAS CORPUS. PROCESSO PENAL. TRÁFICO DE ENTORPECENTES. PRISÃO PREVENTIVA. </w:t>
      </w:r>
      <w:r w:rsidRPr="00C76EB3">
        <w:rPr>
          <w:rFonts w:ascii="Times New Roman" w:eastAsia="Times New Roman" w:hAnsi="Times New Roman" w:cs="Times New Roman"/>
          <w:b/>
          <w:sz w:val="20"/>
          <w:szCs w:val="24"/>
          <w:lang w:eastAsia="pt-BR"/>
        </w:rPr>
        <w:t>GARANTIA DA ORDEM PÚBLICA. GRAVIDADE CONCRETA. DESCUMPRIMENTO DE MEDIDAS CAUTELARES FIXADAS ANTERIORMENTE. AGRAVO REGIMENTAL DESPROVIDO</w:t>
      </w:r>
      <w:r w:rsidRPr="00C76EB3">
        <w:rPr>
          <w:rFonts w:ascii="Times New Roman" w:eastAsia="Times New Roman" w:hAnsi="Times New Roman" w:cs="Times New Roman"/>
          <w:sz w:val="20"/>
          <w:szCs w:val="24"/>
          <w:lang w:eastAsia="pt-BR"/>
        </w:rPr>
        <w:t xml:space="preserve">. 1. A validade da segregação cautelar está condicionada à observância, em decisão devidamente fundamentada, aos requisitos insertos no art. 312 do Código de Processo Penal, revelando-se indispensável a demonstração de em que consiste o periculum libertatis. </w:t>
      </w:r>
      <w:r w:rsidRPr="00C76EB3">
        <w:rPr>
          <w:rFonts w:ascii="Times New Roman" w:eastAsia="Times New Roman" w:hAnsi="Times New Roman" w:cs="Times New Roman"/>
          <w:b/>
          <w:sz w:val="20"/>
          <w:szCs w:val="24"/>
          <w:lang w:eastAsia="pt-BR"/>
        </w:rPr>
        <w:t>2. "O descumprimento de medida cautelar anteriormente imposta, quando da concessão da liberdade provisória, é motivo legal para a decretação da prisão preventiva. Inteligência dos artigos 312, parágrafo único e 282, § 4º, ambos do Código de Processo Penal" ( HC n. 422.646/SP, relator Ministro REYNALDO SOARES DA FONSECA, QUINTA TURMA, julgado em 20/2/2018, DJe 27/2/2018).</w:t>
      </w:r>
      <w:r w:rsidRPr="00C76EB3">
        <w:rPr>
          <w:rFonts w:ascii="Times New Roman" w:eastAsia="Times New Roman" w:hAnsi="Times New Roman" w:cs="Times New Roman"/>
          <w:sz w:val="20"/>
          <w:szCs w:val="24"/>
          <w:lang w:eastAsia="pt-BR"/>
        </w:rPr>
        <w:t xml:space="preserve"> 3. No presente caso, o agravante não foi encontrado nas diligências realizadas pelo oficial de justiça durante a noite e aos finais de semanas, descumprindo a medida cautelar de recolhimento noturno e aos finais de semana, o que enseja a decretação da prisão preventiva para a garantia da aplicação da lei penal e conveniência da instrução criminal. 4. Condições subjetivas favoráveis do paciente, por si sós, não impedem a prisão cautelar, caso se verifiquem presentes os requisitos legais para a decretação da segregação provisória (precedentes). 5. Mostra-se indevida a aplicação de medidas cautelares diversas da prisão, quando a segregação encontra-se fundada na gravidade efetiva do delito, indicando que as providências menos gravosas seriam insuficientes para acautelar a ordem pública e evitar a prática de novos crimes. 6. Agravo regimental desprovido.</w:t>
      </w:r>
      <w:r>
        <w:rPr>
          <w:rFonts w:ascii="Times New Roman" w:eastAsia="Times New Roman" w:hAnsi="Times New Roman" w:cs="Times New Roman"/>
          <w:sz w:val="20"/>
          <w:szCs w:val="24"/>
          <w:lang w:eastAsia="pt-BR"/>
        </w:rPr>
        <w:t xml:space="preserve"> </w:t>
      </w:r>
      <w:r w:rsidRPr="00C76EB3">
        <w:rPr>
          <w:rFonts w:ascii="Times New Roman" w:eastAsia="Times New Roman" w:hAnsi="Times New Roman" w:cs="Times New Roman"/>
          <w:sz w:val="20"/>
          <w:szCs w:val="24"/>
          <w:lang w:eastAsia="pt-BR"/>
        </w:rPr>
        <w:t>(STJ - AgRg no HC: 699265 SP 2021/0324474-6, Relator: Ministro ANTONIO SALDANHA PALHEIRO, Data de Julgamento: 15/03/2022, T6 - SEXTA TURMA, Data de Publicação: DJe 21/03/2022)</w:t>
      </w:r>
    </w:p>
    <w:p w14:paraId="62FFBC7A" w14:textId="260904E4" w:rsidR="001067E1" w:rsidRDefault="00721DF2" w:rsidP="006E5FE4">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Nesse contexto, procede a pretensão recursal ministerial pelo reconhecimento da presença do perigo à ordem pública decorrente do estado de liberdade dos flagranteados a ensejar, nos termos do</w:t>
      </w:r>
      <w:r w:rsidR="00C76EB3">
        <w:rPr>
          <w:rFonts w:ascii="Times New Roman" w:eastAsia="Times New Roman" w:hAnsi="Times New Roman" w:cs="Times New Roman"/>
          <w:sz w:val="24"/>
          <w:szCs w:val="24"/>
          <w:lang w:eastAsia="pt-BR"/>
        </w:rPr>
        <w:t>s</w:t>
      </w:r>
      <w:r>
        <w:rPr>
          <w:rFonts w:ascii="Times New Roman" w:eastAsia="Times New Roman" w:hAnsi="Times New Roman" w:cs="Times New Roman"/>
          <w:sz w:val="24"/>
          <w:szCs w:val="24"/>
          <w:lang w:eastAsia="pt-BR"/>
        </w:rPr>
        <w:t xml:space="preserve"> artigo</w:t>
      </w:r>
      <w:r w:rsidR="00C76EB3">
        <w:rPr>
          <w:rFonts w:ascii="Times New Roman" w:eastAsia="Times New Roman" w:hAnsi="Times New Roman" w:cs="Times New Roman"/>
          <w:sz w:val="24"/>
          <w:szCs w:val="24"/>
          <w:lang w:eastAsia="pt-BR"/>
        </w:rPr>
        <w:t xml:space="preserve">s 282, § 4º e </w:t>
      </w:r>
      <w:r>
        <w:rPr>
          <w:rFonts w:ascii="Times New Roman" w:eastAsia="Times New Roman" w:hAnsi="Times New Roman" w:cs="Times New Roman"/>
          <w:sz w:val="24"/>
          <w:szCs w:val="24"/>
          <w:lang w:eastAsia="pt-BR"/>
        </w:rPr>
        <w:t>312, do Código de Processo Penal, a decretação da prisão preventiva para garantia da ordem pública.</w:t>
      </w:r>
    </w:p>
    <w:p w14:paraId="4A98AE95" w14:textId="77777777" w:rsidR="00721DF2" w:rsidRDefault="00721DF2" w:rsidP="006E5FE4">
      <w:pPr>
        <w:spacing w:before="240" w:after="240" w:line="360" w:lineRule="auto"/>
        <w:ind w:firstLine="709"/>
        <w:jc w:val="both"/>
        <w:rPr>
          <w:rFonts w:ascii="Times New Roman" w:eastAsia="Times New Roman" w:hAnsi="Times New Roman" w:cs="Times New Roman"/>
          <w:sz w:val="24"/>
          <w:szCs w:val="24"/>
          <w:lang w:eastAsia="pt-BR"/>
        </w:rPr>
      </w:pPr>
    </w:p>
    <w:p w14:paraId="4BB02A02" w14:textId="3A95D22A" w:rsidR="006E5FE4" w:rsidRPr="00507B84" w:rsidRDefault="006E5FE4" w:rsidP="006E5FE4">
      <w:pPr>
        <w:spacing w:before="240" w:after="240" w:line="360" w:lineRule="auto"/>
        <w:ind w:firstLine="709"/>
        <w:jc w:val="both"/>
        <w:rPr>
          <w:rFonts w:ascii="Times New Roman" w:eastAsia="Times New Roman" w:hAnsi="Times New Roman" w:cs="Times New Roman"/>
          <w:sz w:val="24"/>
          <w:szCs w:val="24"/>
          <w:lang w:eastAsia="pt-BR"/>
        </w:rPr>
      </w:pPr>
      <w:r w:rsidRPr="00507B84">
        <w:rPr>
          <w:rFonts w:ascii="Times New Roman" w:eastAsia="Times New Roman" w:hAnsi="Times New Roman" w:cs="Times New Roman"/>
          <w:sz w:val="24"/>
          <w:szCs w:val="24"/>
          <w:lang w:eastAsia="pt-BR"/>
        </w:rPr>
        <w:t>II.III – DA CONCLUSÃO</w:t>
      </w:r>
    </w:p>
    <w:p w14:paraId="07B3F83F" w14:textId="41B94E7C" w:rsidR="006E5FE4" w:rsidRDefault="00507B84" w:rsidP="006E5FE4">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 xml:space="preserve">Ante o exposto, a conclusão a ser adotada consiste na reforma da decisão objurgada e consequente decretação da prisão preventiva de Beatriz de Lima e Diego </w:t>
      </w:r>
      <w:r>
        <w:rPr>
          <w:rFonts w:ascii="Times New Roman" w:eastAsia="Times New Roman" w:hAnsi="Times New Roman" w:cs="Times New Roman"/>
          <w:sz w:val="24"/>
          <w:szCs w:val="24"/>
          <w:lang w:eastAsia="pt-BR"/>
        </w:rPr>
        <w:lastRenderedPageBreak/>
        <w:t>Marcondes, com a imediata restituição dos autos à origem para expedição dos competentes mandados.</w:t>
      </w:r>
    </w:p>
    <w:p w14:paraId="7D04B8D2" w14:textId="5E6E743A" w:rsidR="00507B84" w:rsidRDefault="00507B84" w:rsidP="006E5FE4">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É como voto.</w:t>
      </w:r>
    </w:p>
    <w:p w14:paraId="4E6DB6B4" w14:textId="77777777" w:rsidR="00721DF2" w:rsidRDefault="00721DF2" w:rsidP="006E5FE4">
      <w:pPr>
        <w:spacing w:before="240" w:after="240" w:line="360" w:lineRule="auto"/>
        <w:ind w:firstLine="709"/>
        <w:jc w:val="both"/>
        <w:rPr>
          <w:rFonts w:ascii="Times New Roman" w:eastAsia="Times New Roman" w:hAnsi="Times New Roman" w:cs="Times New Roman"/>
          <w:sz w:val="24"/>
          <w:szCs w:val="24"/>
          <w:lang w:eastAsia="pt-BR"/>
        </w:rPr>
      </w:pPr>
    </w:p>
    <w:p w14:paraId="3BD7B7D0" w14:textId="77777777" w:rsidR="00D74F23" w:rsidRPr="006E5FE4" w:rsidRDefault="00D74F23" w:rsidP="00C0763E">
      <w:pPr>
        <w:spacing w:before="240" w:after="240" w:line="360" w:lineRule="auto"/>
        <w:ind w:firstLine="709"/>
        <w:jc w:val="both"/>
        <w:rPr>
          <w:rFonts w:ascii="Times New Roman" w:eastAsia="Times New Roman" w:hAnsi="Times New Roman" w:cs="Times New Roman"/>
          <w:b/>
          <w:sz w:val="24"/>
          <w:szCs w:val="24"/>
          <w:lang w:eastAsia="pt-BR"/>
        </w:rPr>
      </w:pPr>
      <w:r w:rsidRPr="006E5FE4">
        <w:rPr>
          <w:rFonts w:ascii="Times New Roman" w:eastAsia="Times New Roman" w:hAnsi="Times New Roman" w:cs="Times New Roman"/>
          <w:b/>
          <w:sz w:val="24"/>
          <w:szCs w:val="24"/>
          <w:lang w:eastAsia="pt-BR"/>
        </w:rPr>
        <w:t>III - DECISÃO</w:t>
      </w:r>
      <w:bookmarkEnd w:id="0"/>
    </w:p>
    <w:sectPr w:rsidR="00D74F23" w:rsidRPr="006E5FE4">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E0D758B" w14:textId="77777777" w:rsidR="006B640D" w:rsidRDefault="006B640D" w:rsidP="00647C71">
      <w:pPr>
        <w:spacing w:after="0" w:line="240" w:lineRule="auto"/>
      </w:pPr>
      <w:r>
        <w:separator/>
      </w:r>
    </w:p>
  </w:endnote>
  <w:endnote w:type="continuationSeparator" w:id="0">
    <w:p w14:paraId="5752BC7A" w14:textId="77777777" w:rsidR="006B640D" w:rsidRDefault="006B640D" w:rsidP="00647C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Roboto">
    <w:panose1 w:val="02000000000000000000"/>
    <w:charset w:val="00"/>
    <w:family w:val="auto"/>
    <w:pitch w:val="variable"/>
    <w:sig w:usb0="E00002FF" w:usb1="5000205B" w:usb2="0000002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74FF278" w14:textId="77777777" w:rsidR="006B640D" w:rsidRDefault="006B640D" w:rsidP="00647C71">
      <w:pPr>
        <w:spacing w:after="0" w:line="240" w:lineRule="auto"/>
      </w:pPr>
      <w:r>
        <w:separator/>
      </w:r>
    </w:p>
  </w:footnote>
  <w:footnote w:type="continuationSeparator" w:id="0">
    <w:p w14:paraId="563366FA" w14:textId="77777777" w:rsidR="006B640D" w:rsidRDefault="006B640D" w:rsidP="00647C7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3D39FC"/>
    <w:multiLevelType w:val="hybridMultilevel"/>
    <w:tmpl w:val="C9101CC0"/>
    <w:lvl w:ilvl="0" w:tplc="AED834C4">
      <w:start w:val="1"/>
      <w:numFmt w:val="decimal"/>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1" w15:restartNumberingAfterBreak="0">
    <w:nsid w:val="27674289"/>
    <w:multiLevelType w:val="hybridMultilevel"/>
    <w:tmpl w:val="C2CA7A80"/>
    <w:lvl w:ilvl="0" w:tplc="D13EC7C8">
      <w:start w:val="1"/>
      <w:numFmt w:val="lowerLetter"/>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2" w15:restartNumberingAfterBreak="0">
    <w:nsid w:val="28CE22A9"/>
    <w:multiLevelType w:val="hybridMultilevel"/>
    <w:tmpl w:val="92122988"/>
    <w:lvl w:ilvl="0" w:tplc="0560915A">
      <w:start w:val="1"/>
      <w:numFmt w:val="lowerLetter"/>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3" w15:restartNumberingAfterBreak="0">
    <w:nsid w:val="2F4F15E2"/>
    <w:multiLevelType w:val="hybridMultilevel"/>
    <w:tmpl w:val="F6F80888"/>
    <w:lvl w:ilvl="0" w:tplc="F3A24B80">
      <w:start w:val="1"/>
      <w:numFmt w:val="decimal"/>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4" w15:restartNumberingAfterBreak="0">
    <w:nsid w:val="62CC7D4C"/>
    <w:multiLevelType w:val="hybridMultilevel"/>
    <w:tmpl w:val="A98A9ECC"/>
    <w:lvl w:ilvl="0" w:tplc="4F2264FC">
      <w:start w:val="1"/>
      <w:numFmt w:val="lowerLetter"/>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5" w15:restartNumberingAfterBreak="0">
    <w:nsid w:val="640E335C"/>
    <w:multiLevelType w:val="hybridMultilevel"/>
    <w:tmpl w:val="43AEDE08"/>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64CD4FD4"/>
    <w:multiLevelType w:val="hybridMultilevel"/>
    <w:tmpl w:val="3800D9C4"/>
    <w:lvl w:ilvl="0" w:tplc="CDA6F1B4">
      <w:start w:val="1"/>
      <w:numFmt w:val="decimal"/>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7" w15:restartNumberingAfterBreak="0">
    <w:nsid w:val="6B166DDA"/>
    <w:multiLevelType w:val="hybridMultilevel"/>
    <w:tmpl w:val="58788A62"/>
    <w:lvl w:ilvl="0" w:tplc="16843212">
      <w:start w:val="1"/>
      <w:numFmt w:val="lowerLetter"/>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8" w15:restartNumberingAfterBreak="0">
    <w:nsid w:val="757A0CA1"/>
    <w:multiLevelType w:val="hybridMultilevel"/>
    <w:tmpl w:val="B49A0420"/>
    <w:lvl w:ilvl="0" w:tplc="9FBEC874">
      <w:start w:val="1"/>
      <w:numFmt w:val="lowerLetter"/>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num w:numId="1">
    <w:abstractNumId w:val="1"/>
  </w:num>
  <w:num w:numId="2">
    <w:abstractNumId w:val="6"/>
  </w:num>
  <w:num w:numId="3">
    <w:abstractNumId w:val="5"/>
  </w:num>
  <w:num w:numId="4">
    <w:abstractNumId w:val="4"/>
  </w:num>
  <w:num w:numId="5">
    <w:abstractNumId w:val="3"/>
  </w:num>
  <w:num w:numId="6">
    <w:abstractNumId w:val="0"/>
  </w:num>
  <w:num w:numId="7">
    <w:abstractNumId w:val="7"/>
  </w:num>
  <w:num w:numId="8">
    <w:abstractNumId w:val="8"/>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1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2926"/>
    <w:rsid w:val="00001611"/>
    <w:rsid w:val="00007C57"/>
    <w:rsid w:val="00010D7D"/>
    <w:rsid w:val="000160BD"/>
    <w:rsid w:val="00020043"/>
    <w:rsid w:val="00022B72"/>
    <w:rsid w:val="00026881"/>
    <w:rsid w:val="000306E0"/>
    <w:rsid w:val="00032A45"/>
    <w:rsid w:val="000374DD"/>
    <w:rsid w:val="0004000E"/>
    <w:rsid w:val="00046137"/>
    <w:rsid w:val="00051782"/>
    <w:rsid w:val="000536CB"/>
    <w:rsid w:val="000574CD"/>
    <w:rsid w:val="000578C0"/>
    <w:rsid w:val="0006301E"/>
    <w:rsid w:val="0006738E"/>
    <w:rsid w:val="00070921"/>
    <w:rsid w:val="00074A6B"/>
    <w:rsid w:val="000753E6"/>
    <w:rsid w:val="00075CD3"/>
    <w:rsid w:val="000771EB"/>
    <w:rsid w:val="000A1580"/>
    <w:rsid w:val="000A1845"/>
    <w:rsid w:val="000A2939"/>
    <w:rsid w:val="000A50E5"/>
    <w:rsid w:val="000B0707"/>
    <w:rsid w:val="000B081D"/>
    <w:rsid w:val="000B0F0C"/>
    <w:rsid w:val="000B1A3F"/>
    <w:rsid w:val="000C15F3"/>
    <w:rsid w:val="000C4388"/>
    <w:rsid w:val="000C6FB3"/>
    <w:rsid w:val="000D324F"/>
    <w:rsid w:val="000D49BF"/>
    <w:rsid w:val="000D5CD1"/>
    <w:rsid w:val="000D62A2"/>
    <w:rsid w:val="000E2F5C"/>
    <w:rsid w:val="000E3D0A"/>
    <w:rsid w:val="000F1C40"/>
    <w:rsid w:val="000F2C6A"/>
    <w:rsid w:val="00101E92"/>
    <w:rsid w:val="001067E1"/>
    <w:rsid w:val="0012195B"/>
    <w:rsid w:val="0012372F"/>
    <w:rsid w:val="001302DC"/>
    <w:rsid w:val="001441FD"/>
    <w:rsid w:val="00144B56"/>
    <w:rsid w:val="001505AA"/>
    <w:rsid w:val="00151BE6"/>
    <w:rsid w:val="001539AF"/>
    <w:rsid w:val="00153CFF"/>
    <w:rsid w:val="00156C0C"/>
    <w:rsid w:val="00160FA5"/>
    <w:rsid w:val="00166E6B"/>
    <w:rsid w:val="0018045A"/>
    <w:rsid w:val="00185B6E"/>
    <w:rsid w:val="00190005"/>
    <w:rsid w:val="001911F4"/>
    <w:rsid w:val="00191D4B"/>
    <w:rsid w:val="001920B4"/>
    <w:rsid w:val="001A011D"/>
    <w:rsid w:val="001A632C"/>
    <w:rsid w:val="001C39D3"/>
    <w:rsid w:val="001D13E2"/>
    <w:rsid w:val="001D5521"/>
    <w:rsid w:val="001E01CC"/>
    <w:rsid w:val="001E2D26"/>
    <w:rsid w:val="001E5BD5"/>
    <w:rsid w:val="001E61D7"/>
    <w:rsid w:val="001E626B"/>
    <w:rsid w:val="001F0BD9"/>
    <w:rsid w:val="001F26A9"/>
    <w:rsid w:val="001F5639"/>
    <w:rsid w:val="001F62E9"/>
    <w:rsid w:val="00201354"/>
    <w:rsid w:val="0021113B"/>
    <w:rsid w:val="0021140D"/>
    <w:rsid w:val="00211FD6"/>
    <w:rsid w:val="00214756"/>
    <w:rsid w:val="0021477B"/>
    <w:rsid w:val="00214D4B"/>
    <w:rsid w:val="00215E32"/>
    <w:rsid w:val="00222CD8"/>
    <w:rsid w:val="0022498C"/>
    <w:rsid w:val="00226F44"/>
    <w:rsid w:val="002275AF"/>
    <w:rsid w:val="0023019E"/>
    <w:rsid w:val="002372A2"/>
    <w:rsid w:val="00250B16"/>
    <w:rsid w:val="00250CAB"/>
    <w:rsid w:val="00251BE7"/>
    <w:rsid w:val="00260675"/>
    <w:rsid w:val="002665C0"/>
    <w:rsid w:val="002703E3"/>
    <w:rsid w:val="0027299B"/>
    <w:rsid w:val="00293E14"/>
    <w:rsid w:val="00294EBC"/>
    <w:rsid w:val="002A270B"/>
    <w:rsid w:val="002A4117"/>
    <w:rsid w:val="002A7461"/>
    <w:rsid w:val="002A798A"/>
    <w:rsid w:val="002B370A"/>
    <w:rsid w:val="002B48B3"/>
    <w:rsid w:val="002C0F37"/>
    <w:rsid w:val="002C62E9"/>
    <w:rsid w:val="002D03B9"/>
    <w:rsid w:val="002D2306"/>
    <w:rsid w:val="002D2AC8"/>
    <w:rsid w:val="002D4EB8"/>
    <w:rsid w:val="002D651A"/>
    <w:rsid w:val="002E64B7"/>
    <w:rsid w:val="002E7B89"/>
    <w:rsid w:val="002F0485"/>
    <w:rsid w:val="002F35CF"/>
    <w:rsid w:val="002F37D9"/>
    <w:rsid w:val="002F78A8"/>
    <w:rsid w:val="00304E90"/>
    <w:rsid w:val="00305348"/>
    <w:rsid w:val="00305698"/>
    <w:rsid w:val="0032286D"/>
    <w:rsid w:val="00323689"/>
    <w:rsid w:val="00332DED"/>
    <w:rsid w:val="00332E93"/>
    <w:rsid w:val="00334726"/>
    <w:rsid w:val="00337B87"/>
    <w:rsid w:val="003415A6"/>
    <w:rsid w:val="00341797"/>
    <w:rsid w:val="00344252"/>
    <w:rsid w:val="00351EBD"/>
    <w:rsid w:val="00352D21"/>
    <w:rsid w:val="00352F11"/>
    <w:rsid w:val="00354D9B"/>
    <w:rsid w:val="0036114E"/>
    <w:rsid w:val="00361C7B"/>
    <w:rsid w:val="00364B3D"/>
    <w:rsid w:val="00365AAA"/>
    <w:rsid w:val="0036786F"/>
    <w:rsid w:val="00375DC5"/>
    <w:rsid w:val="00376120"/>
    <w:rsid w:val="00377569"/>
    <w:rsid w:val="00380F70"/>
    <w:rsid w:val="003A43F7"/>
    <w:rsid w:val="003B513B"/>
    <w:rsid w:val="003C7E9F"/>
    <w:rsid w:val="003E0B11"/>
    <w:rsid w:val="003F517F"/>
    <w:rsid w:val="00406FD8"/>
    <w:rsid w:val="00412E7C"/>
    <w:rsid w:val="00415A21"/>
    <w:rsid w:val="004178DE"/>
    <w:rsid w:val="004350B9"/>
    <w:rsid w:val="0043568B"/>
    <w:rsid w:val="004365EC"/>
    <w:rsid w:val="004370D3"/>
    <w:rsid w:val="0043718D"/>
    <w:rsid w:val="00440350"/>
    <w:rsid w:val="00444E6D"/>
    <w:rsid w:val="00444E7B"/>
    <w:rsid w:val="004452B0"/>
    <w:rsid w:val="0046475D"/>
    <w:rsid w:val="0046793C"/>
    <w:rsid w:val="00471D31"/>
    <w:rsid w:val="0048354C"/>
    <w:rsid w:val="00483D1A"/>
    <w:rsid w:val="00483F6A"/>
    <w:rsid w:val="004848C3"/>
    <w:rsid w:val="00493D6A"/>
    <w:rsid w:val="00497A76"/>
    <w:rsid w:val="004A155F"/>
    <w:rsid w:val="004A2186"/>
    <w:rsid w:val="004A7651"/>
    <w:rsid w:val="004B3805"/>
    <w:rsid w:val="004C0C0E"/>
    <w:rsid w:val="004C3883"/>
    <w:rsid w:val="004C5BD8"/>
    <w:rsid w:val="004C6221"/>
    <w:rsid w:val="004C6EFE"/>
    <w:rsid w:val="004D3620"/>
    <w:rsid w:val="004D7A88"/>
    <w:rsid w:val="004E1BC4"/>
    <w:rsid w:val="004F0B40"/>
    <w:rsid w:val="004F1087"/>
    <w:rsid w:val="004F3F82"/>
    <w:rsid w:val="00502B69"/>
    <w:rsid w:val="005071BC"/>
    <w:rsid w:val="00507B84"/>
    <w:rsid w:val="00515AF4"/>
    <w:rsid w:val="005215A8"/>
    <w:rsid w:val="00527F2B"/>
    <w:rsid w:val="00531EC3"/>
    <w:rsid w:val="0053637D"/>
    <w:rsid w:val="00540E07"/>
    <w:rsid w:val="00545DA9"/>
    <w:rsid w:val="00550DA1"/>
    <w:rsid w:val="0055181C"/>
    <w:rsid w:val="005537F4"/>
    <w:rsid w:val="00554A51"/>
    <w:rsid w:val="00555B13"/>
    <w:rsid w:val="00557856"/>
    <w:rsid w:val="00563161"/>
    <w:rsid w:val="0056440E"/>
    <w:rsid w:val="005659B7"/>
    <w:rsid w:val="00570C58"/>
    <w:rsid w:val="00570DAC"/>
    <w:rsid w:val="00571AE0"/>
    <w:rsid w:val="00571E51"/>
    <w:rsid w:val="005759B9"/>
    <w:rsid w:val="00577C81"/>
    <w:rsid w:val="0058127A"/>
    <w:rsid w:val="00591A5B"/>
    <w:rsid w:val="005940EE"/>
    <w:rsid w:val="005C4F6A"/>
    <w:rsid w:val="005D1A25"/>
    <w:rsid w:val="005D255C"/>
    <w:rsid w:val="005D3C95"/>
    <w:rsid w:val="005D4C96"/>
    <w:rsid w:val="005D737F"/>
    <w:rsid w:val="005E0749"/>
    <w:rsid w:val="005E2A5E"/>
    <w:rsid w:val="005F0055"/>
    <w:rsid w:val="005F61A6"/>
    <w:rsid w:val="006005E6"/>
    <w:rsid w:val="00604394"/>
    <w:rsid w:val="00604421"/>
    <w:rsid w:val="00606B55"/>
    <w:rsid w:val="00611824"/>
    <w:rsid w:val="00612334"/>
    <w:rsid w:val="006143E3"/>
    <w:rsid w:val="006145C8"/>
    <w:rsid w:val="00623937"/>
    <w:rsid w:val="006244B8"/>
    <w:rsid w:val="006264DC"/>
    <w:rsid w:val="00631AEE"/>
    <w:rsid w:val="00635393"/>
    <w:rsid w:val="0063576D"/>
    <w:rsid w:val="0063620D"/>
    <w:rsid w:val="00642926"/>
    <w:rsid w:val="00642C21"/>
    <w:rsid w:val="006430E0"/>
    <w:rsid w:val="00644AD4"/>
    <w:rsid w:val="00645955"/>
    <w:rsid w:val="00647C71"/>
    <w:rsid w:val="00650B35"/>
    <w:rsid w:val="00651518"/>
    <w:rsid w:val="0066719E"/>
    <w:rsid w:val="00667279"/>
    <w:rsid w:val="006675EA"/>
    <w:rsid w:val="006744B1"/>
    <w:rsid w:val="00680312"/>
    <w:rsid w:val="00684A0B"/>
    <w:rsid w:val="00684EE9"/>
    <w:rsid w:val="00695951"/>
    <w:rsid w:val="00697096"/>
    <w:rsid w:val="006976FF"/>
    <w:rsid w:val="006A1063"/>
    <w:rsid w:val="006A3DA0"/>
    <w:rsid w:val="006A7E71"/>
    <w:rsid w:val="006B640D"/>
    <w:rsid w:val="006B7A87"/>
    <w:rsid w:val="006C20FD"/>
    <w:rsid w:val="006C3524"/>
    <w:rsid w:val="006D12EE"/>
    <w:rsid w:val="006D157D"/>
    <w:rsid w:val="006D6267"/>
    <w:rsid w:val="006D6364"/>
    <w:rsid w:val="006E0A2B"/>
    <w:rsid w:val="006E2A57"/>
    <w:rsid w:val="006E5FE4"/>
    <w:rsid w:val="006F0765"/>
    <w:rsid w:val="006F2E12"/>
    <w:rsid w:val="006F506E"/>
    <w:rsid w:val="006F602A"/>
    <w:rsid w:val="0071296A"/>
    <w:rsid w:val="00714712"/>
    <w:rsid w:val="00716788"/>
    <w:rsid w:val="007167E9"/>
    <w:rsid w:val="00721DF2"/>
    <w:rsid w:val="0072262E"/>
    <w:rsid w:val="00731D9C"/>
    <w:rsid w:val="00746866"/>
    <w:rsid w:val="00747416"/>
    <w:rsid w:val="00750F91"/>
    <w:rsid w:val="0075231D"/>
    <w:rsid w:val="00754F02"/>
    <w:rsid w:val="007600A0"/>
    <w:rsid w:val="00762104"/>
    <w:rsid w:val="00763A34"/>
    <w:rsid w:val="007641DC"/>
    <w:rsid w:val="00767E9A"/>
    <w:rsid w:val="00775668"/>
    <w:rsid w:val="00775A3B"/>
    <w:rsid w:val="00775B86"/>
    <w:rsid w:val="007775DF"/>
    <w:rsid w:val="007839E4"/>
    <w:rsid w:val="007857DD"/>
    <w:rsid w:val="00786FD9"/>
    <w:rsid w:val="007901E9"/>
    <w:rsid w:val="00790531"/>
    <w:rsid w:val="00794F4C"/>
    <w:rsid w:val="007958D6"/>
    <w:rsid w:val="00797963"/>
    <w:rsid w:val="00797E63"/>
    <w:rsid w:val="007A2BB1"/>
    <w:rsid w:val="007A6999"/>
    <w:rsid w:val="007B44ED"/>
    <w:rsid w:val="007B463B"/>
    <w:rsid w:val="007B696B"/>
    <w:rsid w:val="007C1F7F"/>
    <w:rsid w:val="007C263E"/>
    <w:rsid w:val="007C3C5D"/>
    <w:rsid w:val="007C7CFA"/>
    <w:rsid w:val="007C7DEF"/>
    <w:rsid w:val="007D0408"/>
    <w:rsid w:val="007D17FF"/>
    <w:rsid w:val="007D3FED"/>
    <w:rsid w:val="007D59A6"/>
    <w:rsid w:val="007D713E"/>
    <w:rsid w:val="007E00E5"/>
    <w:rsid w:val="007E3761"/>
    <w:rsid w:val="007E4AEF"/>
    <w:rsid w:val="007F310A"/>
    <w:rsid w:val="007F6C8D"/>
    <w:rsid w:val="008008BD"/>
    <w:rsid w:val="00803B89"/>
    <w:rsid w:val="0082036F"/>
    <w:rsid w:val="00821DB8"/>
    <w:rsid w:val="0082604B"/>
    <w:rsid w:val="0083227E"/>
    <w:rsid w:val="00843609"/>
    <w:rsid w:val="00846227"/>
    <w:rsid w:val="0085367E"/>
    <w:rsid w:val="00854F1E"/>
    <w:rsid w:val="00855843"/>
    <w:rsid w:val="00862931"/>
    <w:rsid w:val="00862ADB"/>
    <w:rsid w:val="00873D50"/>
    <w:rsid w:val="00875D56"/>
    <w:rsid w:val="00877694"/>
    <w:rsid w:val="00882E77"/>
    <w:rsid w:val="00883026"/>
    <w:rsid w:val="008857A8"/>
    <w:rsid w:val="00885AA7"/>
    <w:rsid w:val="008910E1"/>
    <w:rsid w:val="00892408"/>
    <w:rsid w:val="0089321B"/>
    <w:rsid w:val="00894F5B"/>
    <w:rsid w:val="00895FF5"/>
    <w:rsid w:val="008A2F16"/>
    <w:rsid w:val="008A363C"/>
    <w:rsid w:val="008B57C8"/>
    <w:rsid w:val="008C2594"/>
    <w:rsid w:val="008D0E03"/>
    <w:rsid w:val="008D21E1"/>
    <w:rsid w:val="008E30EE"/>
    <w:rsid w:val="008E6ECB"/>
    <w:rsid w:val="008E7B18"/>
    <w:rsid w:val="008F791B"/>
    <w:rsid w:val="009115F7"/>
    <w:rsid w:val="0091352F"/>
    <w:rsid w:val="00916955"/>
    <w:rsid w:val="00920F60"/>
    <w:rsid w:val="0092399A"/>
    <w:rsid w:val="0093354A"/>
    <w:rsid w:val="00934110"/>
    <w:rsid w:val="009377B3"/>
    <w:rsid w:val="00941715"/>
    <w:rsid w:val="00944BFD"/>
    <w:rsid w:val="009518A8"/>
    <w:rsid w:val="00953A10"/>
    <w:rsid w:val="00956B72"/>
    <w:rsid w:val="00960A02"/>
    <w:rsid w:val="00987CDE"/>
    <w:rsid w:val="00993B58"/>
    <w:rsid w:val="00996120"/>
    <w:rsid w:val="009A14FE"/>
    <w:rsid w:val="009B0B3A"/>
    <w:rsid w:val="009B0C6D"/>
    <w:rsid w:val="009B216A"/>
    <w:rsid w:val="009B2960"/>
    <w:rsid w:val="009B297F"/>
    <w:rsid w:val="009C1118"/>
    <w:rsid w:val="009C7E28"/>
    <w:rsid w:val="009D3B80"/>
    <w:rsid w:val="009D3FBD"/>
    <w:rsid w:val="009D5071"/>
    <w:rsid w:val="009D51F9"/>
    <w:rsid w:val="009D5D7D"/>
    <w:rsid w:val="009D73E9"/>
    <w:rsid w:val="009E5F1C"/>
    <w:rsid w:val="009F0509"/>
    <w:rsid w:val="009F2607"/>
    <w:rsid w:val="009F7E37"/>
    <w:rsid w:val="00A01B8C"/>
    <w:rsid w:val="00A02641"/>
    <w:rsid w:val="00A0696C"/>
    <w:rsid w:val="00A1339F"/>
    <w:rsid w:val="00A233AA"/>
    <w:rsid w:val="00A35175"/>
    <w:rsid w:val="00A559CE"/>
    <w:rsid w:val="00A6119C"/>
    <w:rsid w:val="00A730B6"/>
    <w:rsid w:val="00A8064C"/>
    <w:rsid w:val="00A82B31"/>
    <w:rsid w:val="00A8725B"/>
    <w:rsid w:val="00A91602"/>
    <w:rsid w:val="00AA12F7"/>
    <w:rsid w:val="00AE125F"/>
    <w:rsid w:val="00AE29C5"/>
    <w:rsid w:val="00AE36A9"/>
    <w:rsid w:val="00AE4473"/>
    <w:rsid w:val="00AE4AB6"/>
    <w:rsid w:val="00AF4457"/>
    <w:rsid w:val="00AF58A2"/>
    <w:rsid w:val="00AF5D83"/>
    <w:rsid w:val="00B02B99"/>
    <w:rsid w:val="00B04D8D"/>
    <w:rsid w:val="00B06674"/>
    <w:rsid w:val="00B074EB"/>
    <w:rsid w:val="00B11D12"/>
    <w:rsid w:val="00B20524"/>
    <w:rsid w:val="00B22B59"/>
    <w:rsid w:val="00B22EF2"/>
    <w:rsid w:val="00B3324A"/>
    <w:rsid w:val="00B34A84"/>
    <w:rsid w:val="00B41453"/>
    <w:rsid w:val="00B46640"/>
    <w:rsid w:val="00B46AF3"/>
    <w:rsid w:val="00B4759A"/>
    <w:rsid w:val="00B54294"/>
    <w:rsid w:val="00B6675D"/>
    <w:rsid w:val="00B70EAC"/>
    <w:rsid w:val="00B7653B"/>
    <w:rsid w:val="00B83B63"/>
    <w:rsid w:val="00B90614"/>
    <w:rsid w:val="00B934AD"/>
    <w:rsid w:val="00B94191"/>
    <w:rsid w:val="00B94949"/>
    <w:rsid w:val="00BA3331"/>
    <w:rsid w:val="00BA48FA"/>
    <w:rsid w:val="00BA5626"/>
    <w:rsid w:val="00BA657A"/>
    <w:rsid w:val="00BA65BC"/>
    <w:rsid w:val="00BA7A8F"/>
    <w:rsid w:val="00BB3AB5"/>
    <w:rsid w:val="00BC04E6"/>
    <w:rsid w:val="00BC4ABE"/>
    <w:rsid w:val="00BC5C92"/>
    <w:rsid w:val="00BD684A"/>
    <w:rsid w:val="00BF033D"/>
    <w:rsid w:val="00C007C7"/>
    <w:rsid w:val="00C02481"/>
    <w:rsid w:val="00C029A5"/>
    <w:rsid w:val="00C0763E"/>
    <w:rsid w:val="00C112E3"/>
    <w:rsid w:val="00C173E7"/>
    <w:rsid w:val="00C306F2"/>
    <w:rsid w:val="00C31E33"/>
    <w:rsid w:val="00C3291B"/>
    <w:rsid w:val="00C3476D"/>
    <w:rsid w:val="00C54FEF"/>
    <w:rsid w:val="00C625AB"/>
    <w:rsid w:val="00C64FA8"/>
    <w:rsid w:val="00C74795"/>
    <w:rsid w:val="00C758D5"/>
    <w:rsid w:val="00C764F8"/>
    <w:rsid w:val="00C76EB3"/>
    <w:rsid w:val="00C7769A"/>
    <w:rsid w:val="00C8735C"/>
    <w:rsid w:val="00C8769D"/>
    <w:rsid w:val="00C97D7A"/>
    <w:rsid w:val="00CA57DF"/>
    <w:rsid w:val="00CB0D85"/>
    <w:rsid w:val="00CB7067"/>
    <w:rsid w:val="00CC2F26"/>
    <w:rsid w:val="00CC7C6C"/>
    <w:rsid w:val="00CE0AD9"/>
    <w:rsid w:val="00CE54B2"/>
    <w:rsid w:val="00CF18A5"/>
    <w:rsid w:val="00D034E0"/>
    <w:rsid w:val="00D04FB0"/>
    <w:rsid w:val="00D15AC6"/>
    <w:rsid w:val="00D20BDA"/>
    <w:rsid w:val="00D24947"/>
    <w:rsid w:val="00D25D9A"/>
    <w:rsid w:val="00D25F6B"/>
    <w:rsid w:val="00D27A9A"/>
    <w:rsid w:val="00D317F9"/>
    <w:rsid w:val="00D3271F"/>
    <w:rsid w:val="00D40F96"/>
    <w:rsid w:val="00D41A1B"/>
    <w:rsid w:val="00D41A55"/>
    <w:rsid w:val="00D43548"/>
    <w:rsid w:val="00D44EA3"/>
    <w:rsid w:val="00D47C54"/>
    <w:rsid w:val="00D51523"/>
    <w:rsid w:val="00D523B2"/>
    <w:rsid w:val="00D741E5"/>
    <w:rsid w:val="00D74F23"/>
    <w:rsid w:val="00D753D8"/>
    <w:rsid w:val="00D810F5"/>
    <w:rsid w:val="00D814D3"/>
    <w:rsid w:val="00D8742E"/>
    <w:rsid w:val="00DA0577"/>
    <w:rsid w:val="00DA4BD2"/>
    <w:rsid w:val="00DA5BFF"/>
    <w:rsid w:val="00DA6FF8"/>
    <w:rsid w:val="00DC0E99"/>
    <w:rsid w:val="00DE0043"/>
    <w:rsid w:val="00DE0ADC"/>
    <w:rsid w:val="00DE1212"/>
    <w:rsid w:val="00DE2739"/>
    <w:rsid w:val="00DF2733"/>
    <w:rsid w:val="00DF4F7C"/>
    <w:rsid w:val="00DF5C71"/>
    <w:rsid w:val="00DF5FEB"/>
    <w:rsid w:val="00E04001"/>
    <w:rsid w:val="00E109CB"/>
    <w:rsid w:val="00E13163"/>
    <w:rsid w:val="00E17110"/>
    <w:rsid w:val="00E32EC6"/>
    <w:rsid w:val="00E41DC6"/>
    <w:rsid w:val="00E46924"/>
    <w:rsid w:val="00E46F5F"/>
    <w:rsid w:val="00E544D7"/>
    <w:rsid w:val="00E61DDD"/>
    <w:rsid w:val="00E70EA8"/>
    <w:rsid w:val="00E72A00"/>
    <w:rsid w:val="00E73437"/>
    <w:rsid w:val="00E74DCB"/>
    <w:rsid w:val="00E80104"/>
    <w:rsid w:val="00E80A67"/>
    <w:rsid w:val="00E8589C"/>
    <w:rsid w:val="00E86068"/>
    <w:rsid w:val="00E86E75"/>
    <w:rsid w:val="00EA2D26"/>
    <w:rsid w:val="00EA3061"/>
    <w:rsid w:val="00EA4F00"/>
    <w:rsid w:val="00EB4393"/>
    <w:rsid w:val="00EC08E0"/>
    <w:rsid w:val="00EC2C3C"/>
    <w:rsid w:val="00ED366A"/>
    <w:rsid w:val="00ED3ED7"/>
    <w:rsid w:val="00ED47AD"/>
    <w:rsid w:val="00ED65FE"/>
    <w:rsid w:val="00ED725B"/>
    <w:rsid w:val="00F008F7"/>
    <w:rsid w:val="00F010CE"/>
    <w:rsid w:val="00F017B0"/>
    <w:rsid w:val="00F0477B"/>
    <w:rsid w:val="00F1798B"/>
    <w:rsid w:val="00F205BE"/>
    <w:rsid w:val="00F2142B"/>
    <w:rsid w:val="00F21F1A"/>
    <w:rsid w:val="00F355C7"/>
    <w:rsid w:val="00F4269A"/>
    <w:rsid w:val="00F4476F"/>
    <w:rsid w:val="00F46D67"/>
    <w:rsid w:val="00F50730"/>
    <w:rsid w:val="00F56BB2"/>
    <w:rsid w:val="00F60064"/>
    <w:rsid w:val="00F60AB3"/>
    <w:rsid w:val="00F718E9"/>
    <w:rsid w:val="00F933D7"/>
    <w:rsid w:val="00F94657"/>
    <w:rsid w:val="00FA110F"/>
    <w:rsid w:val="00FB1209"/>
    <w:rsid w:val="00FB3400"/>
    <w:rsid w:val="00FB4645"/>
    <w:rsid w:val="00FB646C"/>
    <w:rsid w:val="00FC4A1F"/>
    <w:rsid w:val="00FC4AFB"/>
    <w:rsid w:val="00FC6E14"/>
    <w:rsid w:val="00FD06F7"/>
    <w:rsid w:val="00FD1CB4"/>
    <w:rsid w:val="00FD2AF0"/>
    <w:rsid w:val="00FD33DF"/>
    <w:rsid w:val="00FD39B1"/>
    <w:rsid w:val="00FD4C3E"/>
    <w:rsid w:val="00FD5E88"/>
    <w:rsid w:val="00FD7BDF"/>
    <w:rsid w:val="00FE0FE8"/>
    <w:rsid w:val="00FE36A9"/>
    <w:rsid w:val="00FE5CF9"/>
    <w:rsid w:val="00FE5FF3"/>
    <w:rsid w:val="00FF1230"/>
    <w:rsid w:val="00FF69A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338551"/>
  <w15:docId w15:val="{B927063C-FB02-4503-9210-517B1D4575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642926"/>
    <w:pPr>
      <w:ind w:left="720"/>
      <w:contextualSpacing/>
    </w:pPr>
  </w:style>
  <w:style w:type="paragraph" w:styleId="SemEspaamento">
    <w:name w:val="No Spacing"/>
    <w:aliases w:val="EMENTA"/>
    <w:uiPriority w:val="1"/>
    <w:qFormat/>
    <w:rsid w:val="008F791B"/>
    <w:pPr>
      <w:spacing w:after="360" w:line="360" w:lineRule="auto"/>
      <w:jc w:val="both"/>
    </w:pPr>
    <w:rPr>
      <w:rFonts w:ascii="Times New Roman" w:hAnsi="Times New Roman"/>
      <w:b/>
      <w:caps/>
      <w:sz w:val="24"/>
    </w:rPr>
  </w:style>
  <w:style w:type="character" w:styleId="Hyperlink">
    <w:name w:val="Hyperlink"/>
    <w:basedOn w:val="Fontepargpadro"/>
    <w:uiPriority w:val="99"/>
    <w:unhideWhenUsed/>
    <w:rsid w:val="00007C57"/>
    <w:rPr>
      <w:color w:val="0000FF"/>
      <w:u w:val="single"/>
    </w:rPr>
  </w:style>
  <w:style w:type="character" w:customStyle="1" w:styleId="highlightbrs">
    <w:name w:val="highlightbrs"/>
    <w:basedOn w:val="Fontepargpadro"/>
    <w:rsid w:val="002A270B"/>
  </w:style>
  <w:style w:type="paragraph" w:styleId="Textodenotadefim">
    <w:name w:val="endnote text"/>
    <w:basedOn w:val="Normal"/>
    <w:link w:val="TextodenotadefimChar"/>
    <w:uiPriority w:val="99"/>
    <w:semiHidden/>
    <w:unhideWhenUsed/>
    <w:rsid w:val="00647C71"/>
    <w:pPr>
      <w:spacing w:after="0" w:line="240" w:lineRule="auto"/>
    </w:pPr>
    <w:rPr>
      <w:sz w:val="20"/>
      <w:szCs w:val="20"/>
    </w:rPr>
  </w:style>
  <w:style w:type="character" w:customStyle="1" w:styleId="TextodenotadefimChar">
    <w:name w:val="Texto de nota de fim Char"/>
    <w:basedOn w:val="Fontepargpadro"/>
    <w:link w:val="Textodenotadefim"/>
    <w:uiPriority w:val="99"/>
    <w:semiHidden/>
    <w:rsid w:val="00647C71"/>
    <w:rPr>
      <w:sz w:val="20"/>
      <w:szCs w:val="20"/>
    </w:rPr>
  </w:style>
  <w:style w:type="character" w:styleId="Refdenotadefim">
    <w:name w:val="endnote reference"/>
    <w:basedOn w:val="Fontepargpadro"/>
    <w:uiPriority w:val="99"/>
    <w:semiHidden/>
    <w:unhideWhenUsed/>
    <w:rsid w:val="00647C71"/>
    <w:rPr>
      <w:vertAlign w:val="superscript"/>
    </w:rPr>
  </w:style>
  <w:style w:type="character" w:customStyle="1" w:styleId="MenoPendente1">
    <w:name w:val="Menção Pendente1"/>
    <w:basedOn w:val="Fontepargpadro"/>
    <w:uiPriority w:val="99"/>
    <w:semiHidden/>
    <w:unhideWhenUsed/>
    <w:rsid w:val="00647C71"/>
    <w:rPr>
      <w:color w:val="605E5C"/>
      <w:shd w:val="clear" w:color="auto" w:fill="E1DFDD"/>
    </w:rPr>
  </w:style>
  <w:style w:type="paragraph" w:styleId="Textodenotaderodap">
    <w:name w:val="footnote text"/>
    <w:basedOn w:val="Normal"/>
    <w:link w:val="TextodenotaderodapChar"/>
    <w:uiPriority w:val="99"/>
    <w:semiHidden/>
    <w:unhideWhenUsed/>
    <w:rsid w:val="00332DED"/>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332DED"/>
    <w:rPr>
      <w:sz w:val="20"/>
      <w:szCs w:val="20"/>
    </w:rPr>
  </w:style>
  <w:style w:type="character" w:styleId="Refdenotaderodap">
    <w:name w:val="footnote reference"/>
    <w:basedOn w:val="Fontepargpadro"/>
    <w:uiPriority w:val="99"/>
    <w:semiHidden/>
    <w:unhideWhenUsed/>
    <w:rsid w:val="00332DED"/>
    <w:rPr>
      <w:vertAlign w:val="superscript"/>
    </w:rPr>
  </w:style>
  <w:style w:type="paragraph" w:styleId="NormalWeb">
    <w:name w:val="Normal (Web)"/>
    <w:basedOn w:val="Normal"/>
    <w:uiPriority w:val="99"/>
    <w:unhideWhenUsed/>
    <w:rsid w:val="00DA5BFF"/>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Cabealho">
    <w:name w:val="header"/>
    <w:basedOn w:val="Normal"/>
    <w:link w:val="CabealhoChar"/>
    <w:uiPriority w:val="99"/>
    <w:unhideWhenUsed/>
    <w:rsid w:val="00412E7C"/>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412E7C"/>
  </w:style>
  <w:style w:type="paragraph" w:styleId="Rodap">
    <w:name w:val="footer"/>
    <w:basedOn w:val="Normal"/>
    <w:link w:val="RodapChar"/>
    <w:uiPriority w:val="99"/>
    <w:unhideWhenUsed/>
    <w:rsid w:val="00412E7C"/>
    <w:pPr>
      <w:tabs>
        <w:tab w:val="center" w:pos="4252"/>
        <w:tab w:val="right" w:pos="8504"/>
      </w:tabs>
      <w:spacing w:after="0" w:line="240" w:lineRule="auto"/>
    </w:pPr>
  </w:style>
  <w:style w:type="character" w:customStyle="1" w:styleId="RodapChar">
    <w:name w:val="Rodapé Char"/>
    <w:basedOn w:val="Fontepargpadro"/>
    <w:link w:val="Rodap"/>
    <w:uiPriority w:val="99"/>
    <w:rsid w:val="00412E7C"/>
  </w:style>
  <w:style w:type="character" w:styleId="nfase">
    <w:name w:val="Emphasis"/>
    <w:basedOn w:val="Fontepargpadro"/>
    <w:uiPriority w:val="20"/>
    <w:qFormat/>
    <w:rsid w:val="00D74F23"/>
    <w:rPr>
      <w:i/>
      <w:iCs/>
    </w:rPr>
  </w:style>
  <w:style w:type="character" w:styleId="RefernciaIntensa">
    <w:name w:val="Intense Reference"/>
    <w:basedOn w:val="Fontepargpadro"/>
    <w:uiPriority w:val="32"/>
    <w:qFormat/>
    <w:rsid w:val="00E04001"/>
    <w:rPr>
      <w:b/>
      <w:bCs/>
      <w:smallCaps/>
      <w:color w:val="5B9BD5" w:themeColor="accent1"/>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416889">
      <w:bodyDiv w:val="1"/>
      <w:marLeft w:val="0"/>
      <w:marRight w:val="0"/>
      <w:marTop w:val="0"/>
      <w:marBottom w:val="0"/>
      <w:divBdr>
        <w:top w:val="none" w:sz="0" w:space="0" w:color="auto"/>
        <w:left w:val="none" w:sz="0" w:space="0" w:color="auto"/>
        <w:bottom w:val="none" w:sz="0" w:space="0" w:color="auto"/>
        <w:right w:val="none" w:sz="0" w:space="0" w:color="auto"/>
      </w:divBdr>
    </w:div>
    <w:div w:id="305626004">
      <w:bodyDiv w:val="1"/>
      <w:marLeft w:val="0"/>
      <w:marRight w:val="0"/>
      <w:marTop w:val="0"/>
      <w:marBottom w:val="0"/>
      <w:divBdr>
        <w:top w:val="none" w:sz="0" w:space="0" w:color="auto"/>
        <w:left w:val="none" w:sz="0" w:space="0" w:color="auto"/>
        <w:bottom w:val="none" w:sz="0" w:space="0" w:color="auto"/>
        <w:right w:val="none" w:sz="0" w:space="0" w:color="auto"/>
      </w:divBdr>
    </w:div>
    <w:div w:id="530722481">
      <w:bodyDiv w:val="1"/>
      <w:marLeft w:val="0"/>
      <w:marRight w:val="0"/>
      <w:marTop w:val="0"/>
      <w:marBottom w:val="0"/>
      <w:divBdr>
        <w:top w:val="none" w:sz="0" w:space="0" w:color="auto"/>
        <w:left w:val="none" w:sz="0" w:space="0" w:color="auto"/>
        <w:bottom w:val="none" w:sz="0" w:space="0" w:color="auto"/>
        <w:right w:val="none" w:sz="0" w:space="0" w:color="auto"/>
      </w:divBdr>
    </w:div>
    <w:div w:id="544215962">
      <w:bodyDiv w:val="1"/>
      <w:marLeft w:val="0"/>
      <w:marRight w:val="0"/>
      <w:marTop w:val="0"/>
      <w:marBottom w:val="0"/>
      <w:divBdr>
        <w:top w:val="none" w:sz="0" w:space="0" w:color="auto"/>
        <w:left w:val="none" w:sz="0" w:space="0" w:color="auto"/>
        <w:bottom w:val="none" w:sz="0" w:space="0" w:color="auto"/>
        <w:right w:val="none" w:sz="0" w:space="0" w:color="auto"/>
      </w:divBdr>
    </w:div>
    <w:div w:id="547886593">
      <w:bodyDiv w:val="1"/>
      <w:marLeft w:val="0"/>
      <w:marRight w:val="0"/>
      <w:marTop w:val="0"/>
      <w:marBottom w:val="0"/>
      <w:divBdr>
        <w:top w:val="none" w:sz="0" w:space="0" w:color="auto"/>
        <w:left w:val="none" w:sz="0" w:space="0" w:color="auto"/>
        <w:bottom w:val="none" w:sz="0" w:space="0" w:color="auto"/>
        <w:right w:val="none" w:sz="0" w:space="0" w:color="auto"/>
      </w:divBdr>
    </w:div>
    <w:div w:id="673579271">
      <w:bodyDiv w:val="1"/>
      <w:marLeft w:val="0"/>
      <w:marRight w:val="0"/>
      <w:marTop w:val="0"/>
      <w:marBottom w:val="0"/>
      <w:divBdr>
        <w:top w:val="none" w:sz="0" w:space="0" w:color="auto"/>
        <w:left w:val="none" w:sz="0" w:space="0" w:color="auto"/>
        <w:bottom w:val="none" w:sz="0" w:space="0" w:color="auto"/>
        <w:right w:val="none" w:sz="0" w:space="0" w:color="auto"/>
      </w:divBdr>
    </w:div>
    <w:div w:id="869419931">
      <w:bodyDiv w:val="1"/>
      <w:marLeft w:val="0"/>
      <w:marRight w:val="0"/>
      <w:marTop w:val="0"/>
      <w:marBottom w:val="0"/>
      <w:divBdr>
        <w:top w:val="none" w:sz="0" w:space="0" w:color="auto"/>
        <w:left w:val="none" w:sz="0" w:space="0" w:color="auto"/>
        <w:bottom w:val="none" w:sz="0" w:space="0" w:color="auto"/>
        <w:right w:val="none" w:sz="0" w:space="0" w:color="auto"/>
      </w:divBdr>
      <w:divsChild>
        <w:div w:id="1238706704">
          <w:marLeft w:val="0"/>
          <w:marRight w:val="0"/>
          <w:marTop w:val="0"/>
          <w:marBottom w:val="0"/>
          <w:divBdr>
            <w:top w:val="none" w:sz="0" w:space="0" w:color="auto"/>
            <w:left w:val="none" w:sz="0" w:space="0" w:color="auto"/>
            <w:bottom w:val="none" w:sz="0" w:space="0" w:color="auto"/>
            <w:right w:val="none" w:sz="0" w:space="0" w:color="auto"/>
          </w:divBdr>
        </w:div>
      </w:divsChild>
    </w:div>
    <w:div w:id="1357077518">
      <w:bodyDiv w:val="1"/>
      <w:marLeft w:val="0"/>
      <w:marRight w:val="0"/>
      <w:marTop w:val="0"/>
      <w:marBottom w:val="0"/>
      <w:divBdr>
        <w:top w:val="none" w:sz="0" w:space="0" w:color="auto"/>
        <w:left w:val="none" w:sz="0" w:space="0" w:color="auto"/>
        <w:bottom w:val="none" w:sz="0" w:space="0" w:color="auto"/>
        <w:right w:val="none" w:sz="0" w:space="0" w:color="auto"/>
      </w:divBdr>
    </w:div>
    <w:div w:id="1361397871">
      <w:bodyDiv w:val="1"/>
      <w:marLeft w:val="0"/>
      <w:marRight w:val="0"/>
      <w:marTop w:val="0"/>
      <w:marBottom w:val="0"/>
      <w:divBdr>
        <w:top w:val="none" w:sz="0" w:space="0" w:color="auto"/>
        <w:left w:val="none" w:sz="0" w:space="0" w:color="auto"/>
        <w:bottom w:val="none" w:sz="0" w:space="0" w:color="auto"/>
        <w:right w:val="none" w:sz="0" w:space="0" w:color="auto"/>
      </w:divBdr>
    </w:div>
    <w:div w:id="1415054741">
      <w:bodyDiv w:val="1"/>
      <w:marLeft w:val="0"/>
      <w:marRight w:val="0"/>
      <w:marTop w:val="0"/>
      <w:marBottom w:val="0"/>
      <w:divBdr>
        <w:top w:val="none" w:sz="0" w:space="0" w:color="auto"/>
        <w:left w:val="none" w:sz="0" w:space="0" w:color="auto"/>
        <w:bottom w:val="none" w:sz="0" w:space="0" w:color="auto"/>
        <w:right w:val="none" w:sz="0" w:space="0" w:color="auto"/>
      </w:divBdr>
    </w:div>
    <w:div w:id="1455128335">
      <w:bodyDiv w:val="1"/>
      <w:marLeft w:val="0"/>
      <w:marRight w:val="0"/>
      <w:marTop w:val="0"/>
      <w:marBottom w:val="0"/>
      <w:divBdr>
        <w:top w:val="none" w:sz="0" w:space="0" w:color="auto"/>
        <w:left w:val="none" w:sz="0" w:space="0" w:color="auto"/>
        <w:bottom w:val="none" w:sz="0" w:space="0" w:color="auto"/>
        <w:right w:val="none" w:sz="0" w:space="0" w:color="auto"/>
      </w:divBdr>
    </w:div>
    <w:div w:id="1491751064">
      <w:bodyDiv w:val="1"/>
      <w:marLeft w:val="0"/>
      <w:marRight w:val="0"/>
      <w:marTop w:val="0"/>
      <w:marBottom w:val="0"/>
      <w:divBdr>
        <w:top w:val="none" w:sz="0" w:space="0" w:color="auto"/>
        <w:left w:val="none" w:sz="0" w:space="0" w:color="auto"/>
        <w:bottom w:val="none" w:sz="0" w:space="0" w:color="auto"/>
        <w:right w:val="none" w:sz="0" w:space="0" w:color="auto"/>
      </w:divBdr>
    </w:div>
    <w:div w:id="1500272223">
      <w:bodyDiv w:val="1"/>
      <w:marLeft w:val="0"/>
      <w:marRight w:val="0"/>
      <w:marTop w:val="0"/>
      <w:marBottom w:val="0"/>
      <w:divBdr>
        <w:top w:val="none" w:sz="0" w:space="0" w:color="auto"/>
        <w:left w:val="none" w:sz="0" w:space="0" w:color="auto"/>
        <w:bottom w:val="none" w:sz="0" w:space="0" w:color="auto"/>
        <w:right w:val="none" w:sz="0" w:space="0" w:color="auto"/>
      </w:divBdr>
    </w:div>
    <w:div w:id="1627664554">
      <w:bodyDiv w:val="1"/>
      <w:marLeft w:val="0"/>
      <w:marRight w:val="0"/>
      <w:marTop w:val="0"/>
      <w:marBottom w:val="0"/>
      <w:divBdr>
        <w:top w:val="none" w:sz="0" w:space="0" w:color="auto"/>
        <w:left w:val="none" w:sz="0" w:space="0" w:color="auto"/>
        <w:bottom w:val="none" w:sz="0" w:space="0" w:color="auto"/>
        <w:right w:val="none" w:sz="0" w:space="0" w:color="auto"/>
      </w:divBdr>
    </w:div>
    <w:div w:id="1799182846">
      <w:bodyDiv w:val="1"/>
      <w:marLeft w:val="0"/>
      <w:marRight w:val="0"/>
      <w:marTop w:val="0"/>
      <w:marBottom w:val="0"/>
      <w:divBdr>
        <w:top w:val="none" w:sz="0" w:space="0" w:color="auto"/>
        <w:left w:val="none" w:sz="0" w:space="0" w:color="auto"/>
        <w:bottom w:val="none" w:sz="0" w:space="0" w:color="auto"/>
        <w:right w:val="none" w:sz="0" w:space="0" w:color="auto"/>
      </w:divBdr>
    </w:div>
    <w:div w:id="1866597119">
      <w:bodyDiv w:val="1"/>
      <w:marLeft w:val="0"/>
      <w:marRight w:val="0"/>
      <w:marTop w:val="0"/>
      <w:marBottom w:val="0"/>
      <w:divBdr>
        <w:top w:val="none" w:sz="0" w:space="0" w:color="auto"/>
        <w:left w:val="none" w:sz="0" w:space="0" w:color="auto"/>
        <w:bottom w:val="none" w:sz="0" w:space="0" w:color="auto"/>
        <w:right w:val="none" w:sz="0" w:space="0" w:color="auto"/>
      </w:divBdr>
    </w:div>
    <w:div w:id="1884754220">
      <w:bodyDiv w:val="1"/>
      <w:marLeft w:val="0"/>
      <w:marRight w:val="0"/>
      <w:marTop w:val="0"/>
      <w:marBottom w:val="0"/>
      <w:divBdr>
        <w:top w:val="none" w:sz="0" w:space="0" w:color="auto"/>
        <w:left w:val="none" w:sz="0" w:space="0" w:color="auto"/>
        <w:bottom w:val="none" w:sz="0" w:space="0" w:color="auto"/>
        <w:right w:val="none" w:sz="0" w:space="0" w:color="auto"/>
      </w:divBdr>
    </w:div>
    <w:div w:id="1901941761">
      <w:bodyDiv w:val="1"/>
      <w:marLeft w:val="0"/>
      <w:marRight w:val="0"/>
      <w:marTop w:val="0"/>
      <w:marBottom w:val="0"/>
      <w:divBdr>
        <w:top w:val="none" w:sz="0" w:space="0" w:color="auto"/>
        <w:left w:val="none" w:sz="0" w:space="0" w:color="auto"/>
        <w:bottom w:val="none" w:sz="0" w:space="0" w:color="auto"/>
        <w:right w:val="none" w:sz="0" w:space="0" w:color="auto"/>
      </w:divBdr>
    </w:div>
    <w:div w:id="1919821174">
      <w:bodyDiv w:val="1"/>
      <w:marLeft w:val="0"/>
      <w:marRight w:val="0"/>
      <w:marTop w:val="0"/>
      <w:marBottom w:val="0"/>
      <w:divBdr>
        <w:top w:val="none" w:sz="0" w:space="0" w:color="auto"/>
        <w:left w:val="none" w:sz="0" w:space="0" w:color="auto"/>
        <w:bottom w:val="none" w:sz="0" w:space="0" w:color="auto"/>
        <w:right w:val="none" w:sz="0" w:space="0" w:color="auto"/>
      </w:divBdr>
    </w:div>
    <w:div w:id="19455763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4.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3.xml"/><Relationship Id="rId5" Type="http://schemas.openxmlformats.org/officeDocument/2006/relationships/webSettings" Target="webSettings.xml"/><Relationship Id="rId10"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047196AB5BBE5E429A3A4541B64F6B06" ma:contentTypeVersion="10" ma:contentTypeDescription="Crie um novo documento." ma:contentTypeScope="" ma:versionID="561e2fb7a4b2050ed644ab5f56afcb86">
  <xsd:schema xmlns:xsd="http://www.w3.org/2001/XMLSchema" xmlns:xs="http://www.w3.org/2001/XMLSchema" xmlns:p="http://schemas.microsoft.com/office/2006/metadata/properties" xmlns:ns2="c04bd5eb-5da3-4c78-b159-2bc8443a6345" xmlns:ns3="0b1c8c71-5c14-46ef-9c85-f6af5a95de9b" targetNamespace="http://schemas.microsoft.com/office/2006/metadata/properties" ma:root="true" ma:fieldsID="70940b4c58051c96231cc2ff0c54fd50" ns2:_="" ns3:_="">
    <xsd:import namespace="c04bd5eb-5da3-4c78-b159-2bc8443a6345"/>
    <xsd:import namespace="0b1c8c71-5c14-46ef-9c85-f6af5a95de9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4bd5eb-5da3-4c78-b159-2bc8443a634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Marcações de imagem" ma:readOnly="false" ma:fieldId="{5cf76f15-5ced-4ddc-b409-7134ff3c332f}" ma:taxonomyMulti="true" ma:sspId="b67eaf0a-f2cb-4adb-8ec3-a80bcab9db56"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0b1c8c71-5c14-46ef-9c85-f6af5a95de9b"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74af078-3d5b-4a80-9ae6-49a763dfa133}" ma:internalName="TaxCatchAll" ma:showField="CatchAllData" ma:web="0b1c8c71-5c14-46ef-9c85-f6af5a95de9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0b1c8c71-5c14-46ef-9c85-f6af5a95de9b" xsi:nil="true"/>
    <lcf76f155ced4ddcb4097134ff3c332f xmlns="c04bd5eb-5da3-4c78-b159-2bc8443a634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C5FDD8C-8016-40DA-9EDE-F9DB5167E8C7}">
  <ds:schemaRefs>
    <ds:schemaRef ds:uri="http://schemas.openxmlformats.org/officeDocument/2006/bibliography"/>
  </ds:schemaRefs>
</ds:datastoreItem>
</file>

<file path=customXml/itemProps2.xml><?xml version="1.0" encoding="utf-8"?>
<ds:datastoreItem xmlns:ds="http://schemas.openxmlformats.org/officeDocument/2006/customXml" ds:itemID="{1D62B243-1FB6-4435-8D7B-568377667D5A}"/>
</file>

<file path=customXml/itemProps3.xml><?xml version="1.0" encoding="utf-8"?>
<ds:datastoreItem xmlns:ds="http://schemas.openxmlformats.org/officeDocument/2006/customXml" ds:itemID="{D4805E2B-B7C5-4F7B-ADF1-9A49BDC73ABF}"/>
</file>

<file path=customXml/itemProps4.xml><?xml version="1.0" encoding="utf-8"?>
<ds:datastoreItem xmlns:ds="http://schemas.openxmlformats.org/officeDocument/2006/customXml" ds:itemID="{54E69E20-F5CC-4798-B192-201EE3D4027F}"/>
</file>

<file path=docProps/app.xml><?xml version="1.0" encoding="utf-8"?>
<Properties xmlns="http://schemas.openxmlformats.org/officeDocument/2006/extended-properties" xmlns:vt="http://schemas.openxmlformats.org/officeDocument/2006/docPropsVTypes">
  <Template>Normal</Template>
  <TotalTime>911</TotalTime>
  <Pages>1</Pages>
  <Words>1636</Words>
  <Characters>8840</Characters>
  <Application>Microsoft Office Word</Application>
  <DocSecurity>0</DocSecurity>
  <Lines>73</Lines>
  <Paragraphs>20</Paragraphs>
  <ScaleCrop>false</ScaleCrop>
  <HeadingPairs>
    <vt:vector size="2" baseType="variant">
      <vt:variant>
        <vt:lpstr>Título</vt:lpstr>
      </vt:variant>
      <vt:variant>
        <vt:i4>1</vt:i4>
      </vt:variant>
    </vt:vector>
  </HeadingPairs>
  <TitlesOfParts>
    <vt:vector size="1" baseType="lpstr">
      <vt:lpstr/>
    </vt:vector>
  </TitlesOfParts>
  <Company>Tribunal de Justiça do Estado do Paraná</Company>
  <LinksUpToDate>false</LinksUpToDate>
  <CharactersWithSpaces>10456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Cleysson Willian Vilaca de Jesus</dc:creator>
  <cp:keywords/>
  <dc:description/>
  <cp:lastModifiedBy>Cleysson Willian Vilaca de Jesus</cp:lastModifiedBy>
  <cp:revision>13</cp:revision>
  <cp:lastPrinted>2023-02-01T16:46:00Z</cp:lastPrinted>
  <dcterms:created xsi:type="dcterms:W3CDTF">2023-06-15T19:39:00Z</dcterms:created>
  <dcterms:modified xsi:type="dcterms:W3CDTF">2023-12-05T18:53:00Z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0x010100047196AB5BBE5E429A3A4541B64F6B06</vt:lpwstr>
  </property>
  <property fmtid="{D5CDD505-2E9C-101B-9397-08002B2CF9AE}" pid="3" name="Order">
    <vt:r8>339600</vt:r8>
  </property>
  <property fmtid="{D5CDD505-2E9C-101B-9397-08002B2CF9AE}" pid="5" name="docLang">
    <vt:lpwstr>pt</vt:lpwstr>
  </property>
  <property fmtid="{D5CDD505-2E9C-101B-9397-08002B2CF9AE}" pid="6" name="MediaServiceImageTags">
    <vt:lpwstr/>
  </property>
</Properties>
</file>