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FBA32D" w14:textId="77777777" w:rsidR="00C25691" w:rsidRDefault="00C25691" w:rsidP="00C0763E">
      <w:pPr>
        <w:spacing w:before="240" w:after="240" w:line="360" w:lineRule="auto"/>
        <w:ind w:firstLine="709"/>
        <w:jc w:val="both"/>
        <w:rPr>
          <w:rFonts w:ascii="Times New Roman" w:eastAsia="Times New Roman" w:hAnsi="Times New Roman" w:cs="Times New Roman"/>
          <w:b/>
          <w:sz w:val="24"/>
          <w:szCs w:val="24"/>
          <w:lang w:eastAsia="pt-BR"/>
        </w:rPr>
      </w:pPr>
    </w:p>
    <w:p w14:paraId="1465D8D6" w14:textId="5DEE5F67" w:rsidR="00C25691" w:rsidRDefault="00C25691" w:rsidP="00B124C6">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PENAL E PROCESSUAL PENAL. RECURSO EM SENTIDO ESTRITO. DANO QUALIFICADO. ART. 163, PARÁGRAFO ÚNICO, III, CP. RÉU NÃO LOCALIZADO PARA SER CITADO. SUSPENSÃO DO PROCESSO E DO PRAZO PRESCRICIONAL. ART. 366, CPP. INDEFERIMENTO DE PRODUÇÃO DE PROVA ANTECIPADA. IRRESIGNAÇÃO MINISTERIAL.</w:t>
      </w:r>
      <w:r w:rsidR="00B124C6">
        <w:rPr>
          <w:rFonts w:ascii="Times New Roman" w:eastAsia="Times New Roman" w:hAnsi="Times New Roman" w:cs="Times New Roman"/>
          <w:b/>
          <w:sz w:val="24"/>
          <w:szCs w:val="24"/>
          <w:lang w:eastAsia="pt-BR"/>
        </w:rPr>
        <w:t xml:space="preserve"> DILIGÊNCIA DEFERIDA EM DECISÃO ANTERIOR. RETRATAÇÃO DE OFÍCIO. PRECLUSÃO PRO JUDICATO. ART. 505, CPC.</w:t>
      </w:r>
      <w:r>
        <w:rPr>
          <w:rFonts w:ascii="Times New Roman" w:eastAsia="Times New Roman" w:hAnsi="Times New Roman" w:cs="Times New Roman"/>
          <w:b/>
          <w:sz w:val="24"/>
          <w:szCs w:val="24"/>
          <w:lang w:eastAsia="pt-BR"/>
        </w:rPr>
        <w:t xml:space="preserve"> OITIVA DE GUARDAS MUNICIPAIS QUE ATENDERAM A OCORRÊNCIA. RISCO DE PERECIMENTO DA PROVA. AÇÃO DO TEMPO NA CAPACIDADE MNEMÔNICA DA TESTEMUNHA. PROVA ÚTIL PARA O DESCORTINAMENTO DOS FATOS. RECURSO CONHECIDO E PROVIDO.</w:t>
      </w:r>
    </w:p>
    <w:p w14:paraId="618898C1" w14:textId="3766E52B" w:rsidR="00C25691" w:rsidRPr="00C25691" w:rsidRDefault="00C25691"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1. Em regra, e defeso ao magistrado, por preclusão </w:t>
      </w:r>
      <w:r>
        <w:rPr>
          <w:rFonts w:ascii="Times New Roman" w:eastAsia="Times New Roman" w:hAnsi="Times New Roman" w:cs="Times New Roman"/>
          <w:b/>
          <w:i/>
          <w:sz w:val="24"/>
          <w:szCs w:val="24"/>
          <w:lang w:eastAsia="pt-BR"/>
        </w:rPr>
        <w:t xml:space="preserve">pro judicato, </w:t>
      </w:r>
      <w:r>
        <w:rPr>
          <w:rFonts w:ascii="Times New Roman" w:eastAsia="Times New Roman" w:hAnsi="Times New Roman" w:cs="Times New Roman"/>
          <w:b/>
          <w:sz w:val="24"/>
          <w:szCs w:val="24"/>
          <w:lang w:eastAsia="pt-BR"/>
        </w:rPr>
        <w:t>decidir novamente as questões já decididas, relativas à mesma lide. Inteligência do art. 505, do Código de Processo Civil.</w:t>
      </w:r>
    </w:p>
    <w:p w14:paraId="2CD142DC" w14:textId="79A00368" w:rsidR="00C25691" w:rsidRDefault="00C25691"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w:t>
      </w:r>
      <w:r w:rsidR="00B124C6">
        <w:rPr>
          <w:rFonts w:ascii="Times New Roman" w:eastAsia="Times New Roman" w:hAnsi="Times New Roman" w:cs="Times New Roman"/>
          <w:b/>
          <w:sz w:val="24"/>
          <w:szCs w:val="24"/>
          <w:lang w:eastAsia="pt-BR"/>
        </w:rPr>
        <w:t xml:space="preserve"> Nas hipóteses de suspensão do processo, nos termos do artigo 366, do Código de Processo Penal, o alongamento do tempo do processo justifica a produção antecipada de prova para oitiva de testemunha, como forma de preservar o conteúdo mnemônico sobre os fatos.</w:t>
      </w:r>
    </w:p>
    <w:p w14:paraId="7CF77546" w14:textId="2E014176" w:rsidR="00C25691" w:rsidRDefault="00C25691"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 Recurso conhecido e provido.</w:t>
      </w:r>
    </w:p>
    <w:p w14:paraId="054EFF32" w14:textId="77777777" w:rsidR="00C25691" w:rsidRDefault="00C25691"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7CAFBD20" w:rsidR="00D74F23" w:rsidRPr="006074D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074D3">
        <w:rPr>
          <w:rFonts w:ascii="Times New Roman" w:eastAsia="Times New Roman" w:hAnsi="Times New Roman" w:cs="Times New Roman"/>
          <w:b/>
          <w:sz w:val="24"/>
          <w:szCs w:val="24"/>
          <w:lang w:eastAsia="pt-BR"/>
        </w:rPr>
        <w:t>I – RELATÓRIO</w:t>
      </w:r>
    </w:p>
    <w:p w14:paraId="14EDAD5A" w14:textId="69E981B8" w:rsidR="00782DE0"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782DE0">
        <w:rPr>
          <w:rFonts w:ascii="Times New Roman" w:eastAsia="Times New Roman" w:hAnsi="Times New Roman" w:cs="Times New Roman"/>
          <w:sz w:val="24"/>
          <w:szCs w:val="24"/>
          <w:lang w:eastAsia="pt-BR"/>
        </w:rPr>
        <w:t xml:space="preserve"> de recurso em sentido estrito interposto pelo Ministério Público, tendo como objeto decisão proferida pelo juízo da 5ª Vara Criminal de Curitiba, que indeferiu requerimento de produção antecipada de prova para oitiva de guardas municipais, em processo suspenso em razão da não localização pessoal do réu para citação (evento 143.1 – autos de origem).</w:t>
      </w:r>
    </w:p>
    <w:p w14:paraId="3FB9C8C8" w14:textId="1D40ECCD" w:rsidR="00782DE0" w:rsidRDefault="00782DE0"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Eis, em síntese, as razões de inconformismo: a) a antecipação da produção da prova testemunhal é relevante para preservação do conteúdo informativo, vulnerado pela ação do decurso do tempo na capacidade mnemônica dos depoentes; b) as testemunhas, guardas municipais, envolvem-se em diversas ocorrências criminais, fator contributivo para corrosão da memória sobre evento específico relacionado ao exercício da profissão (evento 147.1 – autos de origem).</w:t>
      </w:r>
    </w:p>
    <w:p w14:paraId="5EC92E9E" w14:textId="318485C1" w:rsidR="00782DE0" w:rsidRDefault="00DD5762"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Nas contrarrazões, a defesa argumentou, em síntese, que a inquirição de testemunhas, no contexto atual do processo, sem a possiblidade de participação direta do acusado, vulnera as garantias à ampla defesa e ao contraditório (evento 159.1 – autos de origem).</w:t>
      </w:r>
    </w:p>
    <w:p w14:paraId="440C118F" w14:textId="1BC4056D" w:rsidR="00DD5762" w:rsidRDefault="00DD5762"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Opinou a Procuradoria-Geral de Justiça pelo conhecimento e provimento do recurso (evento 16.1).</w:t>
      </w:r>
    </w:p>
    <w:p w14:paraId="4A10DC9F" w14:textId="33A109FB" w:rsidR="00DD5762" w:rsidRDefault="00DD5762"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1BB4A0DA" w14:textId="77777777" w:rsidR="006074D3" w:rsidRDefault="006074D3"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6074D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074D3">
        <w:rPr>
          <w:rFonts w:ascii="Times New Roman" w:eastAsia="Times New Roman" w:hAnsi="Times New Roman" w:cs="Times New Roman"/>
          <w:b/>
          <w:sz w:val="24"/>
          <w:szCs w:val="24"/>
          <w:lang w:eastAsia="pt-BR"/>
        </w:rPr>
        <w:t>II – VOTO E SUA FUNDAMENTAÇÃO</w:t>
      </w:r>
    </w:p>
    <w:p w14:paraId="35798B1F" w14:textId="2C571696" w:rsidR="00412E7C"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 – DO JUÍZO DE ADMISSIBILIDADE</w:t>
      </w:r>
    </w:p>
    <w:p w14:paraId="240A5661" w14:textId="33B1F94B" w:rsidR="00782DE0"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de admissibilidade, conhece-se do recurso interposto.</w:t>
      </w:r>
    </w:p>
    <w:p w14:paraId="4DB571B6" w14:textId="77777777" w:rsidR="00782DE0"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p>
    <w:p w14:paraId="19FD48B6" w14:textId="6E66DC38" w:rsidR="00782DE0"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II.II – </w:t>
      </w:r>
      <w:r w:rsidR="00C25691">
        <w:rPr>
          <w:rFonts w:ascii="Times New Roman" w:eastAsia="Times New Roman" w:hAnsi="Times New Roman" w:cs="Times New Roman"/>
          <w:sz w:val="24"/>
          <w:szCs w:val="24"/>
          <w:lang w:eastAsia="pt-BR"/>
        </w:rPr>
        <w:t>DA PRODUÇÃO ANTECIPADA DE PROVA</w:t>
      </w:r>
    </w:p>
    <w:p w14:paraId="47448212" w14:textId="7952EAC4" w:rsidR="00782DE0"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Cinge-se a controvérsia recursal </w:t>
      </w:r>
      <w:r w:rsidR="00DD5762">
        <w:rPr>
          <w:rFonts w:ascii="Times New Roman" w:eastAsia="Times New Roman" w:hAnsi="Times New Roman" w:cs="Times New Roman"/>
          <w:sz w:val="24"/>
          <w:szCs w:val="24"/>
          <w:lang w:eastAsia="pt-BR"/>
        </w:rPr>
        <w:t>à pretensão de reforma de decisão negativa de produção antecipada de prova a requerimento do Ministério Público.</w:t>
      </w:r>
    </w:p>
    <w:p w14:paraId="7D05588F" w14:textId="55C12301" w:rsidR="00EE0460" w:rsidRDefault="00EE046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Colhe-se dos autos que, ao deliberar sobre a suspensão do processo e do prazo prescricional, o juízo </w:t>
      </w:r>
      <w:r>
        <w:rPr>
          <w:rFonts w:ascii="Times New Roman" w:eastAsia="Times New Roman" w:hAnsi="Times New Roman" w:cs="Times New Roman"/>
          <w:i/>
          <w:sz w:val="24"/>
          <w:szCs w:val="24"/>
          <w:lang w:eastAsia="pt-BR"/>
        </w:rPr>
        <w:t>a quo</w:t>
      </w:r>
      <w:r>
        <w:rPr>
          <w:rFonts w:ascii="Times New Roman" w:eastAsia="Times New Roman" w:hAnsi="Times New Roman" w:cs="Times New Roman"/>
          <w:sz w:val="24"/>
          <w:szCs w:val="24"/>
          <w:lang w:eastAsia="pt-BR"/>
        </w:rPr>
        <w:t xml:space="preserve"> deferiu requerimento ministerial de produção antecipada de prova, para oitiva de guardas municipais arrolados como testemunhas de acusação (evento 133.1 – autos de origem).</w:t>
      </w:r>
    </w:p>
    <w:p w14:paraId="6D68D279" w14:textId="0F311D69" w:rsidR="00EE0460" w:rsidRDefault="00EE046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Contudo, o posicionamento foi posteriormente revisto, sem provocação das partes ou alteração do quadro fático-jurídico, </w:t>
      </w:r>
      <w:r w:rsidR="00F363D5">
        <w:rPr>
          <w:rFonts w:ascii="Times New Roman" w:eastAsia="Times New Roman" w:hAnsi="Times New Roman" w:cs="Times New Roman"/>
          <w:sz w:val="24"/>
          <w:szCs w:val="24"/>
          <w:lang w:eastAsia="pt-BR"/>
        </w:rPr>
        <w:t>com o indeferimento do referido requerimento (evento 143.1 – autos de origem).</w:t>
      </w:r>
    </w:p>
    <w:p w14:paraId="6A420AC0" w14:textId="083BB6F6" w:rsidR="00F363D5" w:rsidRDefault="00F363D5"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No caso concreto, a retratação da decisão anterior de ofício configura contundente violação à segurança jurídica e ao devido processo legal, em contrariedade à regra inscrita no artigo 505, do Código de Processo Civil, aplicável ao caso por força do disposto no artigo 3º, do Código de Processo Penal.</w:t>
      </w:r>
    </w:p>
    <w:p w14:paraId="340EC826" w14:textId="77777777" w:rsidR="00F363D5" w:rsidRDefault="00F363D5"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 preclusão </w:t>
      </w:r>
      <w:r w:rsidRPr="00F363D5">
        <w:rPr>
          <w:rFonts w:ascii="Times New Roman" w:eastAsia="Times New Roman" w:hAnsi="Times New Roman" w:cs="Times New Roman"/>
          <w:i/>
          <w:sz w:val="24"/>
          <w:szCs w:val="24"/>
          <w:lang w:eastAsia="pt-BR"/>
        </w:rPr>
        <w:t>pro judicato</w:t>
      </w:r>
      <w:r>
        <w:rPr>
          <w:rFonts w:ascii="Times New Roman" w:eastAsia="Times New Roman" w:hAnsi="Times New Roman" w:cs="Times New Roman"/>
          <w:sz w:val="24"/>
          <w:szCs w:val="24"/>
          <w:lang w:eastAsia="pt-BR"/>
        </w:rPr>
        <w:t>, conceito técnico deduzido da norma do artigo 505, do Código de Processo Civil, preserva a segurança jurídica dos litigantes em processo judicial para vedar ao magistrado, após pronunciamento decisório, modificar, de forma substancial, o que foi decidido.</w:t>
      </w:r>
    </w:p>
    <w:p w14:paraId="19A2BD29" w14:textId="77777777" w:rsidR="00F363D5" w:rsidRDefault="00F363D5"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Sobre o tema:</w:t>
      </w:r>
    </w:p>
    <w:p w14:paraId="19C57550" w14:textId="7DE6219F" w:rsidR="00F363D5" w:rsidRPr="00F363D5" w:rsidRDefault="00F363D5" w:rsidP="00F363D5">
      <w:pPr>
        <w:spacing w:before="600" w:after="600" w:line="360" w:lineRule="auto"/>
        <w:ind w:left="2268"/>
        <w:jc w:val="both"/>
        <w:rPr>
          <w:rFonts w:ascii="Times New Roman" w:eastAsia="Times New Roman" w:hAnsi="Times New Roman" w:cs="Times New Roman"/>
          <w:sz w:val="16"/>
          <w:szCs w:val="24"/>
          <w:lang w:eastAsia="pt-BR"/>
        </w:rPr>
      </w:pPr>
      <w:r w:rsidRPr="00F363D5">
        <w:rPr>
          <w:rFonts w:ascii="Times New Roman" w:hAnsi="Times New Roman" w:cs="Times New Roman"/>
          <w:spacing w:val="2"/>
          <w:sz w:val="20"/>
          <w:szCs w:val="30"/>
          <w:shd w:val="clear" w:color="auto" w:fill="FFFFFF"/>
        </w:rPr>
        <w:t>RECURSO DE AGRAVO EM EXECUÇÃO – PROGRESSÃO DE REGIME – DECISÃO POSTERIOR PROFERIDA DE OFÍCIO REVOGANDO O BENEFÍCIO – IMPOSSIBILIDADE – PRECLUSÃO PRO JUDICATO – RECURSO PROVIDO. A preclusão pro judicato tem como principal fundamento o princípio da segurança jurídica, razão pela qual é defeso ao magistrado, após proferir decisão acerca da matéria, modificar, de forma substancial, o que foi decidido, especialmente quando a retificação vier em prejuízo do sentenciado.</w:t>
      </w:r>
      <w:r w:rsidR="00D36885">
        <w:rPr>
          <w:rFonts w:ascii="Times New Roman" w:hAnsi="Times New Roman" w:cs="Times New Roman"/>
          <w:spacing w:val="2"/>
          <w:sz w:val="20"/>
          <w:szCs w:val="30"/>
          <w:shd w:val="clear" w:color="auto" w:fill="FFFFFF"/>
        </w:rPr>
        <w:t xml:space="preserve"> </w:t>
      </w:r>
      <w:r w:rsidRPr="00F363D5">
        <w:rPr>
          <w:rFonts w:ascii="Times New Roman" w:hAnsi="Times New Roman" w:cs="Times New Roman"/>
          <w:spacing w:val="2"/>
          <w:sz w:val="20"/>
          <w:szCs w:val="30"/>
          <w:shd w:val="clear" w:color="auto" w:fill="FFFFFF"/>
        </w:rPr>
        <w:t>Recurso conhecido e provido. (TJPR - 5ª C.Criminal - 0009456-14.2019.8.16.0025 - Araucária - Rel.: Desembargador Jorge Wagih Massad - J. 21.10.2019)</w:t>
      </w:r>
      <w:r w:rsidRPr="00F363D5">
        <w:rPr>
          <w:rFonts w:ascii="Times New Roman" w:eastAsia="Times New Roman" w:hAnsi="Times New Roman" w:cs="Times New Roman"/>
          <w:sz w:val="16"/>
          <w:szCs w:val="24"/>
          <w:lang w:eastAsia="pt-BR"/>
        </w:rPr>
        <w:t xml:space="preserve"> </w:t>
      </w:r>
    </w:p>
    <w:p w14:paraId="11E90AD8" w14:textId="77777777" w:rsidR="00264D5F" w:rsidRDefault="00947DB6"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Inobstante, a necessidade e adequação da produção antecipada do meio probatório encontra-se matizada na relevância do depoimento pessoal dos guardas municipais para o</w:t>
      </w:r>
      <w:r w:rsidR="00264D5F">
        <w:rPr>
          <w:rFonts w:ascii="Times New Roman" w:eastAsia="Times New Roman" w:hAnsi="Times New Roman" w:cs="Times New Roman"/>
          <w:sz w:val="24"/>
          <w:szCs w:val="24"/>
          <w:lang w:eastAsia="pt-BR"/>
        </w:rPr>
        <w:t xml:space="preserve"> descortinamento dos fatos, especialmente pela circunstância de terem sido eles os responsáveis pela prisão em flagrante.</w:t>
      </w:r>
    </w:p>
    <w:p w14:paraId="5DDF9C2F" w14:textId="7E43FE9B" w:rsidR="00264D5F" w:rsidRDefault="00264D5F"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Ademais, contrariamente ao argumentado pela defesa, a medida, se realizada sob pálio do contraditório com atuação da defesa técnica, não representa vulneração à nenhuma garantia processual constitucionalmente consagrada.</w:t>
      </w:r>
    </w:p>
    <w:p w14:paraId="118B8995" w14:textId="0E588C26" w:rsidR="00264D5F" w:rsidRDefault="00264D5F"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Sobre o tema:</w:t>
      </w:r>
    </w:p>
    <w:p w14:paraId="67118240" w14:textId="77777777" w:rsidR="00264D5F" w:rsidRDefault="00264D5F" w:rsidP="00264D5F">
      <w:pPr>
        <w:spacing w:before="600" w:after="600" w:line="360" w:lineRule="auto"/>
        <w:ind w:left="2268"/>
        <w:jc w:val="both"/>
        <w:rPr>
          <w:rFonts w:ascii="Times New Roman" w:eastAsia="Times New Roman" w:hAnsi="Times New Roman" w:cs="Times New Roman"/>
          <w:sz w:val="20"/>
          <w:szCs w:val="24"/>
          <w:lang w:eastAsia="pt-BR"/>
        </w:rPr>
      </w:pPr>
      <w:r w:rsidRPr="00264D5F">
        <w:rPr>
          <w:rFonts w:ascii="Times New Roman" w:eastAsia="Times New Roman" w:hAnsi="Times New Roman" w:cs="Times New Roman"/>
          <w:sz w:val="20"/>
          <w:szCs w:val="24"/>
          <w:lang w:eastAsia="pt-BR"/>
        </w:rPr>
        <w:t xml:space="preserve">RECURSO EM SENTIDO ESTRITO. ARTIGOS 306, §1º, INCISO I, E 309 DA LEI Nº 9.503/97, E ARTIGO 330, DO CÓDIGO PENAL. SUSPENSÃO DO PROCESSO E DO CURSO DO PRAZO PRESCRICIONAL. </w:t>
      </w:r>
      <w:r w:rsidRPr="00264D5F">
        <w:rPr>
          <w:rFonts w:ascii="Times New Roman" w:eastAsia="Times New Roman" w:hAnsi="Times New Roman" w:cs="Times New Roman"/>
          <w:b/>
          <w:sz w:val="20"/>
          <w:szCs w:val="24"/>
          <w:lang w:eastAsia="pt-BR"/>
        </w:rPr>
        <w:t>ARTIGO 366, DO CPP. INDEFERIMENTO DO PLEITO MINISTERIAL. 1. PRODUÇÃO ANTECIPADA DE PROVAS. OITIVA DOS POLICIAIS MILITARES QUE PARTICIPARAM DO ATENDIMENTO DA OCORRÊNCIA. RISCO DE PERECIMENTO DA PROVA. CONTATO ROTINEIRO COM SITUAÇÕES ASSEMELHADAS, O QUE ALIADO AO DECURSO DO TEMPO, CONDUZ À NATURAL IMPRECISÃO A RESPEITO DOS DETALHES FÁTICOS DOS CRIMES EM APURAÇÃO. REFORMA DA DECISÃO SINGULAR A FIM DE POSSIBILITAR A COLHEITA ANTECIPADA DA PROVA TESTEMUNHAL</w:t>
      </w:r>
      <w:r w:rsidRPr="00264D5F">
        <w:rPr>
          <w:rFonts w:ascii="Times New Roman" w:eastAsia="Times New Roman" w:hAnsi="Times New Roman" w:cs="Times New Roman"/>
          <w:sz w:val="20"/>
          <w:szCs w:val="24"/>
          <w:lang w:eastAsia="pt-BR"/>
        </w:rPr>
        <w:t>. 2. PRISÃO PREVENTIVA. REQUISITOS NÃO PREENCHIDOS. IMPRESCINDIBILIDADE DA MEDIDA NÃO DEMONSTRADA. ACUSADO PRIMÁRIO DE QUEM, POR ORA, NÃO HÁ NOTÍCIAS DE QUE VOLTOU A DELINQUIR APÓS A SUPOSTA PRÁTICA DOS DELITOS NARRADOS NA DENÚNCIA. RECURSO CONHECIDO E PARCIALMENTE PROVIDO.</w:t>
      </w:r>
      <w:r>
        <w:rPr>
          <w:rFonts w:ascii="Times New Roman" w:eastAsia="Times New Roman" w:hAnsi="Times New Roman" w:cs="Times New Roman"/>
          <w:sz w:val="20"/>
          <w:szCs w:val="24"/>
          <w:lang w:eastAsia="pt-BR"/>
        </w:rPr>
        <w:t xml:space="preserve"> </w:t>
      </w:r>
      <w:r w:rsidRPr="00264D5F">
        <w:rPr>
          <w:rFonts w:ascii="Times New Roman" w:eastAsia="Times New Roman" w:hAnsi="Times New Roman" w:cs="Times New Roman"/>
          <w:sz w:val="20"/>
          <w:szCs w:val="24"/>
          <w:lang w:eastAsia="pt-BR"/>
        </w:rPr>
        <w:t>(TJPR - 2ª Câmara Criminal - 0022059-65.2023.8.16.0030 [0005642-42.2020.8.16.0030/0] - Foz do Iguaçu -  Rel.: DESEMBARGADORA PRISCILLA PLACHA SÁ -  J. 21.08.2023)</w:t>
      </w:r>
      <w:r>
        <w:rPr>
          <w:rFonts w:ascii="Times New Roman" w:eastAsia="Times New Roman" w:hAnsi="Times New Roman" w:cs="Times New Roman"/>
          <w:sz w:val="20"/>
          <w:szCs w:val="24"/>
          <w:lang w:eastAsia="pt-BR"/>
        </w:rPr>
        <w:t xml:space="preserve"> </w:t>
      </w:r>
    </w:p>
    <w:p w14:paraId="19C33FA8" w14:textId="71CEA01D" w:rsidR="00264D5F" w:rsidRPr="00264D5F" w:rsidRDefault="00264D5F" w:rsidP="00264D5F">
      <w:pPr>
        <w:spacing w:before="600" w:after="600" w:line="360" w:lineRule="auto"/>
        <w:ind w:left="2268"/>
        <w:jc w:val="both"/>
        <w:rPr>
          <w:rFonts w:ascii="Times New Roman" w:eastAsia="Times New Roman" w:hAnsi="Times New Roman" w:cs="Times New Roman"/>
          <w:sz w:val="20"/>
          <w:szCs w:val="24"/>
          <w:lang w:eastAsia="pt-BR"/>
        </w:rPr>
      </w:pPr>
      <w:r>
        <w:rPr>
          <w:rFonts w:ascii="Times New Roman" w:hAnsi="Times New Roman" w:cs="Times New Roman"/>
          <w:sz w:val="21"/>
          <w:szCs w:val="21"/>
        </w:rPr>
        <w:t xml:space="preserve">RECURSO EM SENTIDO ESTRITO – CRIME AMBIENTAL - ARTIGOS 54, § 2º, INCISO V (1º FATO) E ARTIGO 38, CAPUT (2º FATO), AMBOS DA LEI Nº. 9.605/98 – DECISÃO DE INDEFERIMENTO DO PLEITO DE PRODUÇÃO DE PROVA ANTECIPADA – IRRESIGNAÇÃO DO ÓRGÃO MINISTERIAL. PLEITO DE PRODUÇÃO ANTECIPADA DE PROVAS, CONSISTENTE NA OITIVA DE POLICIAIS MILITARES QUE ATENDERAM A OCORRÊNCIA – PROVIMENTO - PRODUÇÃO DE PROVA ANTECIPADA COM INTUITO DE APURAR A VERDADE DOS FATOS E EVITAR O PERECIMENTO DA PROVA – FATOS OCORRIDOS EM 2018 - NECESSIDADE DA PROVIDÊNCIA CONCRETAMENTE FUNDAMENTADA - PRECEDENTES DO SUPERIOR TRIBUNAL DE JUSTIÇA E DESTA E. CORTE.RECURSO CONHECIDO E PROVIDO.- </w:t>
      </w:r>
      <w:r w:rsidRPr="00C25691">
        <w:rPr>
          <w:rFonts w:ascii="Times New Roman" w:hAnsi="Times New Roman" w:cs="Times New Roman"/>
          <w:b/>
          <w:sz w:val="21"/>
          <w:szCs w:val="21"/>
        </w:rPr>
        <w:t>Nos casos em que o período de suspensão do processo se estende de modo significativo, afigura-se prudente e razoável que a prova testemunhal seja colhida por antecipação, pois há risco de que o longo decurso de tempo prejudique a memória dos depoentes em detrimento da apuração da verdade, sendo forçoso preservá-la em momento oportuno para a devida instrução do processo, visando ao esclarecimento dos fatos com a maior proximidade possível da sua verdade.</w:t>
      </w:r>
      <w:r>
        <w:rPr>
          <w:rFonts w:ascii="Times New Roman" w:hAnsi="Times New Roman" w:cs="Times New Roman"/>
          <w:sz w:val="21"/>
          <w:szCs w:val="21"/>
        </w:rPr>
        <w:t xml:space="preserve"> (TJPR - 2ª Câmara Criminal - 0000523-03.2017.8.16.0064 – Castro - Rel.: JUIZ DE DIREITO SUBSTITUTO EM SEGUNDO GRAU MAURO BLEY PEREIRA JUNIOR</w:t>
      </w:r>
      <w:r w:rsidR="00C25691">
        <w:rPr>
          <w:rFonts w:ascii="Times New Roman" w:hAnsi="Times New Roman" w:cs="Times New Roman"/>
          <w:sz w:val="21"/>
          <w:szCs w:val="21"/>
        </w:rPr>
        <w:t xml:space="preserve"> </w:t>
      </w:r>
      <w:r>
        <w:rPr>
          <w:rFonts w:ascii="Times New Roman" w:hAnsi="Times New Roman" w:cs="Times New Roman"/>
          <w:sz w:val="21"/>
          <w:szCs w:val="21"/>
        </w:rPr>
        <w:t>- J. 21.06.2021)</w:t>
      </w:r>
    </w:p>
    <w:p w14:paraId="5952BDC3" w14:textId="77777777" w:rsidR="00C25691" w:rsidRDefault="00C25691"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Nesse contexto, o decurso do tempo torna imprescindível a antecipação da prova, sob pena de perecimento de seu conteúdo em prejuízo da atuação do Ministério Público na condição de órgão acusador.</w:t>
      </w:r>
    </w:p>
    <w:p w14:paraId="75D3CEC3" w14:textId="186F69C4" w:rsidR="00C25691" w:rsidRDefault="00C25691" w:rsidP="002F0485">
      <w:pPr>
        <w:spacing w:before="240" w:after="240" w:line="360" w:lineRule="auto"/>
        <w:ind w:firstLine="709"/>
        <w:jc w:val="both"/>
        <w:rPr>
          <w:rFonts w:ascii="Times New Roman" w:eastAsia="Times New Roman" w:hAnsi="Times New Roman" w:cs="Times New Roman"/>
          <w:sz w:val="24"/>
          <w:szCs w:val="24"/>
          <w:lang w:eastAsia="pt-BR"/>
        </w:rPr>
      </w:pPr>
    </w:p>
    <w:p w14:paraId="05393237" w14:textId="52BA7AFC" w:rsidR="007409B3" w:rsidRDefault="007409B3"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DOS HONORÁRIOS DATIVOS</w:t>
      </w:r>
    </w:p>
    <w:p w14:paraId="3A1C6A92" w14:textId="06772CC3" w:rsidR="007409B3" w:rsidRDefault="007409B3" w:rsidP="007409B3">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Considerando os critérios estabelecidos no artigo 82, § 2º, do Código de Processo Civil e o disposto na Resolução Conjunta nº 15 de 2019 – PGE/SEJA, arbitra-se em R$ 400,00 (quatrocentos reais) os honorários dativos </w:t>
      </w:r>
      <w:r>
        <w:rPr>
          <w:rFonts w:ascii="Times New Roman" w:eastAsia="Times New Roman" w:hAnsi="Times New Roman" w:cs="Times New Roman"/>
          <w:bCs/>
          <w:sz w:val="24"/>
          <w:szCs w:val="24"/>
          <w:lang w:eastAsia="pt-BR"/>
        </w:rPr>
        <w:t>do advogado Érico Rodrigo Tashiro Gonçalves, inscrito na OAB PR sob o nº 54.046, ante a atuação em grau recursal na defesa do imputado (evento 153.1 – autos de origem).</w:t>
      </w:r>
    </w:p>
    <w:p w14:paraId="570D0424" w14:textId="77777777" w:rsidR="007409B3" w:rsidRDefault="007409B3" w:rsidP="002F0485">
      <w:pPr>
        <w:spacing w:before="240" w:after="240" w:line="360" w:lineRule="auto"/>
        <w:ind w:firstLine="709"/>
        <w:jc w:val="both"/>
        <w:rPr>
          <w:rFonts w:ascii="Times New Roman" w:eastAsia="Times New Roman" w:hAnsi="Times New Roman" w:cs="Times New Roman"/>
          <w:sz w:val="24"/>
          <w:szCs w:val="24"/>
          <w:lang w:eastAsia="pt-BR"/>
        </w:rPr>
      </w:pPr>
      <w:bookmarkStart w:id="0" w:name="_GoBack"/>
      <w:bookmarkEnd w:id="0"/>
    </w:p>
    <w:p w14:paraId="457866F8" w14:textId="09E45A78" w:rsidR="00782DE0" w:rsidRPr="007409B3"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r w:rsidRPr="007409B3">
        <w:rPr>
          <w:rFonts w:ascii="Times New Roman" w:eastAsia="Times New Roman" w:hAnsi="Times New Roman" w:cs="Times New Roman"/>
          <w:sz w:val="24"/>
          <w:szCs w:val="24"/>
          <w:lang w:eastAsia="pt-BR"/>
        </w:rPr>
        <w:t>II.I</w:t>
      </w:r>
      <w:r w:rsidR="007409B3">
        <w:rPr>
          <w:rFonts w:ascii="Times New Roman" w:eastAsia="Times New Roman" w:hAnsi="Times New Roman" w:cs="Times New Roman"/>
          <w:sz w:val="24"/>
          <w:szCs w:val="24"/>
          <w:lang w:eastAsia="pt-BR"/>
        </w:rPr>
        <w:t>V</w:t>
      </w:r>
      <w:r w:rsidRPr="007409B3">
        <w:rPr>
          <w:rFonts w:ascii="Times New Roman" w:eastAsia="Times New Roman" w:hAnsi="Times New Roman" w:cs="Times New Roman"/>
          <w:sz w:val="24"/>
          <w:szCs w:val="24"/>
          <w:lang w:eastAsia="pt-BR"/>
        </w:rPr>
        <w:t xml:space="preserve"> – DA CONCLUSÃO</w:t>
      </w:r>
    </w:p>
    <w:p w14:paraId="5326C031" w14:textId="63733F08" w:rsidR="00C25691"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Ante o exposto, a conclusão a ser adotada consiste no conhecimento do recurso</w:t>
      </w:r>
      <w:r w:rsidR="00C25691">
        <w:rPr>
          <w:rFonts w:ascii="Times New Roman" w:eastAsia="Times New Roman" w:hAnsi="Times New Roman" w:cs="Times New Roman"/>
          <w:sz w:val="24"/>
          <w:szCs w:val="24"/>
          <w:lang w:eastAsia="pt-BR"/>
        </w:rPr>
        <w:t xml:space="preserve"> e provimento do recurso, deferindo-se a antecipação da produção probatória requerida pelo Ministério Público.</w:t>
      </w:r>
    </w:p>
    <w:p w14:paraId="3ADABED2" w14:textId="50AA8BB9" w:rsidR="00782DE0"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6B2C444B" w14:textId="77777777" w:rsidR="00782DE0" w:rsidRDefault="00782DE0" w:rsidP="002F0485">
      <w:pPr>
        <w:spacing w:before="240" w:after="240" w:line="360" w:lineRule="auto"/>
        <w:ind w:firstLine="709"/>
        <w:jc w:val="both"/>
        <w:rPr>
          <w:rFonts w:ascii="Times New Roman" w:eastAsia="Times New Roman" w:hAnsi="Times New Roman" w:cs="Times New Roman"/>
          <w:sz w:val="24"/>
          <w:szCs w:val="24"/>
          <w:lang w:eastAsia="pt-BR"/>
        </w:rPr>
      </w:pPr>
    </w:p>
    <w:p w14:paraId="4D15B1B5" w14:textId="540F0F94" w:rsidR="00782DE0" w:rsidRPr="00782DE0" w:rsidRDefault="00782DE0" w:rsidP="002F0485">
      <w:pPr>
        <w:spacing w:before="240" w:after="240" w:line="360" w:lineRule="auto"/>
        <w:ind w:firstLine="709"/>
        <w:jc w:val="both"/>
        <w:rPr>
          <w:b/>
        </w:rPr>
      </w:pPr>
      <w:r w:rsidRPr="00782DE0">
        <w:rPr>
          <w:rFonts w:ascii="Times New Roman" w:eastAsia="Times New Roman" w:hAnsi="Times New Roman" w:cs="Times New Roman"/>
          <w:b/>
          <w:sz w:val="24"/>
          <w:szCs w:val="24"/>
          <w:lang w:eastAsia="pt-BR"/>
        </w:rPr>
        <w:t>III - DECISÃO</w:t>
      </w:r>
    </w:p>
    <w:sectPr w:rsidR="00782DE0" w:rsidRPr="00782DE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4D5F"/>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074D3"/>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09B3"/>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2DE0"/>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47DB6"/>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124C6"/>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25691"/>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36885"/>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D5762"/>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EE0460"/>
    <w:rsid w:val="00F008F7"/>
    <w:rsid w:val="00F010CE"/>
    <w:rsid w:val="00F017B0"/>
    <w:rsid w:val="00F0477B"/>
    <w:rsid w:val="00F1798B"/>
    <w:rsid w:val="00F205BE"/>
    <w:rsid w:val="00F2142B"/>
    <w:rsid w:val="00F21F1A"/>
    <w:rsid w:val="00F355C7"/>
    <w:rsid w:val="00F363D5"/>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9FDDC4-B0C5-4475-B18B-01CB97CA2629}">
  <ds:schemaRefs>
    <ds:schemaRef ds:uri="http://schemas.openxmlformats.org/officeDocument/2006/bibliography"/>
  </ds:schemaRefs>
</ds:datastoreItem>
</file>

<file path=customXml/itemProps2.xml><?xml version="1.0" encoding="utf-8"?>
<ds:datastoreItem xmlns:ds="http://schemas.openxmlformats.org/officeDocument/2006/customXml" ds:itemID="{3620AAE1-4AE6-4C88-80D0-1CE8BA4BBD67}"/>
</file>

<file path=customXml/itemProps3.xml><?xml version="1.0" encoding="utf-8"?>
<ds:datastoreItem xmlns:ds="http://schemas.openxmlformats.org/officeDocument/2006/customXml" ds:itemID="{83291077-A5BE-4745-A355-F701CB9BA882}"/>
</file>

<file path=customXml/itemProps4.xml><?xml version="1.0" encoding="utf-8"?>
<ds:datastoreItem xmlns:ds="http://schemas.openxmlformats.org/officeDocument/2006/customXml" ds:itemID="{A7F1E5D6-DD9B-49DB-B68E-FBF133E8D141}"/>
</file>

<file path=docProps/app.xml><?xml version="1.0" encoding="utf-8"?>
<Properties xmlns="http://schemas.openxmlformats.org/officeDocument/2006/extended-properties" xmlns:vt="http://schemas.openxmlformats.org/officeDocument/2006/docPropsVTypes">
  <Template>Normal</Template>
  <TotalTime>909</TotalTime>
  <Pages>1</Pages>
  <Words>1253</Words>
  <Characters>6772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cp:revision>
  <cp:lastPrinted>2023-02-01T16:46:00Z</cp:lastPrinted>
  <dcterms:created xsi:type="dcterms:W3CDTF">2023-06-15T19:39:00Z</dcterms:created>
  <dcterms:modified xsi:type="dcterms:W3CDTF">2023-12-05T21:58:00Z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340200</vt:r8>
  </property>
</Properties>
</file>