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AE646C" w14:textId="7F32B107" w:rsidR="00853C8C" w:rsidRDefault="004D6574" w:rsidP="004D6574">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PROCESSUAL PENAL. RECURSO EM SENTIDO ESTRITO.</w:t>
      </w:r>
      <w:r w:rsidR="00853C8C">
        <w:rPr>
          <w:rFonts w:ascii="Times New Roman" w:eastAsia="Times New Roman" w:hAnsi="Times New Roman" w:cs="Times New Roman"/>
          <w:b/>
          <w:sz w:val="24"/>
          <w:szCs w:val="24"/>
          <w:lang w:eastAsia="pt-BR"/>
        </w:rPr>
        <w:t xml:space="preserve"> TRÁFICO DE DROGAS. ART. 33 DA LEI 11.343 DE 2006. ART. 12 DA LEI Nº 10.826 DE 2003. GRAVIDADE CONCRETA DO CRIME. EXPRESSIVA QUANTIDADE DE MACONHA, COCAÍNA E CRACK. REINCIDÊNCIA. CONDUTA PRATICADA DURANTE O CUMPRIMENTO DE PENA POR CRIME ANTERIOR. FUGA EMPREENDIDA NO MOMENTO DO FLAGRANTE. RÉU NÃO LOCALIZADO PARA SER CITADO. </w:t>
      </w:r>
      <w:r w:rsidR="00E26C48">
        <w:rPr>
          <w:rFonts w:ascii="Times New Roman" w:eastAsia="Times New Roman" w:hAnsi="Times New Roman" w:cs="Times New Roman"/>
          <w:b/>
          <w:sz w:val="24"/>
          <w:szCs w:val="24"/>
          <w:lang w:eastAsia="pt-BR"/>
        </w:rPr>
        <w:t xml:space="preserve">RISCO DE FRUSTAÇÃO À </w:t>
      </w:r>
      <w:r w:rsidR="00853C8C">
        <w:rPr>
          <w:rFonts w:ascii="Times New Roman" w:eastAsia="Times New Roman" w:hAnsi="Times New Roman" w:cs="Times New Roman"/>
          <w:b/>
          <w:sz w:val="24"/>
          <w:szCs w:val="24"/>
          <w:lang w:eastAsia="pt-BR"/>
        </w:rPr>
        <w:t>APLICAÇÃO DA LEI PENAL. INSUFIÊNCIA DE MEDIDAS CAUTELARES ALTERNATICAS. NECESSIDADE E ADEQUAÇÃO. PRISÃO PREVENTIVA DECRETADA. RECURSO CONHECIDO E PROVIDO.</w:t>
      </w:r>
    </w:p>
    <w:p w14:paraId="7BE0261E" w14:textId="77777777" w:rsidR="00E26C48" w:rsidRDefault="00853C8C" w:rsidP="004D6574">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 xml:space="preserve">1. Caracterizada a gravidade concreta do crime pelas circunstâncias de sua prática, </w:t>
      </w:r>
      <w:r w:rsidR="00E26C48">
        <w:rPr>
          <w:rFonts w:ascii="Times New Roman" w:eastAsia="Times New Roman" w:hAnsi="Times New Roman" w:cs="Times New Roman"/>
          <w:b/>
          <w:sz w:val="24"/>
          <w:szCs w:val="24"/>
          <w:lang w:eastAsia="pt-BR"/>
        </w:rPr>
        <w:t xml:space="preserve">configura-se o </w:t>
      </w:r>
      <w:r w:rsidR="00E26C48">
        <w:rPr>
          <w:rFonts w:ascii="Times New Roman" w:eastAsia="Times New Roman" w:hAnsi="Times New Roman" w:cs="Times New Roman"/>
          <w:b/>
          <w:i/>
          <w:sz w:val="24"/>
          <w:szCs w:val="24"/>
          <w:lang w:eastAsia="pt-BR"/>
        </w:rPr>
        <w:t xml:space="preserve">periculum libertatis </w:t>
      </w:r>
      <w:r w:rsidR="00E26C48">
        <w:rPr>
          <w:rFonts w:ascii="Times New Roman" w:eastAsia="Times New Roman" w:hAnsi="Times New Roman" w:cs="Times New Roman"/>
          <w:b/>
          <w:sz w:val="24"/>
          <w:szCs w:val="24"/>
          <w:lang w:eastAsia="pt-BR"/>
        </w:rPr>
        <w:t>exigido para decretação da prisão cautelar.</w:t>
      </w:r>
    </w:p>
    <w:p w14:paraId="0D74F00D" w14:textId="019853FE" w:rsidR="00853C8C" w:rsidRDefault="00E26C48" w:rsidP="004D6574">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2. A fuga no momento da abordagem policial conjugada com a reincidência e evasão do distrito da culpa</w:t>
      </w:r>
      <w:r w:rsidR="00853C8C">
        <w:rPr>
          <w:rFonts w:ascii="Times New Roman" w:eastAsia="Times New Roman" w:hAnsi="Times New Roman" w:cs="Times New Roman"/>
          <w:b/>
          <w:sz w:val="24"/>
          <w:szCs w:val="24"/>
          <w:lang w:eastAsia="pt-BR"/>
        </w:rPr>
        <w:t xml:space="preserve"> </w:t>
      </w:r>
      <w:r>
        <w:rPr>
          <w:rFonts w:ascii="Times New Roman" w:eastAsia="Times New Roman" w:hAnsi="Times New Roman" w:cs="Times New Roman"/>
          <w:b/>
          <w:sz w:val="24"/>
          <w:szCs w:val="24"/>
          <w:lang w:eastAsia="pt-BR"/>
        </w:rPr>
        <w:t>evidenciam propósito de frustação de eventual responsabilidade criminal.</w:t>
      </w:r>
    </w:p>
    <w:p w14:paraId="5F2BC05B" w14:textId="17621FA9" w:rsidR="00E26C48" w:rsidRDefault="00E26C48" w:rsidP="004D6574">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3. Recurso conhecido e provido.</w:t>
      </w:r>
    </w:p>
    <w:p w14:paraId="516AED20" w14:textId="77777777" w:rsidR="004D6574" w:rsidRDefault="004D6574" w:rsidP="004D6574">
      <w:pPr>
        <w:spacing w:before="240" w:after="240" w:line="360" w:lineRule="auto"/>
        <w:jc w:val="both"/>
        <w:rPr>
          <w:rFonts w:ascii="Times New Roman" w:eastAsia="Times New Roman" w:hAnsi="Times New Roman" w:cs="Times New Roman"/>
          <w:b/>
          <w:sz w:val="24"/>
          <w:szCs w:val="24"/>
          <w:lang w:eastAsia="pt-BR"/>
        </w:rPr>
      </w:pPr>
    </w:p>
    <w:p w14:paraId="682C7D7A" w14:textId="2CE00090" w:rsidR="00580301" w:rsidRPr="00580301"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580301">
        <w:rPr>
          <w:rFonts w:ascii="Times New Roman" w:eastAsia="Times New Roman" w:hAnsi="Times New Roman" w:cs="Times New Roman"/>
          <w:b/>
          <w:sz w:val="24"/>
          <w:szCs w:val="24"/>
          <w:lang w:eastAsia="pt-BR"/>
        </w:rPr>
        <w:t xml:space="preserve">I – </w:t>
      </w:r>
      <w:r w:rsidR="00580301" w:rsidRPr="00580301">
        <w:rPr>
          <w:rFonts w:ascii="Times New Roman" w:eastAsia="Times New Roman" w:hAnsi="Times New Roman" w:cs="Times New Roman"/>
          <w:b/>
          <w:sz w:val="24"/>
          <w:szCs w:val="24"/>
          <w:lang w:eastAsia="pt-BR"/>
        </w:rPr>
        <w:t>RELATÓRIO</w:t>
      </w:r>
    </w:p>
    <w:p w14:paraId="4147D4BB" w14:textId="50FF1694" w:rsidR="00580301" w:rsidRDefault="00580301"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Cuida-se de recurso em sentido estrito interposto pelo Ministério Público do Estado do Paraná, tendo como objeto decisão do juízo da 5ª Vara Criminal de Curitiba, que indeferiu pleito ministerial de prisão preventiva do imputado Luiz Carlos Santos Ramim (evento 1.3 – autos de origem).</w:t>
      </w:r>
    </w:p>
    <w:p w14:paraId="0162243D" w14:textId="3E866B88" w:rsidR="00A175C9" w:rsidRDefault="001C623B"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Argumenta o </w:t>
      </w:r>
      <w:r>
        <w:rPr>
          <w:rFonts w:ascii="Times New Roman" w:eastAsia="Times New Roman" w:hAnsi="Times New Roman" w:cs="Times New Roman"/>
          <w:i/>
          <w:sz w:val="24"/>
          <w:szCs w:val="24"/>
          <w:lang w:eastAsia="pt-BR"/>
        </w:rPr>
        <w:t>Parquet</w:t>
      </w:r>
      <w:r>
        <w:rPr>
          <w:rFonts w:ascii="Times New Roman" w:eastAsia="Times New Roman" w:hAnsi="Times New Roman" w:cs="Times New Roman"/>
          <w:sz w:val="24"/>
          <w:szCs w:val="24"/>
          <w:lang w:eastAsia="pt-BR"/>
        </w:rPr>
        <w:t>, em apertada síntese, que: a) o crime foi praticado durante o cumprimento de pena por fato anterior</w:t>
      </w:r>
      <w:r w:rsidR="004D6574">
        <w:rPr>
          <w:rFonts w:ascii="Times New Roman" w:eastAsia="Times New Roman" w:hAnsi="Times New Roman" w:cs="Times New Roman"/>
          <w:sz w:val="24"/>
          <w:szCs w:val="24"/>
          <w:lang w:eastAsia="pt-BR"/>
        </w:rPr>
        <w:t>, configurando-se reincidência</w:t>
      </w:r>
      <w:r>
        <w:rPr>
          <w:rFonts w:ascii="Times New Roman" w:eastAsia="Times New Roman" w:hAnsi="Times New Roman" w:cs="Times New Roman"/>
          <w:sz w:val="24"/>
          <w:szCs w:val="24"/>
          <w:lang w:eastAsia="pt-BR"/>
        </w:rPr>
        <w:t>;</w:t>
      </w:r>
      <w:r w:rsidR="00581E0C">
        <w:rPr>
          <w:rFonts w:ascii="Times New Roman" w:eastAsia="Times New Roman" w:hAnsi="Times New Roman" w:cs="Times New Roman"/>
          <w:sz w:val="24"/>
          <w:szCs w:val="24"/>
          <w:lang w:eastAsia="pt-BR"/>
        </w:rPr>
        <w:t xml:space="preserve"> b) durante a abordagem policial, o acusado empreendeu fuga; c)</w:t>
      </w:r>
      <w:r w:rsidR="004D6574">
        <w:rPr>
          <w:rFonts w:ascii="Times New Roman" w:eastAsia="Times New Roman" w:hAnsi="Times New Roman" w:cs="Times New Roman"/>
          <w:sz w:val="24"/>
          <w:szCs w:val="24"/>
          <w:lang w:eastAsia="pt-BR"/>
        </w:rPr>
        <w:t xml:space="preserve"> atualmente, o réu encontra-se em local incerto e não sabido; d) o comportamento evasivo do agente reclama decretação de prisão cautelar, como forma de garantir eventual aplicação da lei penal (evento 1.1 – autos de origem).</w:t>
      </w:r>
    </w:p>
    <w:p w14:paraId="68A5E2B2" w14:textId="0C1A5F49" w:rsidR="001C623B" w:rsidRPr="001C623B" w:rsidRDefault="001C623B"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lastRenderedPageBreak/>
        <w:t>Opinou a Procuradoria-Geral de Justiça pelo conhecimento e provimento do recurso (evento 14.1).</w:t>
      </w:r>
    </w:p>
    <w:p w14:paraId="120EB578" w14:textId="3BCAA044" w:rsidR="00877694" w:rsidRDefault="00877694"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É o necessário relato.</w:t>
      </w:r>
    </w:p>
    <w:p w14:paraId="67731B41" w14:textId="77777777" w:rsidR="00580301" w:rsidRDefault="00580301" w:rsidP="00877694">
      <w:pPr>
        <w:spacing w:before="240" w:after="240" w:line="360" w:lineRule="auto"/>
        <w:ind w:firstLine="709"/>
        <w:jc w:val="both"/>
        <w:rPr>
          <w:rFonts w:ascii="Times New Roman" w:eastAsia="Times New Roman" w:hAnsi="Times New Roman" w:cs="Times New Roman"/>
          <w:sz w:val="24"/>
          <w:szCs w:val="24"/>
          <w:lang w:eastAsia="pt-BR"/>
        </w:rPr>
      </w:pPr>
    </w:p>
    <w:p w14:paraId="5B3E7BDA" w14:textId="77777777" w:rsidR="00D74F23" w:rsidRPr="00580301"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bookmarkStart w:id="0" w:name="_GoBack"/>
      <w:r w:rsidRPr="00580301">
        <w:rPr>
          <w:rFonts w:ascii="Times New Roman" w:eastAsia="Times New Roman" w:hAnsi="Times New Roman" w:cs="Times New Roman"/>
          <w:b/>
          <w:sz w:val="24"/>
          <w:szCs w:val="24"/>
          <w:lang w:eastAsia="pt-BR"/>
        </w:rPr>
        <w:t>II – VOTO E SUA FUNDAMENTAÇÃO</w:t>
      </w:r>
    </w:p>
    <w:p w14:paraId="2A423151" w14:textId="5D394A14" w:rsidR="00580301" w:rsidRDefault="00580301"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 – DO JUÍZO DE ADMISSIBLIDADE</w:t>
      </w:r>
    </w:p>
    <w:p w14:paraId="79DBC298" w14:textId="52D5C064" w:rsidR="00580301" w:rsidRDefault="004D6574"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Satisfeitos os pressupostos de admissibilidade, conhece-se do presente recurso em sentido estrito.</w:t>
      </w:r>
    </w:p>
    <w:p w14:paraId="6D429591" w14:textId="77777777" w:rsidR="004D6574" w:rsidRDefault="004D6574" w:rsidP="00D3271F">
      <w:pPr>
        <w:spacing w:before="240" w:after="240" w:line="360" w:lineRule="auto"/>
        <w:ind w:firstLine="709"/>
        <w:jc w:val="both"/>
        <w:rPr>
          <w:rFonts w:ascii="Times New Roman" w:eastAsia="Times New Roman" w:hAnsi="Times New Roman" w:cs="Times New Roman"/>
          <w:sz w:val="24"/>
          <w:szCs w:val="24"/>
          <w:lang w:eastAsia="pt-BR"/>
        </w:rPr>
      </w:pPr>
    </w:p>
    <w:p w14:paraId="7023C149" w14:textId="2E70C254" w:rsidR="00580301" w:rsidRDefault="00580301"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II.II – DA PRISÃO PREVENTIVA</w:t>
      </w:r>
    </w:p>
    <w:p w14:paraId="36DBE4A9" w14:textId="671AC16A" w:rsidR="004D6574" w:rsidRDefault="00E7436F"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Cinge-se a controvérsia recursal à verificação do preenchimento dos requisitos à decretação da prisão preventiva do acusado Lucas Correia Seer, denunciado pela prática dos crimes previstos no artigo 33 da Lei nº 11.343 de 2006 e no artigo 12 da Lei nº 10.828 de 2003.</w:t>
      </w:r>
    </w:p>
    <w:p w14:paraId="32433950" w14:textId="45D80A96" w:rsidR="00E7436F" w:rsidRDefault="00E7436F" w:rsidP="00E7436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 decisão impugnada fundamenta-se nas premissas de que a prisão preventiva não é consequência automática da suspensão do processo e do prazo prescricional operada por força do artigo 366, do Código de Processo Penal, os investigados não contemplam violência ou grave ameaça e inexiste notícia de reiteração criminosa.</w:t>
      </w:r>
    </w:p>
    <w:p w14:paraId="6BEBBF3D" w14:textId="06A03188" w:rsidR="004E0F21" w:rsidRDefault="0065194C" w:rsidP="004E0F21">
      <w:pPr>
        <w:spacing w:before="240" w:after="240" w:line="360" w:lineRule="auto"/>
        <w:ind w:firstLine="709"/>
        <w:jc w:val="both"/>
        <w:rPr>
          <w:rFonts w:ascii="Times New Roman" w:eastAsia="Times New Roman" w:hAnsi="Times New Roman" w:cs="Times New Roman"/>
          <w:i/>
          <w:sz w:val="24"/>
          <w:szCs w:val="24"/>
          <w:lang w:eastAsia="pt-BR"/>
        </w:rPr>
      </w:pPr>
      <w:r>
        <w:rPr>
          <w:rFonts w:ascii="Times New Roman" w:eastAsia="Times New Roman" w:hAnsi="Times New Roman" w:cs="Times New Roman"/>
          <w:sz w:val="24"/>
          <w:szCs w:val="24"/>
          <w:lang w:eastAsia="pt-BR"/>
        </w:rPr>
        <w:t xml:space="preserve">No presente caso, há efetiva prova da materialidade e significativos indícios de autoria delitiva. Foi localizada farta quantidade de maconha, cocaína de crack no interior da residência do imputado, além de munições </w:t>
      </w:r>
      <w:r w:rsidR="004E0F21">
        <w:rPr>
          <w:rFonts w:ascii="Times New Roman" w:eastAsia="Times New Roman" w:hAnsi="Times New Roman" w:cs="Times New Roman"/>
          <w:sz w:val="24"/>
          <w:szCs w:val="24"/>
          <w:lang w:eastAsia="pt-BR"/>
        </w:rPr>
        <w:t xml:space="preserve">de calibre 9mm (nove milímetros). Resulta, portanto, atendido o </w:t>
      </w:r>
      <w:r w:rsidR="004E0F21">
        <w:rPr>
          <w:rFonts w:ascii="Times New Roman" w:eastAsia="Times New Roman" w:hAnsi="Times New Roman" w:cs="Times New Roman"/>
          <w:i/>
          <w:sz w:val="24"/>
          <w:szCs w:val="24"/>
          <w:lang w:eastAsia="pt-BR"/>
        </w:rPr>
        <w:t>fumus comissi delicti.</w:t>
      </w:r>
    </w:p>
    <w:p w14:paraId="32023593" w14:textId="77777777" w:rsidR="004E0F21" w:rsidRDefault="004E0F21" w:rsidP="004E0F21">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Quanto ao </w:t>
      </w:r>
      <w:r w:rsidRPr="004E0F21">
        <w:rPr>
          <w:rFonts w:ascii="Times New Roman" w:eastAsia="Times New Roman" w:hAnsi="Times New Roman" w:cs="Times New Roman"/>
          <w:i/>
          <w:sz w:val="24"/>
          <w:szCs w:val="24"/>
          <w:lang w:eastAsia="pt-BR"/>
        </w:rPr>
        <w:t>periculum libertatis</w:t>
      </w:r>
      <w:r>
        <w:rPr>
          <w:rFonts w:ascii="Times New Roman" w:eastAsia="Times New Roman" w:hAnsi="Times New Roman" w:cs="Times New Roman"/>
          <w:sz w:val="24"/>
          <w:szCs w:val="24"/>
          <w:lang w:eastAsia="pt-BR"/>
        </w:rPr>
        <w:t xml:space="preserve">, a reincidência, especificamente a prática de novo crime no curso do cumprimento de pena por outra infração penal, somada ao comportamento evasivo do agente no momento da abordagem, às circunstâncias do crime e a aparente fuga do distrito da culpa são fatores que reclamam a aplicação da prisão </w:t>
      </w:r>
      <w:r>
        <w:rPr>
          <w:rFonts w:ascii="Times New Roman" w:eastAsia="Times New Roman" w:hAnsi="Times New Roman" w:cs="Times New Roman"/>
          <w:sz w:val="24"/>
          <w:szCs w:val="24"/>
          <w:lang w:eastAsia="pt-BR"/>
        </w:rPr>
        <w:lastRenderedPageBreak/>
        <w:t>cautelar para assegurar eventual aplicação da lei penal, nos termos do artigo 282, do Código de Processo Penal.</w:t>
      </w:r>
    </w:p>
    <w:p w14:paraId="291DD4BC" w14:textId="426F336B" w:rsidR="00416702" w:rsidRDefault="00832EB0" w:rsidP="00832EB0">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w:t>
      </w:r>
      <w:r w:rsidR="004E0F21">
        <w:rPr>
          <w:rFonts w:ascii="Times New Roman" w:eastAsia="Times New Roman" w:hAnsi="Times New Roman" w:cs="Times New Roman"/>
          <w:sz w:val="24"/>
          <w:szCs w:val="24"/>
          <w:lang w:eastAsia="pt-BR"/>
        </w:rPr>
        <w:t xml:space="preserve"> gravidade concreta do crime encontra-se matizada na elevada quantidade de entorpecentes, 392g (trezentos e noventa e dois gramas) de maconha, 1</w:t>
      </w:r>
      <w:r>
        <w:rPr>
          <w:rFonts w:ascii="Times New Roman" w:eastAsia="Times New Roman" w:hAnsi="Times New Roman" w:cs="Times New Roman"/>
          <w:sz w:val="24"/>
          <w:szCs w:val="24"/>
          <w:lang w:eastAsia="pt-BR"/>
        </w:rPr>
        <w:t>kg (um quilograma) de crack e 1,748kg (um quilograma e setecentos e quarenta e oito gramas) de cocaína</w:t>
      </w:r>
      <w:r w:rsidR="00416702">
        <w:rPr>
          <w:rFonts w:ascii="Times New Roman" w:eastAsia="Times New Roman" w:hAnsi="Times New Roman" w:cs="Times New Roman"/>
          <w:sz w:val="24"/>
          <w:szCs w:val="24"/>
          <w:lang w:eastAsia="pt-BR"/>
        </w:rPr>
        <w:t>, sendo os dois últimos de elevado potencial lesivo à saúde pública, bem jurídico tutelado pela norma penal. Ainda, segundo elementos de informação colhidos na fase de inquérito, o acusado se utilizava de arma de fogo a pronto emprego para vigia e guarda do local de armazenamento da droga (eventos 1.3, 1.5, 1.9 e 1.10).</w:t>
      </w:r>
    </w:p>
    <w:p w14:paraId="2DF4D6EF" w14:textId="5F865CA8" w:rsidR="001C1C91" w:rsidRPr="001C1C91" w:rsidRDefault="001C1C91" w:rsidP="001C1C91">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 propósito:</w:t>
      </w:r>
    </w:p>
    <w:p w14:paraId="0F40C020" w14:textId="789AAEE4" w:rsidR="001C1C91" w:rsidRPr="001C1C91" w:rsidRDefault="001C1C91" w:rsidP="001C1C91">
      <w:pPr>
        <w:spacing w:before="600" w:after="600" w:line="360" w:lineRule="auto"/>
        <w:ind w:left="2268"/>
        <w:jc w:val="both"/>
        <w:rPr>
          <w:rFonts w:ascii="Times New Roman" w:eastAsia="Times New Roman" w:hAnsi="Times New Roman" w:cs="Times New Roman"/>
          <w:sz w:val="20"/>
          <w:szCs w:val="24"/>
          <w:lang w:eastAsia="pt-BR"/>
        </w:rPr>
      </w:pPr>
      <w:r w:rsidRPr="001C1C91">
        <w:rPr>
          <w:rFonts w:ascii="Times New Roman" w:eastAsia="Times New Roman" w:hAnsi="Times New Roman" w:cs="Times New Roman"/>
          <w:sz w:val="20"/>
          <w:szCs w:val="24"/>
          <w:lang w:eastAsia="pt-BR"/>
        </w:rPr>
        <w:t xml:space="preserve">HABEAS CORPUS - </w:t>
      </w:r>
      <w:r w:rsidRPr="001C1C91">
        <w:rPr>
          <w:rFonts w:ascii="Times New Roman" w:eastAsia="Times New Roman" w:hAnsi="Times New Roman" w:cs="Times New Roman"/>
          <w:b/>
          <w:sz w:val="20"/>
          <w:szCs w:val="24"/>
          <w:lang w:eastAsia="pt-BR"/>
        </w:rPr>
        <w:t>TRÁFICO</w:t>
      </w:r>
      <w:r w:rsidRPr="001C1C91">
        <w:rPr>
          <w:rFonts w:ascii="Times New Roman" w:eastAsia="Times New Roman" w:hAnsi="Times New Roman" w:cs="Times New Roman"/>
          <w:b/>
          <w:sz w:val="20"/>
          <w:szCs w:val="24"/>
          <w:lang w:eastAsia="pt-BR"/>
        </w:rPr>
        <w:t xml:space="preserve"> ILÍCITO DE DROGAS</w:t>
      </w:r>
      <w:r w:rsidRPr="001C1C91">
        <w:rPr>
          <w:rFonts w:ascii="Times New Roman" w:eastAsia="Times New Roman" w:hAnsi="Times New Roman" w:cs="Times New Roman"/>
          <w:b/>
          <w:sz w:val="20"/>
          <w:szCs w:val="24"/>
          <w:lang w:eastAsia="pt-BR"/>
        </w:rPr>
        <w:t xml:space="preserve"> (ART. 33, CAPUT, DA LEI 11.343/2006) – ASSOCIAÇÃO PARA O TRÁFICO (ART. 35, CAPUT, DA LEI 11.343/2006) – POSSE ILEGAL DE ARMA DE FOGO (ART. 12, DA LEI 10.836/2003)</w:t>
      </w:r>
      <w:r>
        <w:rPr>
          <w:rFonts w:ascii="Times New Roman" w:eastAsia="Times New Roman" w:hAnsi="Times New Roman" w:cs="Times New Roman"/>
          <w:sz w:val="20"/>
          <w:szCs w:val="24"/>
          <w:lang w:eastAsia="pt-BR"/>
        </w:rPr>
        <w:t xml:space="preserve"> – PEDIDO DE SUBSTITUIÇÃO DA PRISÃO PREVENTIVA </w:t>
      </w:r>
      <w:r w:rsidRPr="001C1C91">
        <w:rPr>
          <w:rFonts w:ascii="Times New Roman" w:eastAsia="Times New Roman" w:hAnsi="Times New Roman" w:cs="Times New Roman"/>
          <w:sz w:val="20"/>
          <w:szCs w:val="24"/>
          <w:lang w:eastAsia="pt-BR"/>
        </w:rPr>
        <w:t xml:space="preserve">PELA PRISÃO DOMICILIAR, COM FULCRO NO ART. 318 DO CÓDIGO DE PROCESSO PENAL - </w:t>
      </w:r>
      <w:r w:rsidRPr="001C1C91">
        <w:rPr>
          <w:rFonts w:ascii="Times New Roman" w:eastAsia="Times New Roman" w:hAnsi="Times New Roman" w:cs="Times New Roman"/>
          <w:b/>
          <w:sz w:val="20"/>
          <w:szCs w:val="24"/>
          <w:lang w:eastAsia="pt-BR"/>
        </w:rPr>
        <w:t>IMPOSSIBILIDADE NO CASO EM APREÇO - CIRCUNSTÂNCIAS DO CASO QUE DEMONSTRAM A NECESSIDADE DA MANUTENÇÃO DA CUSTÓDIA CAUTELAR DA PACIENTE</w:t>
      </w:r>
      <w:r w:rsidRPr="001C1C91">
        <w:rPr>
          <w:rFonts w:ascii="Times New Roman" w:eastAsia="Times New Roman" w:hAnsi="Times New Roman" w:cs="Times New Roman"/>
          <w:sz w:val="20"/>
          <w:szCs w:val="24"/>
          <w:lang w:eastAsia="pt-BR"/>
        </w:rPr>
        <w:t xml:space="preserve"> </w:t>
      </w:r>
      <w:r>
        <w:rPr>
          <w:rFonts w:ascii="Times New Roman" w:eastAsia="Times New Roman" w:hAnsi="Times New Roman" w:cs="Times New Roman"/>
          <w:sz w:val="20"/>
          <w:szCs w:val="24"/>
          <w:lang w:eastAsia="pt-BR"/>
        </w:rPr>
        <w:t xml:space="preserve">– </w:t>
      </w:r>
      <w:r w:rsidRPr="001C1C91">
        <w:rPr>
          <w:rFonts w:ascii="Times New Roman" w:eastAsia="Times New Roman" w:hAnsi="Times New Roman" w:cs="Times New Roman"/>
          <w:b/>
          <w:sz w:val="20"/>
          <w:szCs w:val="24"/>
          <w:lang w:eastAsia="pt-BR"/>
        </w:rPr>
        <w:t>GRAVIDADE CONCRETA DO DELITO</w:t>
      </w:r>
      <w:r>
        <w:rPr>
          <w:rFonts w:ascii="Times New Roman" w:eastAsia="Times New Roman" w:hAnsi="Times New Roman" w:cs="Times New Roman"/>
          <w:sz w:val="20"/>
          <w:szCs w:val="24"/>
          <w:lang w:eastAsia="pt-BR"/>
        </w:rPr>
        <w:t xml:space="preserve"> – </w:t>
      </w:r>
      <w:r w:rsidRPr="001C1C91">
        <w:rPr>
          <w:rFonts w:ascii="Times New Roman" w:eastAsia="Times New Roman" w:hAnsi="Times New Roman" w:cs="Times New Roman"/>
          <w:b/>
          <w:sz w:val="20"/>
          <w:szCs w:val="24"/>
          <w:lang w:eastAsia="pt-BR"/>
        </w:rPr>
        <w:t xml:space="preserve">APREENSÃO DE CRACK, COCAÍNA, MACONHA, </w:t>
      </w:r>
      <w:r w:rsidRPr="001C1C91">
        <w:rPr>
          <w:rFonts w:ascii="Times New Roman" w:eastAsia="Times New Roman" w:hAnsi="Times New Roman" w:cs="Times New Roman"/>
          <w:b/>
          <w:sz w:val="20"/>
          <w:szCs w:val="24"/>
          <w:lang w:eastAsia="pt-BR"/>
        </w:rPr>
        <w:t>ARMA DE FOGO E MUNIÇÕES</w:t>
      </w:r>
      <w:r w:rsidRPr="001C1C91">
        <w:rPr>
          <w:rFonts w:ascii="Times New Roman" w:eastAsia="Times New Roman" w:hAnsi="Times New Roman" w:cs="Times New Roman"/>
          <w:sz w:val="20"/>
          <w:szCs w:val="24"/>
          <w:lang w:eastAsia="pt-BR"/>
        </w:rPr>
        <w:t xml:space="preserve"> </w:t>
      </w:r>
      <w:r>
        <w:rPr>
          <w:rFonts w:ascii="Times New Roman" w:eastAsia="Times New Roman" w:hAnsi="Times New Roman" w:cs="Times New Roman"/>
          <w:sz w:val="20"/>
          <w:szCs w:val="24"/>
          <w:lang w:eastAsia="pt-BR"/>
        </w:rPr>
        <w:t xml:space="preserve">– </w:t>
      </w:r>
      <w:r w:rsidRPr="001C1C91">
        <w:rPr>
          <w:rFonts w:ascii="Times New Roman" w:eastAsia="Times New Roman" w:hAnsi="Times New Roman" w:cs="Times New Roman"/>
          <w:sz w:val="20"/>
          <w:szCs w:val="24"/>
          <w:lang w:eastAsia="pt-BR"/>
        </w:rPr>
        <w:t xml:space="preserve">PRESCINDIBILIDADE DA PACIENTE AOS CUIDADOS DO FILHO </w:t>
      </w:r>
      <w:r>
        <w:rPr>
          <w:rFonts w:ascii="Times New Roman" w:eastAsia="Times New Roman" w:hAnsi="Times New Roman" w:cs="Times New Roman"/>
          <w:sz w:val="20"/>
          <w:szCs w:val="24"/>
          <w:lang w:eastAsia="pt-BR"/>
        </w:rPr>
        <w:t xml:space="preserve">NÃO DEMONSTRADA – </w:t>
      </w:r>
      <w:r w:rsidRPr="001C1C91">
        <w:rPr>
          <w:rFonts w:ascii="Times New Roman" w:eastAsia="Times New Roman" w:hAnsi="Times New Roman" w:cs="Times New Roman"/>
          <w:sz w:val="20"/>
          <w:szCs w:val="24"/>
          <w:lang w:eastAsia="pt-BR"/>
        </w:rPr>
        <w:t xml:space="preserve">CRIANÇA DEVIDAMENTE ASSISTIDA PELA AVÓ MATERNA, COM QUEM RESIDE </w:t>
      </w:r>
      <w:r>
        <w:rPr>
          <w:rFonts w:ascii="Times New Roman" w:eastAsia="Times New Roman" w:hAnsi="Times New Roman" w:cs="Times New Roman"/>
          <w:sz w:val="20"/>
          <w:szCs w:val="24"/>
          <w:lang w:eastAsia="pt-BR"/>
        </w:rPr>
        <w:t xml:space="preserve">– </w:t>
      </w:r>
      <w:r w:rsidRPr="001C1C91">
        <w:rPr>
          <w:rFonts w:ascii="Times New Roman" w:eastAsia="Times New Roman" w:hAnsi="Times New Roman" w:cs="Times New Roman"/>
          <w:sz w:val="20"/>
          <w:szCs w:val="24"/>
          <w:lang w:eastAsia="pt-BR"/>
        </w:rPr>
        <w:t xml:space="preserve">EVENTUAIS </w:t>
      </w:r>
      <w:r>
        <w:rPr>
          <w:rFonts w:ascii="Times New Roman" w:eastAsia="Times New Roman" w:hAnsi="Times New Roman" w:cs="Times New Roman"/>
          <w:sz w:val="20"/>
          <w:szCs w:val="24"/>
          <w:lang w:eastAsia="pt-BR"/>
        </w:rPr>
        <w:t xml:space="preserve">CONDIÇÕES PESSOAIS FAVORÁVEIS QUE, POR SI SÓS, NÃO OBSTAM A DECRETAÇÃO DA PRISÃO PREVENTIVA – ORDEM DENEGADA </w:t>
      </w:r>
      <w:r w:rsidRPr="001C1C91">
        <w:rPr>
          <w:rFonts w:ascii="Times New Roman" w:eastAsia="Times New Roman" w:hAnsi="Times New Roman" w:cs="Times New Roman"/>
          <w:sz w:val="20"/>
          <w:szCs w:val="24"/>
          <w:lang w:eastAsia="pt-BR"/>
        </w:rPr>
        <w:t>(TJPR - 3ª Câmara Crimina</w:t>
      </w:r>
      <w:r>
        <w:rPr>
          <w:rFonts w:ascii="Times New Roman" w:eastAsia="Times New Roman" w:hAnsi="Times New Roman" w:cs="Times New Roman"/>
          <w:sz w:val="20"/>
          <w:szCs w:val="24"/>
          <w:lang w:eastAsia="pt-BR"/>
        </w:rPr>
        <w:t xml:space="preserve">l - 0077408-80.2022.8.16.0000 – </w:t>
      </w:r>
      <w:r w:rsidRPr="001C1C91">
        <w:rPr>
          <w:rFonts w:ascii="Times New Roman" w:eastAsia="Times New Roman" w:hAnsi="Times New Roman" w:cs="Times New Roman"/>
          <w:sz w:val="20"/>
          <w:szCs w:val="24"/>
          <w:lang w:eastAsia="pt-BR"/>
        </w:rPr>
        <w:t>Quedas do Iguaçu - Rel.: JUÍZA DE DIREITO SUBSTITUTO EM SEGUNDO GRAU ANGELA REGINA RAMINA DE LUCCA - J. 12.02.2023)</w:t>
      </w:r>
    </w:p>
    <w:p w14:paraId="6414E55F" w14:textId="1A50D7A8" w:rsidR="00832EB0" w:rsidRDefault="00832EB0" w:rsidP="00832EB0">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Nesse quadro, a reincidência opera como elemento indicador de eminente risco de reiteração, na medida que evidencia a frustração do propósito político criminal de prevenção especial, nos âmbitos negativo e positivo, a recomendar a restrição da liberdade como </w:t>
      </w:r>
      <w:r w:rsidR="00C35F49">
        <w:rPr>
          <w:rFonts w:ascii="Times New Roman" w:eastAsia="Times New Roman" w:hAnsi="Times New Roman" w:cs="Times New Roman"/>
          <w:sz w:val="24"/>
          <w:szCs w:val="24"/>
          <w:lang w:eastAsia="pt-BR"/>
        </w:rPr>
        <w:t>forma garantia da ordem pública.</w:t>
      </w:r>
    </w:p>
    <w:p w14:paraId="6E8255AA" w14:textId="1F65B697" w:rsidR="00C35F49" w:rsidRDefault="00C35F49" w:rsidP="00832EB0">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lastRenderedPageBreak/>
        <w:t>Neste sentido:</w:t>
      </w:r>
    </w:p>
    <w:p w14:paraId="1C1A721C" w14:textId="2742F5FD" w:rsidR="00C35F49" w:rsidRPr="00416702" w:rsidRDefault="00C35F49" w:rsidP="00416702">
      <w:pPr>
        <w:spacing w:before="600" w:after="600" w:line="360" w:lineRule="auto"/>
        <w:ind w:left="2268"/>
        <w:jc w:val="both"/>
        <w:rPr>
          <w:rFonts w:ascii="Times New Roman" w:eastAsia="Times New Roman" w:hAnsi="Times New Roman" w:cs="Times New Roman"/>
          <w:sz w:val="20"/>
          <w:szCs w:val="24"/>
          <w:lang w:eastAsia="pt-BR"/>
        </w:rPr>
      </w:pPr>
      <w:r w:rsidRPr="00416702">
        <w:rPr>
          <w:rFonts w:ascii="Times New Roman" w:eastAsia="Times New Roman" w:hAnsi="Times New Roman" w:cs="Times New Roman"/>
          <w:sz w:val="20"/>
          <w:szCs w:val="24"/>
          <w:lang w:eastAsia="pt-BR"/>
        </w:rPr>
        <w:t xml:space="preserve">AÇÃO DE HABEAS CORPUS – TRÁFICO ILÍCITO DE DROGAS E POSSE ILEGAL DE ARMA DE FOGO DE USO RESTRITO – PRISÃO PREVENTIVA – PRESENÇA DOS REQUISITOS DO ART. 312, DO CPP – GRAVIDADE CONCRETA DA CONDUTA – </w:t>
      </w:r>
      <w:r w:rsidRPr="00416702">
        <w:rPr>
          <w:rFonts w:ascii="Times New Roman" w:eastAsia="Times New Roman" w:hAnsi="Times New Roman" w:cs="Times New Roman"/>
          <w:b/>
          <w:sz w:val="20"/>
          <w:szCs w:val="24"/>
          <w:lang w:eastAsia="pt-BR"/>
        </w:rPr>
        <w:t>CIRCUNSTÂNCIAS DA PRISÃO EM FLAGRANTE</w:t>
      </w:r>
      <w:r w:rsidRPr="00416702">
        <w:rPr>
          <w:rFonts w:ascii="Times New Roman" w:eastAsia="Times New Roman" w:hAnsi="Times New Roman" w:cs="Times New Roman"/>
          <w:sz w:val="20"/>
          <w:szCs w:val="24"/>
          <w:lang w:eastAsia="pt-BR"/>
        </w:rPr>
        <w:t xml:space="preserve"> – </w:t>
      </w:r>
      <w:r w:rsidRPr="00416702">
        <w:rPr>
          <w:rFonts w:ascii="Times New Roman" w:eastAsia="Times New Roman" w:hAnsi="Times New Roman" w:cs="Times New Roman"/>
          <w:b/>
          <w:sz w:val="20"/>
          <w:szCs w:val="24"/>
          <w:lang w:eastAsia="pt-BR"/>
        </w:rPr>
        <w:t>RISCO DE REITERAÇÃO DELITIVA</w:t>
      </w:r>
      <w:r w:rsidRPr="00416702">
        <w:rPr>
          <w:rFonts w:ascii="Times New Roman" w:eastAsia="Times New Roman" w:hAnsi="Times New Roman" w:cs="Times New Roman"/>
          <w:sz w:val="20"/>
          <w:szCs w:val="24"/>
          <w:lang w:eastAsia="pt-BR"/>
        </w:rPr>
        <w:t xml:space="preserve"> – GARANTIA DA ORDEM PÚBLICA – AUSÊNCIA DE FUNDAMENTAÇÃO NÃO EVIDENCIADA – CONDIÇÕES PESSOAIS FAVORÁVEIS – IRRELEVÂNCIA – MEDIDAS CAUTELARES DIVERSAS – INAPLICABILIDADE – PRISÃO DOMICILIAR – ART. 318, INCISO II, DO CPP – IMPOSSIBILIDADE – CONSTRANGIMENTO ILEGAL NÃO CARACTERIZADO – ORDEM DENEGADA. </w:t>
      </w:r>
      <w:r w:rsidRPr="00416702">
        <w:rPr>
          <w:rFonts w:ascii="Times New Roman" w:eastAsia="Times New Roman" w:hAnsi="Times New Roman" w:cs="Times New Roman"/>
          <w:b/>
          <w:sz w:val="20"/>
          <w:szCs w:val="24"/>
          <w:lang w:eastAsia="pt-BR"/>
        </w:rPr>
        <w:t>Não há constrangimento ilegal quando a medida extrema está motivada na necessidade de se acautelar a ordem pública, em razão da gravidade concreta da conduta, evidenciada pelas circunstâncias nas quais o delito foi supostamente praticado.</w:t>
      </w:r>
      <w:r w:rsidR="00416702">
        <w:rPr>
          <w:rFonts w:ascii="Times New Roman" w:eastAsia="Times New Roman" w:hAnsi="Times New Roman" w:cs="Times New Roman"/>
          <w:sz w:val="20"/>
          <w:szCs w:val="24"/>
          <w:lang w:eastAsia="pt-BR"/>
        </w:rPr>
        <w:t xml:space="preserve"> </w:t>
      </w:r>
      <w:r w:rsidRPr="00416702">
        <w:rPr>
          <w:rFonts w:ascii="Times New Roman" w:eastAsia="Times New Roman" w:hAnsi="Times New Roman" w:cs="Times New Roman"/>
          <w:sz w:val="20"/>
          <w:szCs w:val="24"/>
          <w:lang w:eastAsia="pt-BR"/>
        </w:rPr>
        <w:t>O risco concreto de reiteração criminosa também é fundamento idôneo para a manutenção da segregação cautelar em prol da ordem e segurança pública.</w:t>
      </w:r>
      <w:r w:rsidR="00416702">
        <w:rPr>
          <w:rFonts w:ascii="Times New Roman" w:eastAsia="Times New Roman" w:hAnsi="Times New Roman" w:cs="Times New Roman"/>
          <w:sz w:val="20"/>
          <w:szCs w:val="24"/>
          <w:lang w:eastAsia="pt-BR"/>
        </w:rPr>
        <w:t xml:space="preserve"> </w:t>
      </w:r>
      <w:r w:rsidRPr="00416702">
        <w:rPr>
          <w:rFonts w:ascii="Times New Roman" w:eastAsia="Times New Roman" w:hAnsi="Times New Roman" w:cs="Times New Roman"/>
          <w:sz w:val="20"/>
          <w:szCs w:val="24"/>
          <w:lang w:eastAsia="pt-BR"/>
        </w:rPr>
        <w:t>Mesmo o custodiado, supostamente, ostentando condições pessoais favoráveis, a imprescindibilidade da sua permanência no cárcere se sobrepõe ao seu direito de liberdade.</w:t>
      </w:r>
      <w:r w:rsidR="00416702">
        <w:rPr>
          <w:rFonts w:ascii="Times New Roman" w:eastAsia="Times New Roman" w:hAnsi="Times New Roman" w:cs="Times New Roman"/>
          <w:sz w:val="20"/>
          <w:szCs w:val="24"/>
          <w:lang w:eastAsia="pt-BR"/>
        </w:rPr>
        <w:t xml:space="preserve"> </w:t>
      </w:r>
      <w:r w:rsidRPr="00416702">
        <w:rPr>
          <w:rFonts w:ascii="Times New Roman" w:eastAsia="Times New Roman" w:hAnsi="Times New Roman" w:cs="Times New Roman"/>
          <w:sz w:val="20"/>
          <w:szCs w:val="24"/>
          <w:lang w:eastAsia="pt-BR"/>
        </w:rPr>
        <w:t>Demonstrada a necessidade de afastamento do paciente do convívio social, não se aplicam as medidas cautelares diversas da prisão.</w:t>
      </w:r>
      <w:r w:rsidR="00416702">
        <w:rPr>
          <w:rFonts w:ascii="Times New Roman" w:eastAsia="Times New Roman" w:hAnsi="Times New Roman" w:cs="Times New Roman"/>
          <w:sz w:val="20"/>
          <w:szCs w:val="24"/>
          <w:lang w:eastAsia="pt-BR"/>
        </w:rPr>
        <w:t xml:space="preserve"> </w:t>
      </w:r>
      <w:r w:rsidRPr="00416702">
        <w:rPr>
          <w:rFonts w:ascii="Times New Roman" w:eastAsia="Times New Roman" w:hAnsi="Times New Roman" w:cs="Times New Roman"/>
          <w:sz w:val="20"/>
          <w:szCs w:val="24"/>
          <w:lang w:eastAsia="pt-BR"/>
        </w:rPr>
        <w:t>Não há como deferir o pedido de substituição da custódia preventiva por prisão domiciliar, nos termos do art. 318, inciso II, do CPP, quando não evidenciada a extrema debilidade da saúde do investigado, por motivo de grave doença, e, ainda, a impossibilidade de receber tratamento no estabelecimento prisional onde se encontra.</w:t>
      </w:r>
      <w:r w:rsidR="00416702">
        <w:rPr>
          <w:rFonts w:ascii="Times New Roman" w:eastAsia="Times New Roman" w:hAnsi="Times New Roman" w:cs="Times New Roman"/>
          <w:sz w:val="20"/>
          <w:szCs w:val="24"/>
          <w:lang w:eastAsia="pt-BR"/>
        </w:rPr>
        <w:t xml:space="preserve"> </w:t>
      </w:r>
      <w:r w:rsidRPr="00416702">
        <w:rPr>
          <w:rFonts w:ascii="Times New Roman" w:eastAsia="Times New Roman" w:hAnsi="Times New Roman" w:cs="Times New Roman"/>
          <w:sz w:val="20"/>
          <w:szCs w:val="24"/>
          <w:lang w:eastAsia="pt-BR"/>
        </w:rPr>
        <w:t>Ordem conhecida e denegada.</w:t>
      </w:r>
      <w:r w:rsidRPr="00416702">
        <w:rPr>
          <w:rFonts w:ascii="Times New Roman" w:eastAsia="Times New Roman" w:hAnsi="Times New Roman" w:cs="Times New Roman"/>
          <w:sz w:val="20"/>
          <w:szCs w:val="24"/>
          <w:lang w:eastAsia="pt-BR"/>
        </w:rPr>
        <w:t xml:space="preserve"> </w:t>
      </w:r>
      <w:r w:rsidRPr="00416702">
        <w:rPr>
          <w:rFonts w:ascii="Times New Roman" w:eastAsia="Times New Roman" w:hAnsi="Times New Roman" w:cs="Times New Roman"/>
          <w:sz w:val="20"/>
          <w:szCs w:val="24"/>
          <w:lang w:eastAsia="pt-BR"/>
        </w:rPr>
        <w:t>(TJ-PR 00239285620238160000 Maringá, Relator: Jorge Wagih Massad, Data de Julgamento: 15/05/2023, 5ª Câmara Criminal, Data de Publicação: 15/05/2023)</w:t>
      </w:r>
    </w:p>
    <w:p w14:paraId="7F17A43D" w14:textId="6DAAE4A0" w:rsidR="001C1C91" w:rsidRDefault="00853C8C" w:rsidP="001C1C91">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Nesse quadro, </w:t>
      </w:r>
      <w:r w:rsidR="00832EB0">
        <w:rPr>
          <w:rFonts w:ascii="Times New Roman" w:eastAsia="Times New Roman" w:hAnsi="Times New Roman" w:cs="Times New Roman"/>
          <w:sz w:val="24"/>
          <w:szCs w:val="24"/>
          <w:lang w:eastAsia="pt-BR"/>
        </w:rPr>
        <w:t>a não localização do agente, ilustrada pela constatação de abandono da residência pelo Oficial de Justiça designado para o cumprimento da diligência</w:t>
      </w:r>
      <w:r w:rsidR="001C1C91">
        <w:rPr>
          <w:rFonts w:ascii="Times New Roman" w:eastAsia="Times New Roman" w:hAnsi="Times New Roman" w:cs="Times New Roman"/>
          <w:sz w:val="24"/>
          <w:szCs w:val="24"/>
          <w:lang w:eastAsia="pt-BR"/>
        </w:rPr>
        <w:t xml:space="preserve"> citatória</w:t>
      </w:r>
      <w:r w:rsidR="00832EB0">
        <w:rPr>
          <w:rFonts w:ascii="Times New Roman" w:eastAsia="Times New Roman" w:hAnsi="Times New Roman" w:cs="Times New Roman"/>
          <w:sz w:val="24"/>
          <w:szCs w:val="24"/>
          <w:lang w:eastAsia="pt-BR"/>
        </w:rPr>
        <w:t xml:space="preserve"> (evento </w:t>
      </w:r>
      <w:r w:rsidR="00C35F49">
        <w:rPr>
          <w:rFonts w:ascii="Times New Roman" w:eastAsia="Times New Roman" w:hAnsi="Times New Roman" w:cs="Times New Roman"/>
          <w:sz w:val="24"/>
          <w:szCs w:val="24"/>
          <w:lang w:eastAsia="pt-BR"/>
        </w:rPr>
        <w:t>1.75 – autos de origem</w:t>
      </w:r>
      <w:r w:rsidR="00832EB0">
        <w:rPr>
          <w:rFonts w:ascii="Times New Roman" w:eastAsia="Times New Roman" w:hAnsi="Times New Roman" w:cs="Times New Roman"/>
          <w:sz w:val="24"/>
          <w:szCs w:val="24"/>
          <w:lang w:eastAsia="pt-BR"/>
        </w:rPr>
        <w:t xml:space="preserve">), retrata </w:t>
      </w:r>
      <w:r w:rsidR="001C1C91">
        <w:rPr>
          <w:rFonts w:ascii="Times New Roman" w:eastAsia="Times New Roman" w:hAnsi="Times New Roman" w:cs="Times New Roman"/>
          <w:sz w:val="24"/>
          <w:szCs w:val="24"/>
          <w:lang w:eastAsia="pt-BR"/>
        </w:rPr>
        <w:t xml:space="preserve">inequívoco </w:t>
      </w:r>
      <w:r w:rsidR="00832EB0">
        <w:rPr>
          <w:rFonts w:ascii="Times New Roman" w:eastAsia="Times New Roman" w:hAnsi="Times New Roman" w:cs="Times New Roman"/>
          <w:sz w:val="24"/>
          <w:szCs w:val="24"/>
          <w:lang w:eastAsia="pt-BR"/>
        </w:rPr>
        <w:t xml:space="preserve">propósito de </w:t>
      </w:r>
      <w:r w:rsidR="001C1C91">
        <w:rPr>
          <w:rFonts w:ascii="Times New Roman" w:eastAsia="Times New Roman" w:hAnsi="Times New Roman" w:cs="Times New Roman"/>
          <w:sz w:val="24"/>
          <w:szCs w:val="24"/>
          <w:lang w:eastAsia="pt-BR"/>
        </w:rPr>
        <w:t>frustração de eventuais consequências penais.</w:t>
      </w:r>
    </w:p>
    <w:p w14:paraId="52221BFC" w14:textId="1C796A67" w:rsidR="001C1C91" w:rsidRDefault="00853C8C" w:rsidP="001C1C91">
      <w:pPr>
        <w:spacing w:before="240" w:after="240" w:line="360" w:lineRule="auto"/>
        <w:ind w:firstLine="709"/>
        <w:jc w:val="both"/>
        <w:rPr>
          <w:rFonts w:ascii="Times New Roman" w:hAnsi="Times New Roman"/>
          <w:sz w:val="24"/>
          <w:szCs w:val="24"/>
        </w:rPr>
      </w:pPr>
      <w:r>
        <w:rPr>
          <w:rFonts w:ascii="Times New Roman" w:hAnsi="Times New Roman"/>
          <w:sz w:val="24"/>
          <w:szCs w:val="24"/>
        </w:rPr>
        <w:lastRenderedPageBreak/>
        <w:t>Referidos fatores denotam, de outro vértice, insuficiência e inadequação de outras medidas cautelares, diversas da prisão, mesmo porque o fato criminoso objeto da relação processual ocorreu no curso de execução penal por crime anterior.</w:t>
      </w:r>
    </w:p>
    <w:p w14:paraId="39960DFF" w14:textId="17ACA755" w:rsidR="00853C8C" w:rsidRDefault="00853C8C" w:rsidP="00853C8C">
      <w:pPr>
        <w:spacing w:before="240" w:after="240" w:line="360" w:lineRule="auto"/>
        <w:ind w:firstLine="709"/>
        <w:jc w:val="both"/>
        <w:rPr>
          <w:rFonts w:ascii="Times New Roman" w:hAnsi="Times New Roman"/>
          <w:sz w:val="24"/>
          <w:szCs w:val="24"/>
        </w:rPr>
      </w:pPr>
      <w:r>
        <w:rPr>
          <w:rFonts w:ascii="Times New Roman" w:hAnsi="Times New Roman"/>
          <w:sz w:val="24"/>
          <w:szCs w:val="24"/>
        </w:rPr>
        <w:t>Resulta, pois, demonstrada a</w:t>
      </w:r>
      <w:r>
        <w:rPr>
          <w:rFonts w:ascii="Times New Roman" w:hAnsi="Times New Roman"/>
          <w:sz w:val="24"/>
          <w:szCs w:val="24"/>
        </w:rPr>
        <w:t xml:space="preserve"> imperiosa</w:t>
      </w:r>
      <w:r>
        <w:rPr>
          <w:rFonts w:ascii="Times New Roman" w:hAnsi="Times New Roman"/>
          <w:sz w:val="24"/>
          <w:szCs w:val="24"/>
        </w:rPr>
        <w:t xml:space="preserve"> necessidade de decretação da prisão preventiva não apenas para acautelar a ordem pública, mas também para asse</w:t>
      </w:r>
      <w:r>
        <w:rPr>
          <w:rFonts w:ascii="Times New Roman" w:hAnsi="Times New Roman"/>
          <w:sz w:val="24"/>
          <w:szCs w:val="24"/>
        </w:rPr>
        <w:t>gurar a aplicação da lei penal, porquanto satisfeitos os requisitos inscritos no artigo 312 do Código de Processo Penal.</w:t>
      </w:r>
    </w:p>
    <w:p w14:paraId="5C866255" w14:textId="77777777" w:rsidR="00E7436F" w:rsidRDefault="00E7436F" w:rsidP="00D3271F">
      <w:pPr>
        <w:spacing w:before="240" w:after="240" w:line="360" w:lineRule="auto"/>
        <w:ind w:firstLine="709"/>
        <w:jc w:val="both"/>
        <w:rPr>
          <w:rFonts w:ascii="Times New Roman" w:eastAsia="Times New Roman" w:hAnsi="Times New Roman" w:cs="Times New Roman"/>
          <w:sz w:val="24"/>
          <w:szCs w:val="24"/>
          <w:lang w:eastAsia="pt-BR"/>
        </w:rPr>
      </w:pPr>
    </w:p>
    <w:p w14:paraId="1EAF7303" w14:textId="479B6AD1" w:rsidR="00580301" w:rsidRDefault="00580301"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II.III – DA CONCLSUÃO</w:t>
      </w:r>
    </w:p>
    <w:p w14:paraId="07C49817" w14:textId="4797D443" w:rsidR="004D6574" w:rsidRDefault="004D6574"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Ante o exposto, a solução a ser adotada no presente caso consiste da decretação da prisão preventiva </w:t>
      </w:r>
      <w:r w:rsidR="00853C8C">
        <w:rPr>
          <w:rFonts w:ascii="Times New Roman" w:eastAsia="Times New Roman" w:hAnsi="Times New Roman" w:cs="Times New Roman"/>
          <w:sz w:val="24"/>
          <w:szCs w:val="24"/>
          <w:lang w:eastAsia="pt-BR"/>
        </w:rPr>
        <w:t>de Lucas Correia Seer</w:t>
      </w:r>
      <w:r>
        <w:rPr>
          <w:rFonts w:ascii="Times New Roman" w:eastAsia="Times New Roman" w:hAnsi="Times New Roman" w:cs="Times New Roman"/>
          <w:sz w:val="24"/>
          <w:szCs w:val="24"/>
          <w:lang w:eastAsia="pt-BR"/>
        </w:rPr>
        <w:t>, nos termos dos artigos 31</w:t>
      </w:r>
      <w:r w:rsidR="00853C8C">
        <w:rPr>
          <w:rFonts w:ascii="Times New Roman" w:eastAsia="Times New Roman" w:hAnsi="Times New Roman" w:cs="Times New Roman"/>
          <w:sz w:val="24"/>
          <w:szCs w:val="24"/>
          <w:lang w:eastAsia="pt-BR"/>
        </w:rPr>
        <w:t>2 e 366, do Código de Processo Penal, dando-se provimento ao recurso interposto.</w:t>
      </w:r>
    </w:p>
    <w:p w14:paraId="305DC12C" w14:textId="412D045F" w:rsidR="00580301" w:rsidRDefault="004D6574"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É como voto.</w:t>
      </w:r>
    </w:p>
    <w:p w14:paraId="770D98E2" w14:textId="77777777" w:rsidR="004D6574" w:rsidRDefault="004D6574" w:rsidP="00D3271F">
      <w:pPr>
        <w:spacing w:before="240" w:after="240" w:line="360" w:lineRule="auto"/>
        <w:ind w:firstLine="709"/>
        <w:jc w:val="both"/>
        <w:rPr>
          <w:rFonts w:ascii="Times New Roman" w:eastAsia="Times New Roman" w:hAnsi="Times New Roman" w:cs="Times New Roman"/>
          <w:sz w:val="24"/>
          <w:szCs w:val="24"/>
          <w:lang w:eastAsia="pt-BR"/>
        </w:rPr>
      </w:pPr>
    </w:p>
    <w:p w14:paraId="0324D173" w14:textId="06E9A343" w:rsidR="00580301" w:rsidRPr="006B172D" w:rsidRDefault="00580301" w:rsidP="00D3271F">
      <w:pPr>
        <w:spacing w:before="240" w:after="240" w:line="360" w:lineRule="auto"/>
        <w:ind w:firstLine="709"/>
        <w:jc w:val="both"/>
        <w:rPr>
          <w:rFonts w:ascii="Times New Roman" w:eastAsia="Times New Roman" w:hAnsi="Times New Roman" w:cs="Times New Roman"/>
          <w:b/>
          <w:sz w:val="24"/>
          <w:szCs w:val="24"/>
          <w:lang w:eastAsia="pt-BR"/>
        </w:rPr>
      </w:pPr>
      <w:r w:rsidRPr="006B172D">
        <w:rPr>
          <w:rFonts w:ascii="Times New Roman" w:eastAsia="Times New Roman" w:hAnsi="Times New Roman" w:cs="Times New Roman"/>
          <w:b/>
          <w:sz w:val="24"/>
          <w:szCs w:val="24"/>
          <w:lang w:eastAsia="pt-BR"/>
        </w:rPr>
        <w:t>III - DECISÃO</w:t>
      </w:r>
      <w:bookmarkEnd w:id="0"/>
    </w:p>
    <w:sectPr w:rsidR="00580301" w:rsidRPr="006B172D">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0D758B" w14:textId="77777777" w:rsidR="006B640D" w:rsidRDefault="006B640D" w:rsidP="00647C71">
      <w:pPr>
        <w:spacing w:after="0" w:line="240" w:lineRule="auto"/>
      </w:pPr>
      <w:r>
        <w:separator/>
      </w:r>
    </w:p>
  </w:endnote>
  <w:endnote w:type="continuationSeparator" w:id="0">
    <w:p w14:paraId="5752BC7A" w14:textId="77777777" w:rsidR="006B640D" w:rsidRDefault="006B640D" w:rsidP="0064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FF278" w14:textId="77777777" w:rsidR="006B640D" w:rsidRDefault="006B640D" w:rsidP="00647C71">
      <w:pPr>
        <w:spacing w:after="0" w:line="240" w:lineRule="auto"/>
      </w:pPr>
      <w:r>
        <w:separator/>
      </w:r>
    </w:p>
  </w:footnote>
  <w:footnote w:type="continuationSeparator" w:id="0">
    <w:p w14:paraId="563366FA" w14:textId="77777777" w:rsidR="006B640D" w:rsidRDefault="006B640D" w:rsidP="00647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D39FC"/>
    <w:multiLevelType w:val="hybridMultilevel"/>
    <w:tmpl w:val="C9101CC0"/>
    <w:lvl w:ilvl="0" w:tplc="AED834C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27674289"/>
    <w:multiLevelType w:val="hybridMultilevel"/>
    <w:tmpl w:val="C2CA7A80"/>
    <w:lvl w:ilvl="0" w:tplc="D13EC7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8CE22A9"/>
    <w:multiLevelType w:val="hybridMultilevel"/>
    <w:tmpl w:val="92122988"/>
    <w:lvl w:ilvl="0" w:tplc="0560915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2F4F15E2"/>
    <w:multiLevelType w:val="hybridMultilevel"/>
    <w:tmpl w:val="F6F80888"/>
    <w:lvl w:ilvl="0" w:tplc="F3A24B8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62CC7D4C"/>
    <w:multiLevelType w:val="hybridMultilevel"/>
    <w:tmpl w:val="A98A9ECC"/>
    <w:lvl w:ilvl="0" w:tplc="4F2264F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640E335C"/>
    <w:multiLevelType w:val="hybridMultilevel"/>
    <w:tmpl w:val="43AEDE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4CD4FD4"/>
    <w:multiLevelType w:val="hybridMultilevel"/>
    <w:tmpl w:val="3800D9C4"/>
    <w:lvl w:ilvl="0" w:tplc="CDA6F1B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6B166DDA"/>
    <w:multiLevelType w:val="hybridMultilevel"/>
    <w:tmpl w:val="58788A62"/>
    <w:lvl w:ilvl="0" w:tplc="16843212">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15:restartNumberingAfterBreak="0">
    <w:nsid w:val="757A0CA1"/>
    <w:multiLevelType w:val="hybridMultilevel"/>
    <w:tmpl w:val="B49A0420"/>
    <w:lvl w:ilvl="0" w:tplc="9FBEC87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1"/>
  </w:num>
  <w:num w:numId="2">
    <w:abstractNumId w:val="6"/>
  </w:num>
  <w:num w:numId="3">
    <w:abstractNumId w:val="5"/>
  </w:num>
  <w:num w:numId="4">
    <w:abstractNumId w:val="4"/>
  </w:num>
  <w:num w:numId="5">
    <w:abstractNumId w:val="3"/>
  </w:num>
  <w:num w:numId="6">
    <w:abstractNumId w:val="0"/>
  </w:num>
  <w:num w:numId="7">
    <w:abstractNumId w:val="7"/>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926"/>
    <w:rsid w:val="00001611"/>
    <w:rsid w:val="00007C57"/>
    <w:rsid w:val="00010D7D"/>
    <w:rsid w:val="000160BD"/>
    <w:rsid w:val="00020043"/>
    <w:rsid w:val="00022B72"/>
    <w:rsid w:val="00026881"/>
    <w:rsid w:val="000306E0"/>
    <w:rsid w:val="00032A45"/>
    <w:rsid w:val="000374DD"/>
    <w:rsid w:val="0004000E"/>
    <w:rsid w:val="00046137"/>
    <w:rsid w:val="00051782"/>
    <w:rsid w:val="000536CB"/>
    <w:rsid w:val="000574CD"/>
    <w:rsid w:val="000578C0"/>
    <w:rsid w:val="0006301E"/>
    <w:rsid w:val="0006738E"/>
    <w:rsid w:val="00070921"/>
    <w:rsid w:val="00074A6B"/>
    <w:rsid w:val="000753E6"/>
    <w:rsid w:val="00075CD3"/>
    <w:rsid w:val="000771EB"/>
    <w:rsid w:val="000A1580"/>
    <w:rsid w:val="000A1845"/>
    <w:rsid w:val="000A2939"/>
    <w:rsid w:val="000A50E5"/>
    <w:rsid w:val="000B0707"/>
    <w:rsid w:val="000B081D"/>
    <w:rsid w:val="000B0F0C"/>
    <w:rsid w:val="000B1A3F"/>
    <w:rsid w:val="000C15F3"/>
    <w:rsid w:val="000C6FB3"/>
    <w:rsid w:val="000D324F"/>
    <w:rsid w:val="000D49BF"/>
    <w:rsid w:val="000D5CD1"/>
    <w:rsid w:val="000D62A2"/>
    <w:rsid w:val="000E2F5C"/>
    <w:rsid w:val="000E3D0A"/>
    <w:rsid w:val="000F1C40"/>
    <w:rsid w:val="000F2C6A"/>
    <w:rsid w:val="00101E92"/>
    <w:rsid w:val="0012195B"/>
    <w:rsid w:val="0012372F"/>
    <w:rsid w:val="001302DC"/>
    <w:rsid w:val="001441FD"/>
    <w:rsid w:val="00144B56"/>
    <w:rsid w:val="001505AA"/>
    <w:rsid w:val="00151BE6"/>
    <w:rsid w:val="001539AF"/>
    <w:rsid w:val="00153CFF"/>
    <w:rsid w:val="00156C0C"/>
    <w:rsid w:val="00160FA5"/>
    <w:rsid w:val="00166E6B"/>
    <w:rsid w:val="0018045A"/>
    <w:rsid w:val="00185B6E"/>
    <w:rsid w:val="00190005"/>
    <w:rsid w:val="001911F4"/>
    <w:rsid w:val="00191D4B"/>
    <w:rsid w:val="001920B4"/>
    <w:rsid w:val="001A011D"/>
    <w:rsid w:val="001A632C"/>
    <w:rsid w:val="001B50B0"/>
    <w:rsid w:val="001C1C91"/>
    <w:rsid w:val="001C39D3"/>
    <w:rsid w:val="001C623B"/>
    <w:rsid w:val="001D13E2"/>
    <w:rsid w:val="001D5521"/>
    <w:rsid w:val="001E01CC"/>
    <w:rsid w:val="001E2D26"/>
    <w:rsid w:val="001E5BD5"/>
    <w:rsid w:val="001E61D7"/>
    <w:rsid w:val="001E626B"/>
    <w:rsid w:val="001F0BD9"/>
    <w:rsid w:val="001F26A9"/>
    <w:rsid w:val="001F5639"/>
    <w:rsid w:val="001F62E9"/>
    <w:rsid w:val="00201354"/>
    <w:rsid w:val="0021113B"/>
    <w:rsid w:val="0021140D"/>
    <w:rsid w:val="00211FD6"/>
    <w:rsid w:val="0021477B"/>
    <w:rsid w:val="00214D4B"/>
    <w:rsid w:val="00215E32"/>
    <w:rsid w:val="00222CD8"/>
    <w:rsid w:val="0022498C"/>
    <w:rsid w:val="00226F44"/>
    <w:rsid w:val="002275AF"/>
    <w:rsid w:val="0023019E"/>
    <w:rsid w:val="002372A2"/>
    <w:rsid w:val="00250B16"/>
    <w:rsid w:val="00250CAB"/>
    <w:rsid w:val="00251BE7"/>
    <w:rsid w:val="00260675"/>
    <w:rsid w:val="002665C0"/>
    <w:rsid w:val="002703E3"/>
    <w:rsid w:val="0027299B"/>
    <w:rsid w:val="00293E14"/>
    <w:rsid w:val="00294EBC"/>
    <w:rsid w:val="002A270B"/>
    <w:rsid w:val="002A4117"/>
    <w:rsid w:val="002A7461"/>
    <w:rsid w:val="002A798A"/>
    <w:rsid w:val="002B370A"/>
    <w:rsid w:val="002B48B3"/>
    <w:rsid w:val="002C0F37"/>
    <w:rsid w:val="002C62E9"/>
    <w:rsid w:val="002D03B9"/>
    <w:rsid w:val="002D2306"/>
    <w:rsid w:val="002D2AC8"/>
    <w:rsid w:val="002D4EB8"/>
    <w:rsid w:val="002D651A"/>
    <w:rsid w:val="002E64B7"/>
    <w:rsid w:val="002E7B89"/>
    <w:rsid w:val="002F0485"/>
    <w:rsid w:val="002F35CF"/>
    <w:rsid w:val="002F37D9"/>
    <w:rsid w:val="002F78A8"/>
    <w:rsid w:val="00304E90"/>
    <w:rsid w:val="00305348"/>
    <w:rsid w:val="00305698"/>
    <w:rsid w:val="0032286D"/>
    <w:rsid w:val="00323689"/>
    <w:rsid w:val="00332DED"/>
    <w:rsid w:val="00332E93"/>
    <w:rsid w:val="00334726"/>
    <w:rsid w:val="00337B87"/>
    <w:rsid w:val="003415A6"/>
    <w:rsid w:val="00341797"/>
    <w:rsid w:val="00344252"/>
    <w:rsid w:val="00351EBD"/>
    <w:rsid w:val="00352D21"/>
    <w:rsid w:val="00352F11"/>
    <w:rsid w:val="00354D9B"/>
    <w:rsid w:val="0036114E"/>
    <w:rsid w:val="00361C7B"/>
    <w:rsid w:val="00364B3D"/>
    <w:rsid w:val="00365AAA"/>
    <w:rsid w:val="0036786F"/>
    <w:rsid w:val="00375DC5"/>
    <w:rsid w:val="00376120"/>
    <w:rsid w:val="00377569"/>
    <w:rsid w:val="00380F70"/>
    <w:rsid w:val="003A43F7"/>
    <w:rsid w:val="003B513B"/>
    <w:rsid w:val="003C7E9F"/>
    <w:rsid w:val="003E0B11"/>
    <w:rsid w:val="003F517F"/>
    <w:rsid w:val="00406FD8"/>
    <w:rsid w:val="00412E7C"/>
    <w:rsid w:val="00415A21"/>
    <w:rsid w:val="00416702"/>
    <w:rsid w:val="004178DE"/>
    <w:rsid w:val="004350B9"/>
    <w:rsid w:val="0043568B"/>
    <w:rsid w:val="004365EC"/>
    <w:rsid w:val="004370D3"/>
    <w:rsid w:val="0043718D"/>
    <w:rsid w:val="00440350"/>
    <w:rsid w:val="00444E47"/>
    <w:rsid w:val="00444E6D"/>
    <w:rsid w:val="00444E7B"/>
    <w:rsid w:val="004452B0"/>
    <w:rsid w:val="0046475D"/>
    <w:rsid w:val="0046793C"/>
    <w:rsid w:val="00471D31"/>
    <w:rsid w:val="0048354C"/>
    <w:rsid w:val="00483D1A"/>
    <w:rsid w:val="00483F6A"/>
    <w:rsid w:val="004848C3"/>
    <w:rsid w:val="00493D6A"/>
    <w:rsid w:val="00497A76"/>
    <w:rsid w:val="004A155F"/>
    <w:rsid w:val="004A2186"/>
    <w:rsid w:val="004A7651"/>
    <w:rsid w:val="004B3805"/>
    <w:rsid w:val="004C0C0E"/>
    <w:rsid w:val="004C3883"/>
    <w:rsid w:val="004C5BD8"/>
    <w:rsid w:val="004C6221"/>
    <w:rsid w:val="004C6EFE"/>
    <w:rsid w:val="004D3620"/>
    <w:rsid w:val="004D6574"/>
    <w:rsid w:val="004D7A88"/>
    <w:rsid w:val="004E0F21"/>
    <w:rsid w:val="004E1BC4"/>
    <w:rsid w:val="004F0B40"/>
    <w:rsid w:val="004F1087"/>
    <w:rsid w:val="004F3F82"/>
    <w:rsid w:val="00502B69"/>
    <w:rsid w:val="005071BC"/>
    <w:rsid w:val="00515AF4"/>
    <w:rsid w:val="005215A8"/>
    <w:rsid w:val="00527F2B"/>
    <w:rsid w:val="00531EC3"/>
    <w:rsid w:val="0053637D"/>
    <w:rsid w:val="00540E07"/>
    <w:rsid w:val="00545DA9"/>
    <w:rsid w:val="00550DA1"/>
    <w:rsid w:val="0055181C"/>
    <w:rsid w:val="005537F4"/>
    <w:rsid w:val="00554A51"/>
    <w:rsid w:val="00555B13"/>
    <w:rsid w:val="00557856"/>
    <w:rsid w:val="00563161"/>
    <w:rsid w:val="0056440E"/>
    <w:rsid w:val="005659B7"/>
    <w:rsid w:val="00570C58"/>
    <w:rsid w:val="00570DAC"/>
    <w:rsid w:val="00571AE0"/>
    <w:rsid w:val="00571E51"/>
    <w:rsid w:val="005759B9"/>
    <w:rsid w:val="00577C81"/>
    <w:rsid w:val="00580301"/>
    <w:rsid w:val="0058127A"/>
    <w:rsid w:val="00581E0C"/>
    <w:rsid w:val="00591A5B"/>
    <w:rsid w:val="005940EE"/>
    <w:rsid w:val="005C4F6A"/>
    <w:rsid w:val="005D1A25"/>
    <w:rsid w:val="005D255C"/>
    <w:rsid w:val="005D3C95"/>
    <w:rsid w:val="005D4C96"/>
    <w:rsid w:val="005D737F"/>
    <w:rsid w:val="005E0749"/>
    <w:rsid w:val="005E2A5E"/>
    <w:rsid w:val="005F0055"/>
    <w:rsid w:val="005F61A6"/>
    <w:rsid w:val="006005E6"/>
    <w:rsid w:val="00604394"/>
    <w:rsid w:val="00604421"/>
    <w:rsid w:val="00606B55"/>
    <w:rsid w:val="00611824"/>
    <w:rsid w:val="00612334"/>
    <w:rsid w:val="006143E3"/>
    <w:rsid w:val="006145C8"/>
    <w:rsid w:val="00623937"/>
    <w:rsid w:val="006244B8"/>
    <w:rsid w:val="006264DC"/>
    <w:rsid w:val="00631AEE"/>
    <w:rsid w:val="00635393"/>
    <w:rsid w:val="0063576D"/>
    <w:rsid w:val="0063620D"/>
    <w:rsid w:val="00642926"/>
    <w:rsid w:val="006430E0"/>
    <w:rsid w:val="00644AD4"/>
    <w:rsid w:val="00645955"/>
    <w:rsid w:val="00647C71"/>
    <w:rsid w:val="00650B35"/>
    <w:rsid w:val="00651518"/>
    <w:rsid w:val="0065194C"/>
    <w:rsid w:val="0066719E"/>
    <w:rsid w:val="00667279"/>
    <w:rsid w:val="006675EA"/>
    <w:rsid w:val="006744B1"/>
    <w:rsid w:val="00680312"/>
    <w:rsid w:val="00684A0B"/>
    <w:rsid w:val="00684EE9"/>
    <w:rsid w:val="00695951"/>
    <w:rsid w:val="00697096"/>
    <w:rsid w:val="006976FF"/>
    <w:rsid w:val="006A1063"/>
    <w:rsid w:val="006A3DA0"/>
    <w:rsid w:val="006A7E71"/>
    <w:rsid w:val="006B172D"/>
    <w:rsid w:val="006B640D"/>
    <w:rsid w:val="006B7A87"/>
    <w:rsid w:val="006C20FD"/>
    <w:rsid w:val="006C3524"/>
    <w:rsid w:val="006D12EE"/>
    <w:rsid w:val="006D157D"/>
    <w:rsid w:val="006D6267"/>
    <w:rsid w:val="006E0A2B"/>
    <w:rsid w:val="006E2A57"/>
    <w:rsid w:val="006F0765"/>
    <w:rsid w:val="006F2E12"/>
    <w:rsid w:val="006F506E"/>
    <w:rsid w:val="006F602A"/>
    <w:rsid w:val="0071296A"/>
    <w:rsid w:val="00714712"/>
    <w:rsid w:val="00716788"/>
    <w:rsid w:val="007167E9"/>
    <w:rsid w:val="00731D9C"/>
    <w:rsid w:val="00746866"/>
    <w:rsid w:val="00747416"/>
    <w:rsid w:val="00750F91"/>
    <w:rsid w:val="0075231D"/>
    <w:rsid w:val="00754F02"/>
    <w:rsid w:val="007600A0"/>
    <w:rsid w:val="00762104"/>
    <w:rsid w:val="00763A34"/>
    <w:rsid w:val="007641DC"/>
    <w:rsid w:val="00767E9A"/>
    <w:rsid w:val="00775668"/>
    <w:rsid w:val="00775A3B"/>
    <w:rsid w:val="00775B86"/>
    <w:rsid w:val="007775DF"/>
    <w:rsid w:val="007839E4"/>
    <w:rsid w:val="007857DD"/>
    <w:rsid w:val="00786FD9"/>
    <w:rsid w:val="007901E9"/>
    <w:rsid w:val="00790531"/>
    <w:rsid w:val="00794F4C"/>
    <w:rsid w:val="007958D6"/>
    <w:rsid w:val="00797963"/>
    <w:rsid w:val="00797E63"/>
    <w:rsid w:val="007A2BB1"/>
    <w:rsid w:val="007A6999"/>
    <w:rsid w:val="007B44ED"/>
    <w:rsid w:val="007B463B"/>
    <w:rsid w:val="007B696B"/>
    <w:rsid w:val="007C1F7F"/>
    <w:rsid w:val="007C263E"/>
    <w:rsid w:val="007C3C5D"/>
    <w:rsid w:val="007C7CFA"/>
    <w:rsid w:val="007C7DEF"/>
    <w:rsid w:val="007D0408"/>
    <w:rsid w:val="007D17FF"/>
    <w:rsid w:val="007D3FED"/>
    <w:rsid w:val="007D59A6"/>
    <w:rsid w:val="007D713E"/>
    <w:rsid w:val="007E00E5"/>
    <w:rsid w:val="007E3761"/>
    <w:rsid w:val="007E4AEF"/>
    <w:rsid w:val="007F310A"/>
    <w:rsid w:val="007F6C8D"/>
    <w:rsid w:val="008008BD"/>
    <w:rsid w:val="00803B89"/>
    <w:rsid w:val="0082036F"/>
    <w:rsid w:val="00821DB8"/>
    <w:rsid w:val="0082604B"/>
    <w:rsid w:val="0083227E"/>
    <w:rsid w:val="00832EB0"/>
    <w:rsid w:val="00843609"/>
    <w:rsid w:val="00846227"/>
    <w:rsid w:val="0085367E"/>
    <w:rsid w:val="00853C8C"/>
    <w:rsid w:val="00854F1E"/>
    <w:rsid w:val="00855843"/>
    <w:rsid w:val="00862931"/>
    <w:rsid w:val="00862ADB"/>
    <w:rsid w:val="00873D50"/>
    <w:rsid w:val="00875D56"/>
    <w:rsid w:val="00877694"/>
    <w:rsid w:val="00882E77"/>
    <w:rsid w:val="00883026"/>
    <w:rsid w:val="008857A8"/>
    <w:rsid w:val="00885AA7"/>
    <w:rsid w:val="008910E1"/>
    <w:rsid w:val="00892408"/>
    <w:rsid w:val="0089321B"/>
    <w:rsid w:val="00894F5B"/>
    <w:rsid w:val="00895FF5"/>
    <w:rsid w:val="008A2F16"/>
    <w:rsid w:val="008A363C"/>
    <w:rsid w:val="008B57C8"/>
    <w:rsid w:val="008C2594"/>
    <w:rsid w:val="008D0E03"/>
    <w:rsid w:val="008D21E1"/>
    <w:rsid w:val="008E30EE"/>
    <w:rsid w:val="008E6ECB"/>
    <w:rsid w:val="008E7B18"/>
    <w:rsid w:val="008F791B"/>
    <w:rsid w:val="009115F7"/>
    <w:rsid w:val="0091352F"/>
    <w:rsid w:val="00916955"/>
    <w:rsid w:val="00920F60"/>
    <w:rsid w:val="0092399A"/>
    <w:rsid w:val="00934110"/>
    <w:rsid w:val="009377B3"/>
    <w:rsid w:val="00941715"/>
    <w:rsid w:val="00944BFD"/>
    <w:rsid w:val="009518A8"/>
    <w:rsid w:val="00953A10"/>
    <w:rsid w:val="00956B72"/>
    <w:rsid w:val="00960A02"/>
    <w:rsid w:val="00987CDE"/>
    <w:rsid w:val="00993B58"/>
    <w:rsid w:val="00996120"/>
    <w:rsid w:val="009A14FE"/>
    <w:rsid w:val="009B0B3A"/>
    <w:rsid w:val="009B0C6D"/>
    <w:rsid w:val="009B216A"/>
    <w:rsid w:val="009B2960"/>
    <w:rsid w:val="009B297F"/>
    <w:rsid w:val="009C1118"/>
    <w:rsid w:val="009C7E28"/>
    <w:rsid w:val="009D3B80"/>
    <w:rsid w:val="009D3FBD"/>
    <w:rsid w:val="009D5071"/>
    <w:rsid w:val="009D51F9"/>
    <w:rsid w:val="009D5D7D"/>
    <w:rsid w:val="009D73E9"/>
    <w:rsid w:val="009E5F1C"/>
    <w:rsid w:val="009F0509"/>
    <w:rsid w:val="009F2607"/>
    <w:rsid w:val="009F7E37"/>
    <w:rsid w:val="00A01B8C"/>
    <w:rsid w:val="00A0696C"/>
    <w:rsid w:val="00A1339F"/>
    <w:rsid w:val="00A175C9"/>
    <w:rsid w:val="00A233AA"/>
    <w:rsid w:val="00A35175"/>
    <w:rsid w:val="00A559CE"/>
    <w:rsid w:val="00A6119C"/>
    <w:rsid w:val="00A730B6"/>
    <w:rsid w:val="00A8064C"/>
    <w:rsid w:val="00A82B31"/>
    <w:rsid w:val="00A8725B"/>
    <w:rsid w:val="00A91602"/>
    <w:rsid w:val="00AA12F7"/>
    <w:rsid w:val="00AE125F"/>
    <w:rsid w:val="00AE29C5"/>
    <w:rsid w:val="00AE36A9"/>
    <w:rsid w:val="00AE4473"/>
    <w:rsid w:val="00AE4AB6"/>
    <w:rsid w:val="00AF4457"/>
    <w:rsid w:val="00AF58A2"/>
    <w:rsid w:val="00AF5D83"/>
    <w:rsid w:val="00B02B99"/>
    <w:rsid w:val="00B04D8D"/>
    <w:rsid w:val="00B06674"/>
    <w:rsid w:val="00B074EB"/>
    <w:rsid w:val="00B11D12"/>
    <w:rsid w:val="00B20524"/>
    <w:rsid w:val="00B22B59"/>
    <w:rsid w:val="00B22EF2"/>
    <w:rsid w:val="00B3324A"/>
    <w:rsid w:val="00B34A84"/>
    <w:rsid w:val="00B41453"/>
    <w:rsid w:val="00B46640"/>
    <w:rsid w:val="00B46AF3"/>
    <w:rsid w:val="00B4759A"/>
    <w:rsid w:val="00B54294"/>
    <w:rsid w:val="00B6675D"/>
    <w:rsid w:val="00B70EAC"/>
    <w:rsid w:val="00B7653B"/>
    <w:rsid w:val="00B83B63"/>
    <w:rsid w:val="00B90614"/>
    <w:rsid w:val="00B934AD"/>
    <w:rsid w:val="00B94191"/>
    <w:rsid w:val="00B94949"/>
    <w:rsid w:val="00BA3331"/>
    <w:rsid w:val="00BA48FA"/>
    <w:rsid w:val="00BA5626"/>
    <w:rsid w:val="00BA657A"/>
    <w:rsid w:val="00BA65BC"/>
    <w:rsid w:val="00BA7A8F"/>
    <w:rsid w:val="00BB3AB5"/>
    <w:rsid w:val="00BC04E6"/>
    <w:rsid w:val="00BC4ABE"/>
    <w:rsid w:val="00BC5C92"/>
    <w:rsid w:val="00BD684A"/>
    <w:rsid w:val="00BF033D"/>
    <w:rsid w:val="00C007C7"/>
    <w:rsid w:val="00C02481"/>
    <w:rsid w:val="00C029A5"/>
    <w:rsid w:val="00C0763E"/>
    <w:rsid w:val="00C112E3"/>
    <w:rsid w:val="00C173E7"/>
    <w:rsid w:val="00C306F2"/>
    <w:rsid w:val="00C31E33"/>
    <w:rsid w:val="00C3291B"/>
    <w:rsid w:val="00C3476D"/>
    <w:rsid w:val="00C35F49"/>
    <w:rsid w:val="00C54FEF"/>
    <w:rsid w:val="00C625AB"/>
    <w:rsid w:val="00C64FA8"/>
    <w:rsid w:val="00C74795"/>
    <w:rsid w:val="00C758D5"/>
    <w:rsid w:val="00C764F8"/>
    <w:rsid w:val="00C7769A"/>
    <w:rsid w:val="00C8735C"/>
    <w:rsid w:val="00C8769D"/>
    <w:rsid w:val="00C97D7A"/>
    <w:rsid w:val="00CA57DF"/>
    <w:rsid w:val="00CB0D85"/>
    <w:rsid w:val="00CB7067"/>
    <w:rsid w:val="00CC2F26"/>
    <w:rsid w:val="00CC7C6C"/>
    <w:rsid w:val="00CE0AD9"/>
    <w:rsid w:val="00CE54B2"/>
    <w:rsid w:val="00CF18A5"/>
    <w:rsid w:val="00D034E0"/>
    <w:rsid w:val="00D04FB0"/>
    <w:rsid w:val="00D15AC6"/>
    <w:rsid w:val="00D20BDA"/>
    <w:rsid w:val="00D24947"/>
    <w:rsid w:val="00D25D9A"/>
    <w:rsid w:val="00D25F6B"/>
    <w:rsid w:val="00D27A9A"/>
    <w:rsid w:val="00D317F9"/>
    <w:rsid w:val="00D3271F"/>
    <w:rsid w:val="00D40F96"/>
    <w:rsid w:val="00D41A1B"/>
    <w:rsid w:val="00D41A55"/>
    <w:rsid w:val="00D43548"/>
    <w:rsid w:val="00D44EA3"/>
    <w:rsid w:val="00D47C54"/>
    <w:rsid w:val="00D51523"/>
    <w:rsid w:val="00D523B2"/>
    <w:rsid w:val="00D741E5"/>
    <w:rsid w:val="00D74F23"/>
    <w:rsid w:val="00D753D8"/>
    <w:rsid w:val="00D810F5"/>
    <w:rsid w:val="00D814D3"/>
    <w:rsid w:val="00D8742E"/>
    <w:rsid w:val="00DA0577"/>
    <w:rsid w:val="00DA4BD2"/>
    <w:rsid w:val="00DA5BFF"/>
    <w:rsid w:val="00DA6FF8"/>
    <w:rsid w:val="00DC0E99"/>
    <w:rsid w:val="00DE0043"/>
    <w:rsid w:val="00DE0ADC"/>
    <w:rsid w:val="00DE1212"/>
    <w:rsid w:val="00DE2739"/>
    <w:rsid w:val="00DF2733"/>
    <w:rsid w:val="00DF4F7C"/>
    <w:rsid w:val="00DF5C71"/>
    <w:rsid w:val="00DF5FEB"/>
    <w:rsid w:val="00E04001"/>
    <w:rsid w:val="00E109CB"/>
    <w:rsid w:val="00E13163"/>
    <w:rsid w:val="00E17110"/>
    <w:rsid w:val="00E26C48"/>
    <w:rsid w:val="00E32EC6"/>
    <w:rsid w:val="00E41DC6"/>
    <w:rsid w:val="00E46924"/>
    <w:rsid w:val="00E46F5F"/>
    <w:rsid w:val="00E544D7"/>
    <w:rsid w:val="00E61DDD"/>
    <w:rsid w:val="00E70EA8"/>
    <w:rsid w:val="00E72A00"/>
    <w:rsid w:val="00E73437"/>
    <w:rsid w:val="00E7436F"/>
    <w:rsid w:val="00E74DCB"/>
    <w:rsid w:val="00E80104"/>
    <w:rsid w:val="00E80A67"/>
    <w:rsid w:val="00E8589C"/>
    <w:rsid w:val="00E86068"/>
    <w:rsid w:val="00E86E75"/>
    <w:rsid w:val="00EA2D26"/>
    <w:rsid w:val="00EA3061"/>
    <w:rsid w:val="00EA4F00"/>
    <w:rsid w:val="00EB4393"/>
    <w:rsid w:val="00EC08E0"/>
    <w:rsid w:val="00EC2C3C"/>
    <w:rsid w:val="00ED366A"/>
    <w:rsid w:val="00ED3ED7"/>
    <w:rsid w:val="00ED47AD"/>
    <w:rsid w:val="00ED65FE"/>
    <w:rsid w:val="00ED725B"/>
    <w:rsid w:val="00F008F7"/>
    <w:rsid w:val="00F010CE"/>
    <w:rsid w:val="00F017B0"/>
    <w:rsid w:val="00F0477B"/>
    <w:rsid w:val="00F1798B"/>
    <w:rsid w:val="00F205BE"/>
    <w:rsid w:val="00F2142B"/>
    <w:rsid w:val="00F21F1A"/>
    <w:rsid w:val="00F355C7"/>
    <w:rsid w:val="00F4269A"/>
    <w:rsid w:val="00F4476F"/>
    <w:rsid w:val="00F46D67"/>
    <w:rsid w:val="00F50730"/>
    <w:rsid w:val="00F56BB2"/>
    <w:rsid w:val="00F60064"/>
    <w:rsid w:val="00F60AB3"/>
    <w:rsid w:val="00F718E9"/>
    <w:rsid w:val="00F933D7"/>
    <w:rsid w:val="00F94657"/>
    <w:rsid w:val="00FA110F"/>
    <w:rsid w:val="00FB1209"/>
    <w:rsid w:val="00FB3400"/>
    <w:rsid w:val="00FB4645"/>
    <w:rsid w:val="00FB646C"/>
    <w:rsid w:val="00FC4A1F"/>
    <w:rsid w:val="00FC4AFB"/>
    <w:rsid w:val="00FC6E14"/>
    <w:rsid w:val="00FD06F7"/>
    <w:rsid w:val="00FD1CB4"/>
    <w:rsid w:val="00FD2AF0"/>
    <w:rsid w:val="00FD33DF"/>
    <w:rsid w:val="00FD39B1"/>
    <w:rsid w:val="00FD4C3E"/>
    <w:rsid w:val="00FD5E88"/>
    <w:rsid w:val="00FD7BDF"/>
    <w:rsid w:val="00FE0FE8"/>
    <w:rsid w:val="00FE36A9"/>
    <w:rsid w:val="00FE5CF9"/>
    <w:rsid w:val="00FE5FF3"/>
    <w:rsid w:val="00FF1230"/>
    <w:rsid w:val="00FF69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8551"/>
  <w15:docId w15:val="{B927063C-FB02-4503-9210-517B1D45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42926"/>
    <w:pPr>
      <w:ind w:left="720"/>
      <w:contextualSpacing/>
    </w:pPr>
  </w:style>
  <w:style w:type="paragraph" w:styleId="SemEspaamento">
    <w:name w:val="No Spacing"/>
    <w:aliases w:val="EMENTA"/>
    <w:uiPriority w:val="1"/>
    <w:qFormat/>
    <w:rsid w:val="008F791B"/>
    <w:pPr>
      <w:spacing w:after="360" w:line="360" w:lineRule="auto"/>
      <w:jc w:val="both"/>
    </w:pPr>
    <w:rPr>
      <w:rFonts w:ascii="Times New Roman" w:hAnsi="Times New Roman"/>
      <w:b/>
      <w:caps/>
      <w:sz w:val="24"/>
    </w:rPr>
  </w:style>
  <w:style w:type="character" w:styleId="Hyperlink">
    <w:name w:val="Hyperlink"/>
    <w:basedOn w:val="Fontepargpadro"/>
    <w:uiPriority w:val="99"/>
    <w:unhideWhenUsed/>
    <w:rsid w:val="00007C57"/>
    <w:rPr>
      <w:color w:val="0000FF"/>
      <w:u w:val="single"/>
    </w:rPr>
  </w:style>
  <w:style w:type="character" w:customStyle="1" w:styleId="highlightbrs">
    <w:name w:val="highlightbrs"/>
    <w:basedOn w:val="Fontepargpadro"/>
    <w:rsid w:val="002A270B"/>
  </w:style>
  <w:style w:type="paragraph" w:styleId="Textodenotadefim">
    <w:name w:val="endnote text"/>
    <w:basedOn w:val="Normal"/>
    <w:link w:val="TextodenotadefimChar"/>
    <w:uiPriority w:val="99"/>
    <w:semiHidden/>
    <w:unhideWhenUsed/>
    <w:rsid w:val="00647C7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647C71"/>
    <w:rPr>
      <w:sz w:val="20"/>
      <w:szCs w:val="20"/>
    </w:rPr>
  </w:style>
  <w:style w:type="character" w:styleId="Refdenotadefim">
    <w:name w:val="endnote reference"/>
    <w:basedOn w:val="Fontepargpadro"/>
    <w:uiPriority w:val="99"/>
    <w:semiHidden/>
    <w:unhideWhenUsed/>
    <w:rsid w:val="00647C71"/>
    <w:rPr>
      <w:vertAlign w:val="superscript"/>
    </w:rPr>
  </w:style>
  <w:style w:type="character" w:customStyle="1" w:styleId="MenoPendente1">
    <w:name w:val="Menção Pendente1"/>
    <w:basedOn w:val="Fontepargpadro"/>
    <w:uiPriority w:val="99"/>
    <w:semiHidden/>
    <w:unhideWhenUsed/>
    <w:rsid w:val="00647C71"/>
    <w:rPr>
      <w:color w:val="605E5C"/>
      <w:shd w:val="clear" w:color="auto" w:fill="E1DFDD"/>
    </w:rPr>
  </w:style>
  <w:style w:type="paragraph" w:styleId="Textodenotaderodap">
    <w:name w:val="footnote text"/>
    <w:basedOn w:val="Normal"/>
    <w:link w:val="TextodenotaderodapChar"/>
    <w:uiPriority w:val="99"/>
    <w:semiHidden/>
    <w:unhideWhenUsed/>
    <w:rsid w:val="00332D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32DED"/>
    <w:rPr>
      <w:sz w:val="20"/>
      <w:szCs w:val="20"/>
    </w:rPr>
  </w:style>
  <w:style w:type="character" w:styleId="Refdenotaderodap">
    <w:name w:val="footnote reference"/>
    <w:basedOn w:val="Fontepargpadro"/>
    <w:uiPriority w:val="99"/>
    <w:semiHidden/>
    <w:unhideWhenUsed/>
    <w:rsid w:val="00332DED"/>
    <w:rPr>
      <w:vertAlign w:val="superscript"/>
    </w:rPr>
  </w:style>
  <w:style w:type="paragraph" w:styleId="NormalWeb">
    <w:name w:val="Normal (Web)"/>
    <w:basedOn w:val="Normal"/>
    <w:uiPriority w:val="99"/>
    <w:unhideWhenUsed/>
    <w:rsid w:val="00DA5BF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412E7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12E7C"/>
  </w:style>
  <w:style w:type="paragraph" w:styleId="Rodap">
    <w:name w:val="footer"/>
    <w:basedOn w:val="Normal"/>
    <w:link w:val="RodapChar"/>
    <w:uiPriority w:val="99"/>
    <w:unhideWhenUsed/>
    <w:rsid w:val="00412E7C"/>
    <w:pPr>
      <w:tabs>
        <w:tab w:val="center" w:pos="4252"/>
        <w:tab w:val="right" w:pos="8504"/>
      </w:tabs>
      <w:spacing w:after="0" w:line="240" w:lineRule="auto"/>
    </w:pPr>
  </w:style>
  <w:style w:type="character" w:customStyle="1" w:styleId="RodapChar">
    <w:name w:val="Rodapé Char"/>
    <w:basedOn w:val="Fontepargpadro"/>
    <w:link w:val="Rodap"/>
    <w:uiPriority w:val="99"/>
    <w:rsid w:val="00412E7C"/>
  </w:style>
  <w:style w:type="character" w:styleId="nfase">
    <w:name w:val="Emphasis"/>
    <w:basedOn w:val="Fontepargpadro"/>
    <w:uiPriority w:val="20"/>
    <w:qFormat/>
    <w:rsid w:val="00D74F23"/>
    <w:rPr>
      <w:i/>
      <w:iCs/>
    </w:rPr>
  </w:style>
  <w:style w:type="character" w:styleId="RefernciaIntensa">
    <w:name w:val="Intense Reference"/>
    <w:basedOn w:val="Fontepargpadro"/>
    <w:uiPriority w:val="32"/>
    <w:qFormat/>
    <w:rsid w:val="00E04001"/>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6889">
      <w:bodyDiv w:val="1"/>
      <w:marLeft w:val="0"/>
      <w:marRight w:val="0"/>
      <w:marTop w:val="0"/>
      <w:marBottom w:val="0"/>
      <w:divBdr>
        <w:top w:val="none" w:sz="0" w:space="0" w:color="auto"/>
        <w:left w:val="none" w:sz="0" w:space="0" w:color="auto"/>
        <w:bottom w:val="none" w:sz="0" w:space="0" w:color="auto"/>
        <w:right w:val="none" w:sz="0" w:space="0" w:color="auto"/>
      </w:divBdr>
    </w:div>
    <w:div w:id="305626004">
      <w:bodyDiv w:val="1"/>
      <w:marLeft w:val="0"/>
      <w:marRight w:val="0"/>
      <w:marTop w:val="0"/>
      <w:marBottom w:val="0"/>
      <w:divBdr>
        <w:top w:val="none" w:sz="0" w:space="0" w:color="auto"/>
        <w:left w:val="none" w:sz="0" w:space="0" w:color="auto"/>
        <w:bottom w:val="none" w:sz="0" w:space="0" w:color="auto"/>
        <w:right w:val="none" w:sz="0" w:space="0" w:color="auto"/>
      </w:divBdr>
    </w:div>
    <w:div w:id="530722481">
      <w:bodyDiv w:val="1"/>
      <w:marLeft w:val="0"/>
      <w:marRight w:val="0"/>
      <w:marTop w:val="0"/>
      <w:marBottom w:val="0"/>
      <w:divBdr>
        <w:top w:val="none" w:sz="0" w:space="0" w:color="auto"/>
        <w:left w:val="none" w:sz="0" w:space="0" w:color="auto"/>
        <w:bottom w:val="none" w:sz="0" w:space="0" w:color="auto"/>
        <w:right w:val="none" w:sz="0" w:space="0" w:color="auto"/>
      </w:divBdr>
    </w:div>
    <w:div w:id="547886593">
      <w:bodyDiv w:val="1"/>
      <w:marLeft w:val="0"/>
      <w:marRight w:val="0"/>
      <w:marTop w:val="0"/>
      <w:marBottom w:val="0"/>
      <w:divBdr>
        <w:top w:val="none" w:sz="0" w:space="0" w:color="auto"/>
        <w:left w:val="none" w:sz="0" w:space="0" w:color="auto"/>
        <w:bottom w:val="none" w:sz="0" w:space="0" w:color="auto"/>
        <w:right w:val="none" w:sz="0" w:space="0" w:color="auto"/>
      </w:divBdr>
    </w:div>
    <w:div w:id="673579271">
      <w:bodyDiv w:val="1"/>
      <w:marLeft w:val="0"/>
      <w:marRight w:val="0"/>
      <w:marTop w:val="0"/>
      <w:marBottom w:val="0"/>
      <w:divBdr>
        <w:top w:val="none" w:sz="0" w:space="0" w:color="auto"/>
        <w:left w:val="none" w:sz="0" w:space="0" w:color="auto"/>
        <w:bottom w:val="none" w:sz="0" w:space="0" w:color="auto"/>
        <w:right w:val="none" w:sz="0" w:space="0" w:color="auto"/>
      </w:divBdr>
    </w:div>
    <w:div w:id="869419931">
      <w:bodyDiv w:val="1"/>
      <w:marLeft w:val="0"/>
      <w:marRight w:val="0"/>
      <w:marTop w:val="0"/>
      <w:marBottom w:val="0"/>
      <w:divBdr>
        <w:top w:val="none" w:sz="0" w:space="0" w:color="auto"/>
        <w:left w:val="none" w:sz="0" w:space="0" w:color="auto"/>
        <w:bottom w:val="none" w:sz="0" w:space="0" w:color="auto"/>
        <w:right w:val="none" w:sz="0" w:space="0" w:color="auto"/>
      </w:divBdr>
      <w:divsChild>
        <w:div w:id="1238706704">
          <w:marLeft w:val="0"/>
          <w:marRight w:val="0"/>
          <w:marTop w:val="0"/>
          <w:marBottom w:val="0"/>
          <w:divBdr>
            <w:top w:val="none" w:sz="0" w:space="0" w:color="auto"/>
            <w:left w:val="none" w:sz="0" w:space="0" w:color="auto"/>
            <w:bottom w:val="none" w:sz="0" w:space="0" w:color="auto"/>
            <w:right w:val="none" w:sz="0" w:space="0" w:color="auto"/>
          </w:divBdr>
        </w:div>
      </w:divsChild>
    </w:div>
    <w:div w:id="976031530">
      <w:bodyDiv w:val="1"/>
      <w:marLeft w:val="0"/>
      <w:marRight w:val="0"/>
      <w:marTop w:val="0"/>
      <w:marBottom w:val="0"/>
      <w:divBdr>
        <w:top w:val="none" w:sz="0" w:space="0" w:color="auto"/>
        <w:left w:val="none" w:sz="0" w:space="0" w:color="auto"/>
        <w:bottom w:val="none" w:sz="0" w:space="0" w:color="auto"/>
        <w:right w:val="none" w:sz="0" w:space="0" w:color="auto"/>
      </w:divBdr>
    </w:div>
    <w:div w:id="1357077518">
      <w:bodyDiv w:val="1"/>
      <w:marLeft w:val="0"/>
      <w:marRight w:val="0"/>
      <w:marTop w:val="0"/>
      <w:marBottom w:val="0"/>
      <w:divBdr>
        <w:top w:val="none" w:sz="0" w:space="0" w:color="auto"/>
        <w:left w:val="none" w:sz="0" w:space="0" w:color="auto"/>
        <w:bottom w:val="none" w:sz="0" w:space="0" w:color="auto"/>
        <w:right w:val="none" w:sz="0" w:space="0" w:color="auto"/>
      </w:divBdr>
    </w:div>
    <w:div w:id="1361397871">
      <w:bodyDiv w:val="1"/>
      <w:marLeft w:val="0"/>
      <w:marRight w:val="0"/>
      <w:marTop w:val="0"/>
      <w:marBottom w:val="0"/>
      <w:divBdr>
        <w:top w:val="none" w:sz="0" w:space="0" w:color="auto"/>
        <w:left w:val="none" w:sz="0" w:space="0" w:color="auto"/>
        <w:bottom w:val="none" w:sz="0" w:space="0" w:color="auto"/>
        <w:right w:val="none" w:sz="0" w:space="0" w:color="auto"/>
      </w:divBdr>
    </w:div>
    <w:div w:id="1415054741">
      <w:bodyDiv w:val="1"/>
      <w:marLeft w:val="0"/>
      <w:marRight w:val="0"/>
      <w:marTop w:val="0"/>
      <w:marBottom w:val="0"/>
      <w:divBdr>
        <w:top w:val="none" w:sz="0" w:space="0" w:color="auto"/>
        <w:left w:val="none" w:sz="0" w:space="0" w:color="auto"/>
        <w:bottom w:val="none" w:sz="0" w:space="0" w:color="auto"/>
        <w:right w:val="none" w:sz="0" w:space="0" w:color="auto"/>
      </w:divBdr>
    </w:div>
    <w:div w:id="1455128335">
      <w:bodyDiv w:val="1"/>
      <w:marLeft w:val="0"/>
      <w:marRight w:val="0"/>
      <w:marTop w:val="0"/>
      <w:marBottom w:val="0"/>
      <w:divBdr>
        <w:top w:val="none" w:sz="0" w:space="0" w:color="auto"/>
        <w:left w:val="none" w:sz="0" w:space="0" w:color="auto"/>
        <w:bottom w:val="none" w:sz="0" w:space="0" w:color="auto"/>
        <w:right w:val="none" w:sz="0" w:space="0" w:color="auto"/>
      </w:divBdr>
    </w:div>
    <w:div w:id="1491751064">
      <w:bodyDiv w:val="1"/>
      <w:marLeft w:val="0"/>
      <w:marRight w:val="0"/>
      <w:marTop w:val="0"/>
      <w:marBottom w:val="0"/>
      <w:divBdr>
        <w:top w:val="none" w:sz="0" w:space="0" w:color="auto"/>
        <w:left w:val="none" w:sz="0" w:space="0" w:color="auto"/>
        <w:bottom w:val="none" w:sz="0" w:space="0" w:color="auto"/>
        <w:right w:val="none" w:sz="0" w:space="0" w:color="auto"/>
      </w:divBdr>
    </w:div>
    <w:div w:id="1500272223">
      <w:bodyDiv w:val="1"/>
      <w:marLeft w:val="0"/>
      <w:marRight w:val="0"/>
      <w:marTop w:val="0"/>
      <w:marBottom w:val="0"/>
      <w:divBdr>
        <w:top w:val="none" w:sz="0" w:space="0" w:color="auto"/>
        <w:left w:val="none" w:sz="0" w:space="0" w:color="auto"/>
        <w:bottom w:val="none" w:sz="0" w:space="0" w:color="auto"/>
        <w:right w:val="none" w:sz="0" w:space="0" w:color="auto"/>
      </w:divBdr>
    </w:div>
    <w:div w:id="1627664554">
      <w:bodyDiv w:val="1"/>
      <w:marLeft w:val="0"/>
      <w:marRight w:val="0"/>
      <w:marTop w:val="0"/>
      <w:marBottom w:val="0"/>
      <w:divBdr>
        <w:top w:val="none" w:sz="0" w:space="0" w:color="auto"/>
        <w:left w:val="none" w:sz="0" w:space="0" w:color="auto"/>
        <w:bottom w:val="none" w:sz="0" w:space="0" w:color="auto"/>
        <w:right w:val="none" w:sz="0" w:space="0" w:color="auto"/>
      </w:divBdr>
    </w:div>
    <w:div w:id="1799182846">
      <w:bodyDiv w:val="1"/>
      <w:marLeft w:val="0"/>
      <w:marRight w:val="0"/>
      <w:marTop w:val="0"/>
      <w:marBottom w:val="0"/>
      <w:divBdr>
        <w:top w:val="none" w:sz="0" w:space="0" w:color="auto"/>
        <w:left w:val="none" w:sz="0" w:space="0" w:color="auto"/>
        <w:bottom w:val="none" w:sz="0" w:space="0" w:color="auto"/>
        <w:right w:val="none" w:sz="0" w:space="0" w:color="auto"/>
      </w:divBdr>
    </w:div>
    <w:div w:id="1866597119">
      <w:bodyDiv w:val="1"/>
      <w:marLeft w:val="0"/>
      <w:marRight w:val="0"/>
      <w:marTop w:val="0"/>
      <w:marBottom w:val="0"/>
      <w:divBdr>
        <w:top w:val="none" w:sz="0" w:space="0" w:color="auto"/>
        <w:left w:val="none" w:sz="0" w:space="0" w:color="auto"/>
        <w:bottom w:val="none" w:sz="0" w:space="0" w:color="auto"/>
        <w:right w:val="none" w:sz="0" w:space="0" w:color="auto"/>
      </w:divBdr>
    </w:div>
    <w:div w:id="1884754220">
      <w:bodyDiv w:val="1"/>
      <w:marLeft w:val="0"/>
      <w:marRight w:val="0"/>
      <w:marTop w:val="0"/>
      <w:marBottom w:val="0"/>
      <w:divBdr>
        <w:top w:val="none" w:sz="0" w:space="0" w:color="auto"/>
        <w:left w:val="none" w:sz="0" w:space="0" w:color="auto"/>
        <w:bottom w:val="none" w:sz="0" w:space="0" w:color="auto"/>
        <w:right w:val="none" w:sz="0" w:space="0" w:color="auto"/>
      </w:divBdr>
    </w:div>
    <w:div w:id="1901941761">
      <w:bodyDiv w:val="1"/>
      <w:marLeft w:val="0"/>
      <w:marRight w:val="0"/>
      <w:marTop w:val="0"/>
      <w:marBottom w:val="0"/>
      <w:divBdr>
        <w:top w:val="none" w:sz="0" w:space="0" w:color="auto"/>
        <w:left w:val="none" w:sz="0" w:space="0" w:color="auto"/>
        <w:bottom w:val="none" w:sz="0" w:space="0" w:color="auto"/>
        <w:right w:val="none" w:sz="0" w:space="0" w:color="auto"/>
      </w:divBdr>
    </w:div>
    <w:div w:id="1919821174">
      <w:bodyDiv w:val="1"/>
      <w:marLeft w:val="0"/>
      <w:marRight w:val="0"/>
      <w:marTop w:val="0"/>
      <w:marBottom w:val="0"/>
      <w:divBdr>
        <w:top w:val="none" w:sz="0" w:space="0" w:color="auto"/>
        <w:left w:val="none" w:sz="0" w:space="0" w:color="auto"/>
        <w:bottom w:val="none" w:sz="0" w:space="0" w:color="auto"/>
        <w:right w:val="none" w:sz="0" w:space="0" w:color="auto"/>
      </w:divBdr>
    </w:div>
    <w:div w:id="1945576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0" ma:contentTypeDescription="Crie um novo documento." ma:contentTypeScope="" ma:versionID="3cc68c9615475231b1d84f77667dd39e">
  <xsd:schema xmlns:xsd="http://www.w3.org/2001/XMLSchema" xmlns:xs="http://www.w3.org/2001/XMLSchema" xmlns:p="http://schemas.microsoft.com/office/2006/metadata/properties" targetNamespace="http://schemas.microsoft.com/office/2006/metadata/properties" ma:root="true" ma:fieldsID="e257547f92819c86ae4143fe76bb6c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5433FA-91EB-494A-A9A1-87AAB1326920}">
  <ds:schemaRefs>
    <ds:schemaRef ds:uri="http://schemas.openxmlformats.org/officeDocument/2006/bibliography"/>
  </ds:schemaRefs>
</ds:datastoreItem>
</file>

<file path=customXml/itemProps2.xml><?xml version="1.0" encoding="utf-8"?>
<ds:datastoreItem xmlns:ds="http://schemas.openxmlformats.org/officeDocument/2006/customXml" ds:itemID="{7BB4C02C-E3F1-4E20-8469-4FAFF30F8DC5}"/>
</file>

<file path=customXml/itemProps3.xml><?xml version="1.0" encoding="utf-8"?>
<ds:datastoreItem xmlns:ds="http://schemas.openxmlformats.org/officeDocument/2006/customXml" ds:itemID="{581C1078-0A84-45BA-BF5F-0FE36A7AE229}"/>
</file>

<file path=customXml/itemProps4.xml><?xml version="1.0" encoding="utf-8"?>
<ds:datastoreItem xmlns:ds="http://schemas.openxmlformats.org/officeDocument/2006/customXml" ds:itemID="{A7E80D15-B80E-48E3-BF91-E06D419D70C4}"/>
</file>

<file path=docProps/app.xml><?xml version="1.0" encoding="utf-8"?>
<Properties xmlns="http://schemas.openxmlformats.org/officeDocument/2006/extended-properties" xmlns:vt="http://schemas.openxmlformats.org/officeDocument/2006/docPropsVTypes">
  <Template>Normal</Template>
  <TotalTime>1020</TotalTime>
  <Pages>5</Pages>
  <Words>1249</Words>
  <Characters>6750</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13</cp:revision>
  <cp:lastPrinted>2023-02-01T16:46:00Z</cp:lastPrinted>
  <dcterms:created xsi:type="dcterms:W3CDTF">2023-06-15T19:39:00Z</dcterms:created>
  <dcterms:modified xsi:type="dcterms:W3CDTF">2023-12-04T18:18:00Z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340600</vt:r8>
  </property>
</Properties>
</file>