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AB6B" w14:textId="4001EA12" w:rsidR="00EC3DED" w:rsidRDefault="00EC3DED" w:rsidP="00146748">
      <w:pPr>
        <w:ind w:firstLine="0"/>
        <w:rPr>
          <w:b/>
        </w:rPr>
      </w:pPr>
      <w:r>
        <w:rPr>
          <w:b/>
        </w:rPr>
        <w:t xml:space="preserve">MONOCRÁTICA. </w:t>
      </w:r>
      <w:r w:rsidR="00146748" w:rsidRPr="00146748">
        <w:rPr>
          <w:b/>
        </w:rPr>
        <w:t xml:space="preserve">DIREITO </w:t>
      </w:r>
      <w:r w:rsidR="00973737">
        <w:rPr>
          <w:b/>
        </w:rPr>
        <w:t xml:space="preserve">CIVIL E </w:t>
      </w:r>
      <w:r w:rsidR="00146748" w:rsidRPr="00146748">
        <w:rPr>
          <w:b/>
        </w:rPr>
        <w:t>PROCESSUAL CIVIL.</w:t>
      </w:r>
      <w:r>
        <w:rPr>
          <w:b/>
        </w:rPr>
        <w:t xml:space="preserve"> EMBARGOS DE DECLARAÇÃO.</w:t>
      </w:r>
      <w:r w:rsidR="00C7046B">
        <w:rPr>
          <w:b/>
        </w:rPr>
        <w:t xml:space="preserve"> OMISSÃO. HONORÁRIOS RECURSAIS.</w:t>
      </w:r>
    </w:p>
    <w:p w14:paraId="153FB66C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I. CASO EM EXAME</w:t>
      </w:r>
    </w:p>
    <w:p w14:paraId="45464EBA" w14:textId="1B5DE5CC" w:rsidR="00EC3DED" w:rsidRDefault="00EC3DED" w:rsidP="00146748">
      <w:pPr>
        <w:ind w:firstLine="0"/>
        <w:rPr>
          <w:b/>
        </w:rPr>
      </w:pPr>
      <w:r>
        <w:rPr>
          <w:b/>
        </w:rPr>
        <w:t>Embargos de declaração interpostos contra decisão que homologou a desistência de recurso de apelação, exercendo juízo negativo de admissibilidade pela perda do objeto recursal.</w:t>
      </w:r>
    </w:p>
    <w:p w14:paraId="6BB4A4A5" w14:textId="55DE1E89" w:rsidR="00146748" w:rsidRDefault="00146748" w:rsidP="00146748">
      <w:pPr>
        <w:ind w:firstLine="0"/>
        <w:rPr>
          <w:b/>
        </w:rPr>
      </w:pPr>
      <w:r w:rsidRPr="00146748">
        <w:rPr>
          <w:b/>
        </w:rPr>
        <w:t>II. QUESTÃO EM DISCUSSÃO</w:t>
      </w:r>
    </w:p>
    <w:p w14:paraId="21D8806E" w14:textId="13FA9749" w:rsidR="00EC3DED" w:rsidRPr="00146748" w:rsidRDefault="00EC3DED" w:rsidP="00146748">
      <w:pPr>
        <w:ind w:firstLine="0"/>
        <w:rPr>
          <w:b/>
        </w:rPr>
      </w:pPr>
      <w:r>
        <w:rPr>
          <w:b/>
        </w:rPr>
        <w:t>Hipótese de acometimento do julgado por omissão, por ausência de condenação em honorários de sucumbência.</w:t>
      </w:r>
    </w:p>
    <w:p w14:paraId="7BD502AF" w14:textId="6679F18A" w:rsidR="00146748" w:rsidRDefault="00146748" w:rsidP="00146748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24E441C4" w14:textId="77777777" w:rsidR="00EC3DED" w:rsidRPr="00146748" w:rsidRDefault="00EC3DED" w:rsidP="00EC3DED">
      <w:pPr>
        <w:ind w:firstLine="0"/>
        <w:rPr>
          <w:b/>
        </w:rPr>
      </w:pPr>
      <w:r>
        <w:rPr>
          <w:b/>
        </w:rPr>
        <w:t>A ausência de condenação ao pagamento de honorários recursais, na hipótese de não conhecimento da apelação, configura omissão sanável pela via dos embargos de declaração.</w:t>
      </w:r>
    </w:p>
    <w:p w14:paraId="6AF28E16" w14:textId="77777777" w:rsidR="00146748" w:rsidRDefault="00146748" w:rsidP="00146748">
      <w:pPr>
        <w:ind w:firstLine="0"/>
        <w:rPr>
          <w:b/>
        </w:rPr>
      </w:pPr>
      <w:r w:rsidRPr="00146748">
        <w:rPr>
          <w:b/>
        </w:rPr>
        <w:t>IV. SOLUÇÃO DO CASO</w:t>
      </w:r>
    </w:p>
    <w:p w14:paraId="179FF415" w14:textId="67520FAA" w:rsidR="00EC3DED" w:rsidRDefault="00EC3DED" w:rsidP="00146748">
      <w:pPr>
        <w:ind w:firstLine="0"/>
        <w:rPr>
          <w:b/>
        </w:rPr>
      </w:pPr>
      <w:r>
        <w:rPr>
          <w:b/>
        </w:rPr>
        <w:t>Recurso conhecido e provido.</w:t>
      </w:r>
    </w:p>
    <w:p w14:paraId="34905683" w14:textId="4DAD97A8" w:rsidR="00146748" w:rsidRDefault="00146748" w:rsidP="00146748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14:paraId="206717D3" w14:textId="77777777" w:rsidR="001C2D4C" w:rsidRDefault="001C2D4C" w:rsidP="00146748">
      <w:pPr>
        <w:ind w:firstLine="0"/>
        <w:rPr>
          <w:b/>
        </w:rPr>
      </w:pPr>
      <w:r>
        <w:rPr>
          <w:b/>
        </w:rPr>
        <w:t>V. I. Legislação</w:t>
      </w:r>
    </w:p>
    <w:p w14:paraId="36E207C1" w14:textId="37259BB1" w:rsidR="007B5A37" w:rsidRDefault="00C844DA" w:rsidP="00146748">
      <w:pPr>
        <w:ind w:firstLine="0"/>
        <w:rPr>
          <w:b/>
        </w:rPr>
      </w:pPr>
      <w:r>
        <w:rPr>
          <w:b/>
        </w:rPr>
        <w:t xml:space="preserve">CPC: art. 85, </w:t>
      </w:r>
      <w:r w:rsidRPr="007B5A37">
        <w:rPr>
          <w:b/>
          <w:i/>
          <w:iCs/>
        </w:rPr>
        <w:t>caput</w:t>
      </w:r>
      <w:r w:rsidR="007B5A37">
        <w:rPr>
          <w:b/>
        </w:rPr>
        <w:t>, §§ 2º e 11; art. 1.024</w:t>
      </w:r>
      <w:r w:rsidR="00712A03">
        <w:rPr>
          <w:b/>
        </w:rPr>
        <w:t>, § 2º.</w:t>
      </w:r>
    </w:p>
    <w:p w14:paraId="019BC04E" w14:textId="249B3C41" w:rsidR="00AA28DF" w:rsidRDefault="001C2D4C" w:rsidP="00372AAB">
      <w:pPr>
        <w:ind w:firstLine="0"/>
        <w:rPr>
          <w:b/>
        </w:rPr>
      </w:pPr>
      <w:r>
        <w:rPr>
          <w:b/>
        </w:rPr>
        <w:t xml:space="preserve">V. II. </w:t>
      </w:r>
      <w:r w:rsidR="00146748" w:rsidRPr="00146748">
        <w:rPr>
          <w:b/>
        </w:rPr>
        <w:t>Jurisprudência</w:t>
      </w:r>
    </w:p>
    <w:p w14:paraId="26B87202" w14:textId="3D9BCC90" w:rsidR="00650A34" w:rsidRDefault="00712A03" w:rsidP="00372AAB">
      <w:pPr>
        <w:ind w:firstLine="0"/>
        <w:rPr>
          <w:b/>
        </w:rPr>
      </w:pPr>
      <w:r w:rsidRPr="00712A03">
        <w:rPr>
          <w:b/>
        </w:rPr>
        <w:t>STJ. Corte Especial. Relator: Ministro Paulo Sérgio Domingues. REsp n. 1.865.553/PR. Data de julgamento: 9-11-2023. Data de publicação: 21-12-2023</w:t>
      </w:r>
      <w:r>
        <w:rPr>
          <w:b/>
        </w:rPr>
        <w:t>.</w:t>
      </w:r>
    </w:p>
    <w:p w14:paraId="2BD7CBD7" w14:textId="3BA360E3" w:rsidR="00712A03" w:rsidRDefault="00712A03" w:rsidP="00372AAB">
      <w:pPr>
        <w:ind w:firstLine="0"/>
        <w:rPr>
          <w:b/>
        </w:rPr>
      </w:pPr>
      <w:r>
        <w:rPr>
          <w:b/>
        </w:rPr>
        <w:t>STJ. Tema Repetitivo n. 1.059</w:t>
      </w:r>
    </w:p>
    <w:p w14:paraId="605B0000" w14:textId="77777777" w:rsidR="00B406A5" w:rsidRDefault="00B406A5" w:rsidP="00AA28DF">
      <w:pPr>
        <w:pStyle w:val="PargrafodaLista"/>
        <w:ind w:left="0"/>
        <w:contextualSpacing w:val="0"/>
        <w:rPr>
          <w:b/>
        </w:rPr>
      </w:pPr>
    </w:p>
    <w:p w14:paraId="4F2D2C21" w14:textId="141AB9EA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02713875" w14:textId="04FF3037" w:rsidR="005C3596" w:rsidRDefault="00AA28DF" w:rsidP="00AA28DF">
      <w:pPr>
        <w:pStyle w:val="PargrafodaLista"/>
        <w:ind w:left="0"/>
        <w:contextualSpacing w:val="0"/>
      </w:pPr>
      <w:r>
        <w:t>Cuida</w:t>
      </w:r>
      <w:r w:rsidR="005C3596">
        <w:t xml:space="preserve">m-se de embargos de declaração </w:t>
      </w:r>
      <w:r w:rsidR="009E0D2F">
        <w:t>interpostos por Edonir José Soares em face de Santander Sociedade de Crédito, Financiamento e Investimento S. A., tendo como objeto</w:t>
      </w:r>
      <w:r w:rsidR="00772DEC">
        <w:t xml:space="preserve"> decisão monocrática que </w:t>
      </w:r>
      <w:r w:rsidR="00E12AEC">
        <w:t xml:space="preserve">homologou a desistência </w:t>
      </w:r>
      <w:r w:rsidR="00914421">
        <w:t xml:space="preserve">de recurso de apelação, exercendo juízo negativo de admissibilidade pela </w:t>
      </w:r>
      <w:r w:rsidR="000A7AFA">
        <w:t>perda</w:t>
      </w:r>
      <w:r w:rsidR="00914421">
        <w:t xml:space="preserve"> superveniente do objeto (evento 58.1 – Ap).</w:t>
      </w:r>
    </w:p>
    <w:p w14:paraId="7889D46C" w14:textId="0323C812" w:rsidR="0060578D" w:rsidRDefault="00475B08" w:rsidP="00AA28DF">
      <w:pPr>
        <w:pStyle w:val="PargrafodaLista"/>
        <w:ind w:left="0"/>
        <w:contextualSpacing w:val="0"/>
      </w:pPr>
      <w:r>
        <w:t xml:space="preserve">Sustenta o embargante, em síntese, o acometimento do </w:t>
      </w:r>
      <w:r w:rsidR="00AE2266">
        <w:t>julgado por omissão, consistente na ausência de condenação em honorários recursais (evento 1.1).</w:t>
      </w:r>
    </w:p>
    <w:p w14:paraId="53EDF117" w14:textId="30751882" w:rsidR="00AE2266" w:rsidRPr="00AE2266" w:rsidRDefault="00AE2266" w:rsidP="00AA28DF">
      <w:pPr>
        <w:pStyle w:val="PargrafodaLista"/>
        <w:ind w:left="0"/>
        <w:contextualSpacing w:val="0"/>
      </w:pPr>
      <w:r>
        <w:t xml:space="preserve">Instada a apresentar contrarrazões, a parte embargada deixou transcorrer, </w:t>
      </w:r>
      <w:r>
        <w:rPr>
          <w:i/>
          <w:iCs/>
        </w:rPr>
        <w:t>in albis</w:t>
      </w:r>
      <w:r>
        <w:t xml:space="preserve">, o prazo legal (evento </w:t>
      </w:r>
      <w:r w:rsidR="00650A34">
        <w:t>12).</w:t>
      </w:r>
    </w:p>
    <w:p w14:paraId="5AA6CA6E" w14:textId="05C46450" w:rsidR="0060578D" w:rsidRDefault="0060578D" w:rsidP="00AA28DF">
      <w:pPr>
        <w:pStyle w:val="PargrafodaLista"/>
        <w:ind w:left="0"/>
        <w:contextualSpacing w:val="0"/>
      </w:pPr>
      <w:r>
        <w:t>É o necessário relato.</w:t>
      </w:r>
    </w:p>
    <w:p w14:paraId="40E65549" w14:textId="77777777" w:rsidR="0060578D" w:rsidRDefault="0060578D" w:rsidP="00AA28DF">
      <w:pPr>
        <w:pStyle w:val="PargrafodaLista"/>
        <w:ind w:left="0"/>
        <w:contextualSpacing w:val="0"/>
      </w:pPr>
    </w:p>
    <w:p w14:paraId="18F4DDB0" w14:textId="77777777" w:rsidR="0060578D" w:rsidRDefault="0060578D" w:rsidP="0060578D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260160">
        <w:rPr>
          <w:rFonts w:cs="Times New Roman"/>
          <w:b/>
          <w:szCs w:val="24"/>
        </w:rPr>
        <w:t>II – FUNDAMENTAÇÃO</w:t>
      </w:r>
    </w:p>
    <w:p w14:paraId="04E968C8" w14:textId="77777777" w:rsidR="0060578D" w:rsidRPr="00C727D6" w:rsidRDefault="0060578D" w:rsidP="0060578D">
      <w:pPr>
        <w:spacing w:before="240"/>
        <w:rPr>
          <w:rFonts w:eastAsia="Times New Roman" w:cs="Times New Roman"/>
          <w:szCs w:val="24"/>
          <w:lang w:eastAsia="pt-BR"/>
        </w:rPr>
      </w:pPr>
      <w:r w:rsidRPr="00C727D6">
        <w:rPr>
          <w:rFonts w:eastAsia="Times New Roman" w:cs="Times New Roman"/>
          <w:szCs w:val="24"/>
          <w:lang w:eastAsia="pt-BR"/>
        </w:rPr>
        <w:t xml:space="preserve">II.I </w:t>
      </w:r>
      <w:r>
        <w:rPr>
          <w:rFonts w:eastAsia="Times New Roman" w:cs="Times New Roman"/>
          <w:szCs w:val="24"/>
          <w:lang w:eastAsia="pt-BR"/>
        </w:rPr>
        <w:t>–</w:t>
      </w:r>
      <w:r w:rsidRPr="00C727D6">
        <w:rPr>
          <w:rFonts w:eastAsia="Times New Roman" w:cs="Times New Roman"/>
          <w:szCs w:val="24"/>
          <w:lang w:eastAsia="pt-BR"/>
        </w:rPr>
        <w:t xml:space="preserve"> </w:t>
      </w:r>
      <w:r>
        <w:rPr>
          <w:rFonts w:eastAsia="Times New Roman" w:cs="Times New Roman"/>
          <w:szCs w:val="24"/>
          <w:lang w:eastAsia="pt-BR"/>
        </w:rPr>
        <w:t xml:space="preserve">DO JUÍZO DE </w:t>
      </w:r>
      <w:r w:rsidRPr="00C727D6">
        <w:rPr>
          <w:rFonts w:eastAsia="Times New Roman" w:cs="Times New Roman"/>
          <w:szCs w:val="24"/>
          <w:lang w:eastAsia="pt-BR"/>
        </w:rPr>
        <w:t>ADMISSIBILIDADE</w:t>
      </w:r>
    </w:p>
    <w:p w14:paraId="12C09E10" w14:textId="3F766BA2" w:rsidR="0060578D" w:rsidRDefault="0060578D" w:rsidP="0060578D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Satisfeitos os pressupostos de admissibilidade recursal, conhecem-se dos embargos de declaração interpostos.</w:t>
      </w:r>
    </w:p>
    <w:p w14:paraId="027C8B22" w14:textId="77777777" w:rsidR="0060578D" w:rsidRDefault="0060578D" w:rsidP="0060578D">
      <w:pPr>
        <w:spacing w:before="240"/>
        <w:rPr>
          <w:rFonts w:eastAsia="Times New Roman" w:cs="Times New Roman"/>
          <w:szCs w:val="24"/>
          <w:lang w:eastAsia="pt-BR"/>
        </w:rPr>
      </w:pPr>
    </w:p>
    <w:p w14:paraId="7EF2371E" w14:textId="05BCCBA1" w:rsidR="0060578D" w:rsidRDefault="0060578D" w:rsidP="0060578D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II.II – D</w:t>
      </w:r>
      <w:r w:rsidR="00650A34">
        <w:rPr>
          <w:rFonts w:eastAsia="Times New Roman" w:cs="Times New Roman"/>
          <w:szCs w:val="24"/>
          <w:lang w:eastAsia="pt-BR"/>
        </w:rPr>
        <w:t>OS HONORÁRIOS RECURSAIS</w:t>
      </w:r>
    </w:p>
    <w:p w14:paraId="75B50E57" w14:textId="754F55CB" w:rsidR="0060578D" w:rsidRDefault="001618C9" w:rsidP="0060578D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Cinge-se a controvérsia recursal </w:t>
      </w:r>
      <w:r w:rsidR="0038125B">
        <w:rPr>
          <w:rFonts w:eastAsia="Times New Roman" w:cs="Times New Roman"/>
          <w:szCs w:val="24"/>
          <w:lang w:eastAsia="pt-BR"/>
        </w:rPr>
        <w:t>à</w:t>
      </w:r>
      <w:r>
        <w:rPr>
          <w:rFonts w:eastAsia="Times New Roman" w:cs="Times New Roman"/>
          <w:szCs w:val="24"/>
          <w:lang w:eastAsia="pt-BR"/>
        </w:rPr>
        <w:t xml:space="preserve"> pretensão de colmatação de decisão que, apesar de não conhecer de recurso de apelação, deixou de </w:t>
      </w:r>
      <w:r w:rsidR="00485CDA">
        <w:rPr>
          <w:rFonts w:eastAsia="Times New Roman" w:cs="Times New Roman"/>
          <w:szCs w:val="24"/>
          <w:lang w:eastAsia="pt-BR"/>
        </w:rPr>
        <w:t xml:space="preserve">impor condenação em </w:t>
      </w:r>
      <w:r>
        <w:rPr>
          <w:rFonts w:eastAsia="Times New Roman" w:cs="Times New Roman"/>
          <w:szCs w:val="24"/>
          <w:lang w:eastAsia="pt-BR"/>
        </w:rPr>
        <w:t>honorários de sucumbência.</w:t>
      </w:r>
    </w:p>
    <w:p w14:paraId="497F923F" w14:textId="604F1A06" w:rsidR="001618C9" w:rsidRDefault="001618C9" w:rsidP="0060578D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Da análise das razões de inconformismo, em cotejo com o acórdão embargado, constata-se que a ausência de </w:t>
      </w:r>
      <w:r w:rsidR="0070393C">
        <w:rPr>
          <w:rFonts w:eastAsia="Times New Roman" w:cs="Times New Roman"/>
          <w:szCs w:val="24"/>
          <w:lang w:eastAsia="pt-BR"/>
        </w:rPr>
        <w:t>majoração dos honorários</w:t>
      </w:r>
      <w:r w:rsidR="0038125B">
        <w:rPr>
          <w:rFonts w:eastAsia="Times New Roman" w:cs="Times New Roman"/>
          <w:szCs w:val="24"/>
          <w:lang w:eastAsia="pt-BR"/>
        </w:rPr>
        <w:t xml:space="preserve"> ocorreu e</w:t>
      </w:r>
      <w:r w:rsidR="0070393C">
        <w:rPr>
          <w:rFonts w:eastAsia="Times New Roman" w:cs="Times New Roman"/>
          <w:szCs w:val="24"/>
          <w:lang w:eastAsia="pt-BR"/>
        </w:rPr>
        <w:t>m detrimento do disposto no artigo 85, § 11</w:t>
      </w:r>
      <w:r w:rsidR="000507E6">
        <w:rPr>
          <w:rFonts w:eastAsia="Times New Roman" w:cs="Times New Roman"/>
          <w:szCs w:val="24"/>
          <w:lang w:eastAsia="pt-BR"/>
        </w:rPr>
        <w:t xml:space="preserve">, do Código de Processo Civil e do Tema Repetitivo n. </w:t>
      </w:r>
      <w:r w:rsidR="00C459DD">
        <w:rPr>
          <w:rFonts w:eastAsia="Times New Roman" w:cs="Times New Roman"/>
          <w:szCs w:val="24"/>
          <w:lang w:eastAsia="pt-BR"/>
        </w:rPr>
        <w:t>1.059.</w:t>
      </w:r>
    </w:p>
    <w:p w14:paraId="12F54D4B" w14:textId="3D1CFD7F" w:rsidR="00F23DF5" w:rsidRDefault="00F23DF5" w:rsidP="0060578D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A esse respeito:</w:t>
      </w:r>
    </w:p>
    <w:p w14:paraId="75916C79" w14:textId="77777777" w:rsidR="00F23DF5" w:rsidRDefault="00F23DF5" w:rsidP="0060578D">
      <w:pPr>
        <w:spacing w:before="240"/>
        <w:rPr>
          <w:rFonts w:eastAsia="Times New Roman" w:cs="Times New Roman"/>
          <w:szCs w:val="24"/>
          <w:lang w:eastAsia="pt-BR"/>
        </w:rPr>
      </w:pPr>
    </w:p>
    <w:p w14:paraId="0B618F17" w14:textId="571B9166" w:rsidR="00287565" w:rsidRDefault="00F23DF5" w:rsidP="00287565">
      <w:pPr>
        <w:ind w:left="2268" w:firstLine="0"/>
        <w:rPr>
          <w:rFonts w:eastAsia="Times New Roman" w:cs="Times New Roman"/>
          <w:sz w:val="20"/>
          <w:szCs w:val="20"/>
          <w:lang w:eastAsia="pt-BR"/>
        </w:rPr>
      </w:pPr>
      <w:r w:rsidRPr="00F23DF5">
        <w:rPr>
          <w:rFonts w:eastAsia="Times New Roman" w:cs="Times New Roman"/>
          <w:sz w:val="20"/>
          <w:szCs w:val="20"/>
          <w:lang w:eastAsia="pt-BR"/>
        </w:rPr>
        <w:t>RECURSO ESPECIAL REPETITIVO - DIREITO PROCESSUAL CIVIL - HONORÁRIOS ADVOCATÍCIOS SUCUMBENCIAIS - ART. 85, § 11, DO CPC - MAJORAÇÃO DA VERBA HONORÁRIA EM GRAU RECURSAL - IMPOSSIBILIDADE EM CASO DE PROVIMENTO PARCIAL OU TOTAL DO RECURSO, AINDA QUE MÍNIMA A ALTERAÇÃO DO RESULTADO DO JULGAMENTO - FIXAÇÃO DE TESE JURÍDICA DE EFICÁCIA VINCULANTE - SOLUÇÃO DO CASO CONCRETO: PROVIMENTO DO RECURSO ESPECIAL.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EF554E">
        <w:rPr>
          <w:rFonts w:eastAsia="Times New Roman" w:cs="Times New Roman"/>
          <w:b/>
          <w:bCs/>
          <w:sz w:val="20"/>
          <w:szCs w:val="20"/>
          <w:lang w:eastAsia="pt-BR"/>
        </w:rPr>
        <w:t>1. É pressuposto da majoração da verba honorária sucumbencial em grau recursal, tal como estabelecida no art. 85, § 11, do CPC, a infrutuosidade do recurso interposto, assim considerado aquele que em nada altera o resultado do julgamento tal como provindo da instância de origem.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F23DF5">
        <w:rPr>
          <w:rFonts w:eastAsia="Times New Roman" w:cs="Times New Roman"/>
          <w:sz w:val="20"/>
          <w:szCs w:val="20"/>
          <w:lang w:eastAsia="pt-BR"/>
        </w:rPr>
        <w:t>2. Fincada a premissa, não faz diferença alguma, para fins de aplicação da regra legal de majoração dos honorários em grau recursal, se o recurso foi declarado incognoscível ou integralmente desprovido: ambas as hipóteses equivalem-se juridicamente para efeito de majoração da verba honorária prefixada, já que nenhuma delas possui aptidão para alterar o resultado do julgamento, e o recurso interposto, ao fim e ao cabo, em nada beneficiou o recorrente.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F23DF5">
        <w:rPr>
          <w:rFonts w:eastAsia="Times New Roman" w:cs="Times New Roman"/>
          <w:sz w:val="20"/>
          <w:szCs w:val="20"/>
          <w:lang w:eastAsia="pt-BR"/>
        </w:rPr>
        <w:t>3. Sob o mesmo raciocínio, não se aplica o art. 85, § 11, do CPC em situação concreta na qual o recurso tenha sido proveitoso à parte que dele se valeu. A alteração do resultado do julgamento, ainda que mínima, é decorrência direta da interposição do recurso, configurando evidente contrassenso punir o recorrente pelo êxito obtido com o recurso - ainda que mínimo ou limitado a capítulo secundário da decisão recorrida, a exemplo dos que estabelecem os consectários de uma condenação.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F23DF5">
        <w:rPr>
          <w:rFonts w:eastAsia="Times New Roman" w:cs="Times New Roman"/>
          <w:sz w:val="20"/>
          <w:szCs w:val="20"/>
          <w:lang w:eastAsia="pt-BR"/>
        </w:rPr>
        <w:t>4. Jurisprudência da Corte Especial e das Turmas de Direito Público e de Direito Privado do Superior Tribunal de Justiça consolidada no sentido da incidência do art. 85, § 11, do CPC apenas nos casos de não conhecimento ou total desprovimento do recurso. Precedentes citados: AgInt nos EAREsp n. 762.075/MT, relator Ministro Felix Fischer, relator para acórdão Ministro Herman Benjamin, Corte Especial, julgado em 19/12/2018, DJe de 7/3/2019; AgInt nos EDcl no AREsp n. 984.256/MG, relator Ministro Benedito Gonçalves, Primeira Turma, julgado em 28/11/2022, DJe de 30/11/2022; EDcl no REsp n. 1.919.706/CE, relator Ministro Francisco Falcão, Segunda Turma, julgado em 12/6/2023, DJe de 15/6/2023; AgInt no AREsp n. 2.095.028/SP, relatora Ministra Nancy Andrighi, Terceira Turma, julgado em 26/9/2022, DJe de 28/9/2022; e AgInt no AREsp n. 2.201.642/DF, relatora Ministra Maria Isabel Gallotti, Quarta Turma, julgado em 19/6/2023, DJe de 22/6/2023.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F23DF5">
        <w:rPr>
          <w:rFonts w:eastAsia="Times New Roman" w:cs="Times New Roman"/>
          <w:sz w:val="20"/>
          <w:szCs w:val="20"/>
          <w:lang w:eastAsia="pt-BR"/>
        </w:rPr>
        <w:t>5. Tese jurídica de eficácia vinculante, sintetizadora da ratio decidendi do julgado paradigmático: "A majoração dos honorários de sucumbência prevista no art. 85, § 11, do CPC pressupõe que o recurso tenha sido integralmente desprovido ou não conhecido pelo tribunal, monocraticamente ou pelo órgão colegiado competente. Não se aplica o art. 85, § 11, do CPC em caso de provimento total ou parcial do recurso, ainda que mínima a alteração do resultado do julgamento ou limitada a consectários da condenação."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F23DF5">
        <w:rPr>
          <w:rFonts w:eastAsia="Times New Roman" w:cs="Times New Roman"/>
          <w:sz w:val="20"/>
          <w:szCs w:val="20"/>
          <w:lang w:eastAsia="pt-BR"/>
        </w:rPr>
        <w:t>6. Solução do caso concreto: acórdão recorrido que promove a majoração dos honorários advocatícios em grau recursal e em desfavor do INSS mesmo tendo havido parcial provimento do recurso de apelação interposto pela autarquia, o que se fez de modo a alterar o quanto estabelecido na sentença recorrida relativamente a consectários da condenação imposta (correção monetária). Tendo ocorrido alteração do resultado do julgamento por decorrência direta e exclusiva do recurso de apelação interposto, reconhece-se que o tribunal de origem conferiu interpretação ao art. 85, § 11, do CPC em desconformidade com aquela preconizada pelo STJ, impondo-se a reforma do julgamento.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F23DF5">
        <w:rPr>
          <w:rFonts w:eastAsia="Times New Roman" w:cs="Times New Roman"/>
          <w:sz w:val="20"/>
          <w:szCs w:val="20"/>
          <w:lang w:eastAsia="pt-BR"/>
        </w:rPr>
        <w:t>7. Recurso especial a que se dá provimento.</w:t>
      </w:r>
      <w:r w:rsidR="00EF554E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F23DF5">
        <w:rPr>
          <w:rFonts w:eastAsia="Times New Roman" w:cs="Times New Roman"/>
          <w:sz w:val="20"/>
          <w:szCs w:val="20"/>
          <w:lang w:eastAsia="pt-BR"/>
        </w:rPr>
        <w:t>(</w:t>
      </w:r>
      <w:r w:rsidR="00287565">
        <w:rPr>
          <w:rFonts w:eastAsia="Times New Roman" w:cs="Times New Roman"/>
          <w:sz w:val="20"/>
          <w:szCs w:val="20"/>
          <w:lang w:eastAsia="pt-BR"/>
        </w:rPr>
        <w:t xml:space="preserve">STJ. Corte Especial. Relator: Ministro Paulo Sérgio Domingues. </w:t>
      </w:r>
      <w:r w:rsidRPr="00F23DF5">
        <w:rPr>
          <w:rFonts w:eastAsia="Times New Roman" w:cs="Times New Roman"/>
          <w:sz w:val="20"/>
          <w:szCs w:val="20"/>
          <w:lang w:eastAsia="pt-BR"/>
        </w:rPr>
        <w:t>REsp n. 1.865.553/PR</w:t>
      </w:r>
      <w:r w:rsidR="00287565">
        <w:rPr>
          <w:rFonts w:eastAsia="Times New Roman" w:cs="Times New Roman"/>
          <w:sz w:val="20"/>
          <w:szCs w:val="20"/>
          <w:lang w:eastAsia="pt-BR"/>
        </w:rPr>
        <w:t>. Data d</w:t>
      </w:r>
      <w:r w:rsidR="00C844DA">
        <w:rPr>
          <w:rFonts w:eastAsia="Times New Roman" w:cs="Times New Roman"/>
          <w:sz w:val="20"/>
          <w:szCs w:val="20"/>
          <w:lang w:eastAsia="pt-BR"/>
        </w:rPr>
        <w:t>e</w:t>
      </w:r>
      <w:r w:rsidR="00287565">
        <w:rPr>
          <w:rFonts w:eastAsia="Times New Roman" w:cs="Times New Roman"/>
          <w:sz w:val="20"/>
          <w:szCs w:val="20"/>
          <w:lang w:eastAsia="pt-BR"/>
        </w:rPr>
        <w:t xml:space="preserve"> julgamento: 9-11-</w:t>
      </w:r>
      <w:r w:rsidR="00C844DA">
        <w:rPr>
          <w:rFonts w:eastAsia="Times New Roman" w:cs="Times New Roman"/>
          <w:sz w:val="20"/>
          <w:szCs w:val="20"/>
          <w:lang w:eastAsia="pt-BR"/>
        </w:rPr>
        <w:t>2023. Data de publicação: 21-12-2023).</w:t>
      </w:r>
    </w:p>
    <w:p w14:paraId="51A35BE2" w14:textId="77777777" w:rsidR="00F23DF5" w:rsidRDefault="00F23DF5" w:rsidP="0060578D">
      <w:pPr>
        <w:spacing w:before="240"/>
        <w:rPr>
          <w:rFonts w:eastAsia="Times New Roman" w:cs="Times New Roman"/>
          <w:szCs w:val="24"/>
          <w:lang w:eastAsia="pt-BR"/>
        </w:rPr>
      </w:pPr>
    </w:p>
    <w:p w14:paraId="0BE38E82" w14:textId="66FB4C19" w:rsidR="00650A34" w:rsidRPr="00163C55" w:rsidRDefault="00802930" w:rsidP="0060578D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Assim, para a necessária </w:t>
      </w:r>
      <w:r w:rsidR="006C53C6">
        <w:rPr>
          <w:rFonts w:eastAsia="Times New Roman" w:cs="Times New Roman"/>
          <w:szCs w:val="24"/>
          <w:lang w:eastAsia="pt-BR"/>
        </w:rPr>
        <w:t>integração</w:t>
      </w:r>
      <w:r w:rsidR="00485CDA">
        <w:rPr>
          <w:rFonts w:eastAsia="Times New Roman" w:cs="Times New Roman"/>
          <w:szCs w:val="24"/>
          <w:lang w:eastAsia="pt-BR"/>
        </w:rPr>
        <w:t xml:space="preserve">, </w:t>
      </w:r>
      <w:r w:rsidR="00DA5911">
        <w:rPr>
          <w:rFonts w:eastAsia="Times New Roman" w:cs="Times New Roman"/>
          <w:szCs w:val="24"/>
          <w:lang w:eastAsia="pt-BR"/>
        </w:rPr>
        <w:t xml:space="preserve">considerando-se os critérios estabelecidos no artigo 85, § 2º, do Código de Processo Civil, </w:t>
      </w:r>
      <w:r w:rsidR="00485CDA">
        <w:rPr>
          <w:rFonts w:eastAsia="Times New Roman" w:cs="Times New Roman"/>
          <w:szCs w:val="24"/>
          <w:lang w:eastAsia="pt-BR"/>
        </w:rPr>
        <w:t xml:space="preserve">condena-se a parte apelante ao pagamento de </w:t>
      </w:r>
      <w:r w:rsidR="00A84642">
        <w:rPr>
          <w:rFonts w:eastAsia="Times New Roman" w:cs="Times New Roman"/>
          <w:szCs w:val="24"/>
          <w:lang w:eastAsia="pt-BR"/>
        </w:rPr>
        <w:t xml:space="preserve">honorários de sucumbência de </w:t>
      </w:r>
      <w:r w:rsidR="00485CDA">
        <w:rPr>
          <w:rFonts w:eastAsia="Times New Roman" w:cs="Times New Roman"/>
          <w:szCs w:val="24"/>
          <w:lang w:eastAsia="pt-BR"/>
        </w:rPr>
        <w:t>10% (dez por cento</w:t>
      </w:r>
      <w:r w:rsidR="008B3202">
        <w:rPr>
          <w:rFonts w:eastAsia="Times New Roman" w:cs="Times New Roman"/>
          <w:szCs w:val="24"/>
          <w:lang w:eastAsia="pt-BR"/>
        </w:rPr>
        <w:t>)</w:t>
      </w:r>
      <w:r w:rsidR="006C53C6">
        <w:rPr>
          <w:rFonts w:eastAsia="Times New Roman" w:cs="Times New Roman"/>
          <w:szCs w:val="24"/>
          <w:lang w:eastAsia="pt-BR"/>
        </w:rPr>
        <w:t xml:space="preserve"> </w:t>
      </w:r>
      <w:r w:rsidR="00A84642">
        <w:rPr>
          <w:rFonts w:eastAsia="Times New Roman" w:cs="Times New Roman"/>
          <w:szCs w:val="24"/>
          <w:lang w:eastAsia="pt-BR"/>
        </w:rPr>
        <w:t xml:space="preserve">sobre o valor da causa, </w:t>
      </w:r>
      <w:r w:rsidR="00A84642">
        <w:rPr>
          <w:rFonts w:eastAsia="Times New Roman" w:cs="Times New Roman"/>
          <w:i/>
          <w:iCs/>
          <w:szCs w:val="24"/>
          <w:lang w:eastAsia="pt-BR"/>
        </w:rPr>
        <w:t xml:space="preserve">ex vi </w:t>
      </w:r>
      <w:r w:rsidR="00A84642">
        <w:rPr>
          <w:rFonts w:eastAsia="Times New Roman" w:cs="Times New Roman"/>
          <w:szCs w:val="24"/>
          <w:lang w:eastAsia="pt-BR"/>
        </w:rPr>
        <w:t xml:space="preserve">do </w:t>
      </w:r>
      <w:r w:rsidR="00163C55">
        <w:rPr>
          <w:rFonts w:eastAsia="Times New Roman" w:cs="Times New Roman"/>
          <w:szCs w:val="24"/>
          <w:lang w:eastAsia="pt-BR"/>
        </w:rPr>
        <w:t xml:space="preserve">disposto no artigo 85, </w:t>
      </w:r>
      <w:r w:rsidR="00163C55">
        <w:rPr>
          <w:rFonts w:eastAsia="Times New Roman" w:cs="Times New Roman"/>
          <w:i/>
          <w:iCs/>
          <w:szCs w:val="24"/>
          <w:lang w:eastAsia="pt-BR"/>
        </w:rPr>
        <w:t>caput</w:t>
      </w:r>
      <w:r w:rsidR="00163C55">
        <w:rPr>
          <w:rFonts w:eastAsia="Times New Roman" w:cs="Times New Roman"/>
          <w:szCs w:val="24"/>
          <w:lang w:eastAsia="pt-BR"/>
        </w:rPr>
        <w:t>, do Código de Processo Civil.</w:t>
      </w:r>
    </w:p>
    <w:p w14:paraId="01FF5828" w14:textId="77777777" w:rsidR="00650A34" w:rsidRDefault="00650A34" w:rsidP="0060578D">
      <w:pPr>
        <w:spacing w:before="240"/>
        <w:rPr>
          <w:rFonts w:eastAsia="Times New Roman" w:cs="Times New Roman"/>
          <w:szCs w:val="24"/>
          <w:lang w:eastAsia="pt-BR"/>
        </w:rPr>
      </w:pPr>
    </w:p>
    <w:p w14:paraId="3DF40C8D" w14:textId="77777777" w:rsidR="0060578D" w:rsidRPr="00667FB9" w:rsidRDefault="0060578D" w:rsidP="0060578D">
      <w:pPr>
        <w:spacing w:before="240"/>
        <w:rPr>
          <w:rFonts w:cs="Times New Roman"/>
          <w:bCs/>
          <w:szCs w:val="24"/>
        </w:rPr>
      </w:pPr>
      <w:r w:rsidRPr="002E4C4B">
        <w:rPr>
          <w:rFonts w:cs="Times New Roman"/>
          <w:b/>
          <w:szCs w:val="24"/>
        </w:rPr>
        <w:t>III – DECISÃO</w:t>
      </w:r>
    </w:p>
    <w:p w14:paraId="56925B42" w14:textId="0381AA2A" w:rsidR="0060578D" w:rsidRDefault="0060578D" w:rsidP="0060578D">
      <w:pPr>
        <w:spacing w:before="240"/>
        <w:rPr>
          <w:rFonts w:eastAsia="Times New Roman" w:cs="Times New Roman"/>
          <w:bCs/>
          <w:szCs w:val="24"/>
          <w:lang w:eastAsia="pt-BR"/>
        </w:rPr>
      </w:pPr>
      <w:r w:rsidRPr="00F26E38">
        <w:rPr>
          <w:rFonts w:eastAsia="Times New Roman" w:cs="Times New Roman"/>
          <w:bCs/>
          <w:szCs w:val="24"/>
          <w:lang w:eastAsia="pt-BR"/>
        </w:rPr>
        <w:t>Ante o exposto,</w:t>
      </w:r>
      <w:r>
        <w:rPr>
          <w:rFonts w:eastAsia="Times New Roman" w:cs="Times New Roman"/>
          <w:bCs/>
          <w:szCs w:val="24"/>
          <w:lang w:eastAsia="pt-BR"/>
        </w:rPr>
        <w:t xml:space="preserve"> com fundamento </w:t>
      </w:r>
      <w:r w:rsidR="00E667BA">
        <w:rPr>
          <w:rFonts w:eastAsia="Times New Roman" w:cs="Times New Roman"/>
          <w:bCs/>
          <w:szCs w:val="24"/>
          <w:lang w:eastAsia="pt-BR"/>
        </w:rPr>
        <w:t>n</w:t>
      </w:r>
      <w:r>
        <w:rPr>
          <w:rFonts w:eastAsia="Times New Roman" w:cs="Times New Roman"/>
          <w:bCs/>
          <w:szCs w:val="24"/>
          <w:lang w:eastAsia="pt-BR"/>
        </w:rPr>
        <w:t xml:space="preserve">o </w:t>
      </w:r>
      <w:bookmarkStart w:id="0" w:name="_Hlk216196000"/>
      <w:r>
        <w:rPr>
          <w:rFonts w:eastAsia="Times New Roman" w:cs="Times New Roman"/>
          <w:bCs/>
          <w:szCs w:val="24"/>
          <w:lang w:eastAsia="pt-BR"/>
        </w:rPr>
        <w:t>artigo 1.024, § 2º</w:t>
      </w:r>
      <w:bookmarkEnd w:id="0"/>
      <w:r>
        <w:rPr>
          <w:rFonts w:eastAsia="Times New Roman" w:cs="Times New Roman"/>
          <w:bCs/>
          <w:szCs w:val="24"/>
          <w:lang w:eastAsia="pt-BR"/>
        </w:rPr>
        <w:t xml:space="preserve">, do Código de Processo Civil, julga-se conhecido e </w:t>
      </w:r>
      <w:r w:rsidR="00903C07">
        <w:rPr>
          <w:rFonts w:eastAsia="Times New Roman" w:cs="Times New Roman"/>
          <w:bCs/>
          <w:szCs w:val="24"/>
          <w:lang w:eastAsia="pt-BR"/>
        </w:rPr>
        <w:t>provido o recurso.</w:t>
      </w:r>
    </w:p>
    <w:p w14:paraId="47C3CB3E" w14:textId="77777777" w:rsidR="0060578D" w:rsidRPr="00F26E38" w:rsidRDefault="0060578D" w:rsidP="0060578D">
      <w:pPr>
        <w:spacing w:before="240"/>
        <w:rPr>
          <w:rFonts w:eastAsia="Times New Roman" w:cs="Times New Roman"/>
          <w:bCs/>
          <w:szCs w:val="24"/>
          <w:lang w:eastAsia="pt-BR"/>
        </w:rPr>
      </w:pPr>
      <w:r w:rsidRPr="00F26E38">
        <w:rPr>
          <w:rFonts w:eastAsia="Times New Roman" w:cs="Times New Roman"/>
          <w:bCs/>
          <w:szCs w:val="24"/>
          <w:lang w:eastAsia="pt-BR"/>
        </w:rPr>
        <w:t>Intimem-se.</w:t>
      </w:r>
    </w:p>
    <w:p w14:paraId="717BA75D" w14:textId="5CE17FBC" w:rsidR="00AA28DF" w:rsidRPr="00AA28DF" w:rsidRDefault="0060578D" w:rsidP="00A9390E">
      <w:pPr>
        <w:spacing w:before="240"/>
        <w:rPr>
          <w:b/>
        </w:rPr>
      </w:pPr>
      <w:r w:rsidRPr="00F26E38">
        <w:rPr>
          <w:rFonts w:eastAsia="Times New Roman" w:cs="Times New Roman"/>
          <w:bCs/>
          <w:szCs w:val="24"/>
          <w:lang w:eastAsia="pt-BR"/>
        </w:rPr>
        <w:t>Oportunamente, arquivem-se.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507E6"/>
    <w:rsid w:val="000A7AFA"/>
    <w:rsid w:val="00146748"/>
    <w:rsid w:val="001618C9"/>
    <w:rsid w:val="00163C55"/>
    <w:rsid w:val="00165C47"/>
    <w:rsid w:val="001C2D4C"/>
    <w:rsid w:val="00287565"/>
    <w:rsid w:val="00372AAB"/>
    <w:rsid w:val="0038125B"/>
    <w:rsid w:val="00475B08"/>
    <w:rsid w:val="00485CDA"/>
    <w:rsid w:val="005B4039"/>
    <w:rsid w:val="005C3596"/>
    <w:rsid w:val="0060578D"/>
    <w:rsid w:val="00650A34"/>
    <w:rsid w:val="00672942"/>
    <w:rsid w:val="006C53C6"/>
    <w:rsid w:val="0070393C"/>
    <w:rsid w:val="00712A03"/>
    <w:rsid w:val="00772DEC"/>
    <w:rsid w:val="00794062"/>
    <w:rsid w:val="007B5A37"/>
    <w:rsid w:val="00802930"/>
    <w:rsid w:val="00862F24"/>
    <w:rsid w:val="00877419"/>
    <w:rsid w:val="008B3202"/>
    <w:rsid w:val="00903C07"/>
    <w:rsid w:val="00914421"/>
    <w:rsid w:val="00973737"/>
    <w:rsid w:val="009D0D3E"/>
    <w:rsid w:val="009E0D2F"/>
    <w:rsid w:val="00A84642"/>
    <w:rsid w:val="00A9390E"/>
    <w:rsid w:val="00AA28DF"/>
    <w:rsid w:val="00AE2266"/>
    <w:rsid w:val="00AE47D1"/>
    <w:rsid w:val="00B406A5"/>
    <w:rsid w:val="00B75C67"/>
    <w:rsid w:val="00BC64BE"/>
    <w:rsid w:val="00C459DD"/>
    <w:rsid w:val="00C7046B"/>
    <w:rsid w:val="00C844DA"/>
    <w:rsid w:val="00D37894"/>
    <w:rsid w:val="00DA5911"/>
    <w:rsid w:val="00DC37B4"/>
    <w:rsid w:val="00DF6665"/>
    <w:rsid w:val="00E12AEC"/>
    <w:rsid w:val="00E667BA"/>
    <w:rsid w:val="00EA3C6B"/>
    <w:rsid w:val="00EC3DED"/>
    <w:rsid w:val="00EF554E"/>
    <w:rsid w:val="00F23DF5"/>
    <w:rsid w:val="00FE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11FE1A-DF0B-4563-82F9-A54BBF30F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1014</Words>
  <Characters>5680</Characters>
  <Application>Microsoft Office Word</Application>
  <DocSecurity>0</DocSecurity>
  <Lines>118</Lines>
  <Paragraphs>38</Paragraphs>
  <ScaleCrop>false</ScaleCrop>
  <Company>Tribunal de Justiça do Estado do Paraná</Company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46</cp:revision>
  <cp:lastPrinted>2025-07-11T18:35:00Z</cp:lastPrinted>
  <dcterms:created xsi:type="dcterms:W3CDTF">2024-02-08T17:42:00Z</dcterms:created>
  <dcterms:modified xsi:type="dcterms:W3CDTF">2026-02-05T18:39:00Z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