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2BD9B" w14:textId="6EBE1CD5" w:rsidR="00A031CF" w:rsidRDefault="005E09DC" w:rsidP="00E12E14">
      <w:pPr>
        <w:rPr>
          <w:rFonts w:ascii="Times New Roman" w:eastAsia="Times New Roman" w:hAnsi="Times New Roman" w:cs="Times New Roman"/>
          <w:b/>
          <w:sz w:val="24"/>
          <w:szCs w:val="24"/>
          <w:lang w:eastAsia="pt-BR"/>
        </w:rPr>
      </w:pPr>
      <w:r w:rsidRPr="00491A12">
        <w:rPr>
          <w:rFonts w:ascii="Times New Roman" w:eastAsia="Times New Roman" w:hAnsi="Times New Roman" w:cs="Times New Roman"/>
          <w:b/>
          <w:sz w:val="24"/>
          <w:szCs w:val="24"/>
          <w:lang w:eastAsia="pt-BR"/>
        </w:rPr>
        <w:t>DIREITO CIVIL E PROCESSUAL CIVIL. EMBARGOS DE DECLARAÇÃO.</w:t>
      </w:r>
      <w:r w:rsidR="00BA10F8">
        <w:rPr>
          <w:rFonts w:ascii="Times New Roman" w:eastAsia="Times New Roman" w:hAnsi="Times New Roman" w:cs="Times New Roman"/>
          <w:b/>
          <w:sz w:val="24"/>
          <w:szCs w:val="24"/>
          <w:lang w:eastAsia="pt-BR"/>
        </w:rPr>
        <w:t xml:space="preserve"> OMISSÃO. GRATUIDADE DA JUSTIÇA. CONTRADIÇÃO. ESTABILIZAÇÃO DA LIDE</w:t>
      </w:r>
      <w:r w:rsidR="00A031CF">
        <w:rPr>
          <w:rFonts w:ascii="Times New Roman" w:eastAsia="Times New Roman" w:hAnsi="Times New Roman" w:cs="Times New Roman"/>
          <w:b/>
          <w:sz w:val="24"/>
          <w:szCs w:val="24"/>
          <w:lang w:eastAsia="pt-BR"/>
        </w:rPr>
        <w:t>. MERO INCONFORMISMO.</w:t>
      </w:r>
    </w:p>
    <w:p w14:paraId="7D7D0A36" w14:textId="77777777" w:rsidR="005E09DC" w:rsidRPr="00491A12" w:rsidRDefault="005E09DC" w:rsidP="005E09DC">
      <w:pPr>
        <w:spacing w:before="240" w:after="240" w:line="360" w:lineRule="auto"/>
        <w:jc w:val="both"/>
        <w:rPr>
          <w:rFonts w:ascii="Times New Roman" w:eastAsia="Times New Roman" w:hAnsi="Times New Roman" w:cs="Times New Roman"/>
          <w:b/>
          <w:sz w:val="24"/>
          <w:szCs w:val="24"/>
          <w:lang w:eastAsia="pt-BR"/>
        </w:rPr>
      </w:pPr>
      <w:r w:rsidRPr="00491A12">
        <w:rPr>
          <w:rFonts w:ascii="Times New Roman" w:eastAsia="Times New Roman" w:hAnsi="Times New Roman" w:cs="Times New Roman"/>
          <w:b/>
          <w:sz w:val="24"/>
          <w:szCs w:val="24"/>
          <w:lang w:eastAsia="pt-BR"/>
        </w:rPr>
        <w:t>I. CASO EM EXAME</w:t>
      </w:r>
    </w:p>
    <w:p w14:paraId="36E7CB22" w14:textId="30D039C4" w:rsidR="003E6570" w:rsidRDefault="005E09DC" w:rsidP="005E09DC">
      <w:pPr>
        <w:spacing w:before="240" w:after="240" w:line="360" w:lineRule="auto"/>
        <w:jc w:val="both"/>
        <w:rPr>
          <w:rFonts w:ascii="Times New Roman" w:eastAsia="Times New Roman" w:hAnsi="Times New Roman" w:cs="Times New Roman"/>
          <w:b/>
          <w:sz w:val="24"/>
          <w:szCs w:val="24"/>
          <w:lang w:eastAsia="pt-BR"/>
        </w:rPr>
      </w:pPr>
      <w:r w:rsidRPr="00491A12">
        <w:rPr>
          <w:rFonts w:ascii="Times New Roman" w:eastAsia="Times New Roman" w:hAnsi="Times New Roman" w:cs="Times New Roman"/>
          <w:b/>
          <w:sz w:val="24"/>
          <w:szCs w:val="24"/>
          <w:lang w:eastAsia="pt-BR"/>
        </w:rPr>
        <w:t>Embargos de declaração interpostos contra</w:t>
      </w:r>
      <w:r w:rsidR="0043454B" w:rsidRPr="00491A12">
        <w:rPr>
          <w:rFonts w:ascii="Times New Roman" w:eastAsia="Times New Roman" w:hAnsi="Times New Roman" w:cs="Times New Roman"/>
          <w:b/>
          <w:sz w:val="24"/>
          <w:szCs w:val="24"/>
          <w:lang w:eastAsia="pt-BR"/>
        </w:rPr>
        <w:t xml:space="preserve"> acórdão que </w:t>
      </w:r>
      <w:r w:rsidR="00BB407D">
        <w:rPr>
          <w:rFonts w:ascii="Times New Roman" w:eastAsia="Times New Roman" w:hAnsi="Times New Roman" w:cs="Times New Roman"/>
          <w:b/>
          <w:sz w:val="24"/>
          <w:szCs w:val="24"/>
          <w:lang w:eastAsia="pt-BR"/>
        </w:rPr>
        <w:t xml:space="preserve">conheceu </w:t>
      </w:r>
      <w:r w:rsidR="00A058C8">
        <w:rPr>
          <w:rFonts w:ascii="Times New Roman" w:eastAsia="Times New Roman" w:hAnsi="Times New Roman" w:cs="Times New Roman"/>
          <w:b/>
          <w:sz w:val="24"/>
          <w:szCs w:val="24"/>
          <w:lang w:eastAsia="pt-BR"/>
        </w:rPr>
        <w:t xml:space="preserve">e </w:t>
      </w:r>
      <w:r w:rsidR="00205BD3">
        <w:rPr>
          <w:rFonts w:ascii="Times New Roman" w:eastAsia="Times New Roman" w:hAnsi="Times New Roman" w:cs="Times New Roman"/>
          <w:b/>
          <w:sz w:val="24"/>
          <w:szCs w:val="24"/>
          <w:lang w:eastAsia="pt-BR"/>
        </w:rPr>
        <w:t>negou provimento ao</w:t>
      </w:r>
      <w:r w:rsidR="001A23D6">
        <w:rPr>
          <w:rFonts w:ascii="Times New Roman" w:eastAsia="Times New Roman" w:hAnsi="Times New Roman" w:cs="Times New Roman"/>
          <w:b/>
          <w:sz w:val="24"/>
          <w:szCs w:val="24"/>
          <w:lang w:eastAsia="pt-BR"/>
        </w:rPr>
        <w:t xml:space="preserve"> recurso de </w:t>
      </w:r>
      <w:r w:rsidR="00414189">
        <w:rPr>
          <w:rFonts w:ascii="Times New Roman" w:eastAsia="Times New Roman" w:hAnsi="Times New Roman" w:cs="Times New Roman"/>
          <w:b/>
          <w:sz w:val="24"/>
          <w:szCs w:val="24"/>
          <w:lang w:eastAsia="pt-BR"/>
        </w:rPr>
        <w:t>apelação.</w:t>
      </w:r>
    </w:p>
    <w:p w14:paraId="3FA55D74" w14:textId="77777777" w:rsidR="00765118" w:rsidRDefault="005E09DC" w:rsidP="00537320">
      <w:pPr>
        <w:spacing w:before="240" w:after="240" w:line="360" w:lineRule="auto"/>
        <w:jc w:val="both"/>
        <w:rPr>
          <w:rFonts w:ascii="Times New Roman" w:eastAsia="Times New Roman" w:hAnsi="Times New Roman" w:cs="Times New Roman"/>
          <w:b/>
          <w:sz w:val="24"/>
          <w:szCs w:val="24"/>
          <w:lang w:eastAsia="pt-BR"/>
        </w:rPr>
      </w:pPr>
      <w:r w:rsidRPr="00491A12">
        <w:rPr>
          <w:rFonts w:ascii="Times New Roman" w:eastAsia="Times New Roman" w:hAnsi="Times New Roman" w:cs="Times New Roman"/>
          <w:b/>
          <w:sz w:val="24"/>
          <w:szCs w:val="24"/>
          <w:lang w:eastAsia="pt-BR"/>
        </w:rPr>
        <w:t>II. QUEST</w:t>
      </w:r>
      <w:r w:rsidR="00BA2541" w:rsidRPr="00491A12">
        <w:rPr>
          <w:rFonts w:ascii="Times New Roman" w:eastAsia="Times New Roman" w:hAnsi="Times New Roman" w:cs="Times New Roman"/>
          <w:b/>
          <w:sz w:val="24"/>
          <w:szCs w:val="24"/>
          <w:lang w:eastAsia="pt-BR"/>
        </w:rPr>
        <w:t>ÕES EM DISCUSSÃO</w:t>
      </w:r>
    </w:p>
    <w:p w14:paraId="78BDDB2D" w14:textId="1DE4FFD4" w:rsidR="00FF2D00" w:rsidRDefault="00FF2D00" w:rsidP="00537320">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II.I. Omissão sobre pedido de revogação da </w:t>
      </w:r>
      <w:r w:rsidR="00401C24">
        <w:rPr>
          <w:rFonts w:ascii="Times New Roman" w:eastAsia="Times New Roman" w:hAnsi="Times New Roman" w:cs="Times New Roman"/>
          <w:b/>
          <w:sz w:val="24"/>
          <w:szCs w:val="24"/>
          <w:lang w:eastAsia="pt-BR"/>
        </w:rPr>
        <w:t>gratuidade da justiça.</w:t>
      </w:r>
    </w:p>
    <w:p w14:paraId="77D0B17D" w14:textId="77777777" w:rsidR="00CB3B7E" w:rsidRDefault="00401C24" w:rsidP="00537320">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II.II. Contradição, consistente </w:t>
      </w:r>
      <w:r w:rsidR="002071DA">
        <w:rPr>
          <w:rFonts w:ascii="Times New Roman" w:eastAsia="Times New Roman" w:hAnsi="Times New Roman" w:cs="Times New Roman"/>
          <w:b/>
          <w:sz w:val="24"/>
          <w:szCs w:val="24"/>
          <w:lang w:eastAsia="pt-BR"/>
        </w:rPr>
        <w:t>na incompatibilidade da decisão em relação à pretensão adversa de resolução do contrato</w:t>
      </w:r>
      <w:r w:rsidR="00CB3B7E">
        <w:rPr>
          <w:rFonts w:ascii="Times New Roman" w:eastAsia="Times New Roman" w:hAnsi="Times New Roman" w:cs="Times New Roman"/>
          <w:b/>
          <w:sz w:val="24"/>
          <w:szCs w:val="24"/>
          <w:lang w:eastAsia="pt-BR"/>
        </w:rPr>
        <w:t xml:space="preserve"> de compra e venda, cuja validade foi reconhecida judicialmente.</w:t>
      </w:r>
    </w:p>
    <w:p w14:paraId="792A5B3E" w14:textId="77777777" w:rsidR="006C74E5" w:rsidRDefault="006C74E5" w:rsidP="006C74E5">
      <w:pPr>
        <w:spacing w:before="240" w:after="240" w:line="360" w:lineRule="auto"/>
        <w:jc w:val="both"/>
        <w:rPr>
          <w:rFonts w:ascii="Times New Roman" w:eastAsia="Times New Roman" w:hAnsi="Times New Roman" w:cs="Times New Roman"/>
          <w:b/>
          <w:sz w:val="24"/>
          <w:szCs w:val="24"/>
          <w:lang w:eastAsia="pt-BR"/>
        </w:rPr>
      </w:pPr>
      <w:r w:rsidRPr="00491A12">
        <w:rPr>
          <w:rFonts w:ascii="Times New Roman" w:eastAsia="Times New Roman" w:hAnsi="Times New Roman" w:cs="Times New Roman"/>
          <w:b/>
          <w:sz w:val="24"/>
          <w:szCs w:val="24"/>
          <w:lang w:eastAsia="pt-BR"/>
        </w:rPr>
        <w:t>III. RAZÕES DE DECIDIR</w:t>
      </w:r>
    </w:p>
    <w:p w14:paraId="61D413E9" w14:textId="6FA15FA7" w:rsidR="00FF2D00" w:rsidRDefault="00992F00" w:rsidP="006C74E5">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II.I. A existência de patrimônio</w:t>
      </w:r>
      <w:r w:rsidR="007B457E">
        <w:rPr>
          <w:rFonts w:ascii="Times New Roman" w:eastAsia="Times New Roman" w:hAnsi="Times New Roman" w:cs="Times New Roman"/>
          <w:b/>
          <w:sz w:val="24"/>
          <w:szCs w:val="24"/>
          <w:lang w:eastAsia="pt-BR"/>
        </w:rPr>
        <w:t xml:space="preserve"> não representa, por si só, alteração da capacidade econômica</w:t>
      </w:r>
      <w:r w:rsidR="00AE20AD">
        <w:rPr>
          <w:rFonts w:ascii="Times New Roman" w:eastAsia="Times New Roman" w:hAnsi="Times New Roman" w:cs="Times New Roman"/>
          <w:b/>
          <w:sz w:val="24"/>
          <w:szCs w:val="24"/>
          <w:lang w:eastAsia="pt-BR"/>
        </w:rPr>
        <w:t xml:space="preserve"> para revogação da gratuidade da justiça, aferível, primordialmente, pela renda mensal do jurisdicionado.</w:t>
      </w:r>
    </w:p>
    <w:p w14:paraId="44958A4A" w14:textId="615FC8DC" w:rsidR="009352C1" w:rsidRDefault="00D43D7A" w:rsidP="009352C1">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II.II. </w:t>
      </w:r>
      <w:r w:rsidR="009352C1" w:rsidRPr="00A33BD4">
        <w:rPr>
          <w:rFonts w:ascii="Times New Roman" w:eastAsia="Times New Roman" w:hAnsi="Times New Roman" w:cs="Times New Roman"/>
          <w:b/>
          <w:sz w:val="24"/>
          <w:szCs w:val="24"/>
          <w:lang w:eastAsia="pt-BR"/>
        </w:rPr>
        <w:t>Os embargos de declaração prestam-se a esclarecer obscuridade, eliminar contradição, suprir omissão ou corrigir erro material, sendo defesa sua utilização como sucedâneo recursal para manifestação de mero inconformismo</w:t>
      </w:r>
      <w:r w:rsidR="00073449">
        <w:rPr>
          <w:rFonts w:ascii="Times New Roman" w:eastAsia="Times New Roman" w:hAnsi="Times New Roman" w:cs="Times New Roman"/>
          <w:b/>
          <w:sz w:val="24"/>
          <w:szCs w:val="24"/>
          <w:lang w:eastAsia="pt-BR"/>
        </w:rPr>
        <w:t xml:space="preserve"> ou ampliação do escopo objetivo da lide.</w:t>
      </w:r>
    </w:p>
    <w:p w14:paraId="32D3CD04" w14:textId="507A8D0A" w:rsidR="005E09DC" w:rsidRPr="00491A12" w:rsidRDefault="005E09DC" w:rsidP="005E09DC">
      <w:pPr>
        <w:spacing w:before="240" w:after="240" w:line="360" w:lineRule="auto"/>
        <w:jc w:val="both"/>
        <w:rPr>
          <w:rFonts w:ascii="Times New Roman" w:eastAsia="Times New Roman" w:hAnsi="Times New Roman" w:cs="Times New Roman"/>
          <w:b/>
          <w:sz w:val="24"/>
          <w:szCs w:val="24"/>
          <w:lang w:eastAsia="pt-BR"/>
        </w:rPr>
      </w:pPr>
      <w:r w:rsidRPr="00491A12">
        <w:rPr>
          <w:rFonts w:ascii="Times New Roman" w:eastAsia="Times New Roman" w:hAnsi="Times New Roman" w:cs="Times New Roman"/>
          <w:b/>
          <w:sz w:val="24"/>
          <w:szCs w:val="24"/>
          <w:lang w:eastAsia="pt-BR"/>
        </w:rPr>
        <w:t>IV. SOLUÇÃO DO CASO</w:t>
      </w:r>
    </w:p>
    <w:p w14:paraId="026CEA93" w14:textId="77777777" w:rsidR="005E09DC" w:rsidRPr="00491A12" w:rsidRDefault="005E09DC" w:rsidP="005E09DC">
      <w:pPr>
        <w:spacing w:before="240" w:after="240" w:line="360" w:lineRule="auto"/>
        <w:jc w:val="both"/>
        <w:rPr>
          <w:rFonts w:ascii="Times New Roman" w:eastAsia="Times New Roman" w:hAnsi="Times New Roman" w:cs="Times New Roman"/>
          <w:b/>
          <w:sz w:val="24"/>
          <w:szCs w:val="24"/>
          <w:lang w:eastAsia="pt-BR"/>
        </w:rPr>
      </w:pPr>
      <w:r w:rsidRPr="00491A12">
        <w:rPr>
          <w:rFonts w:ascii="Times New Roman" w:eastAsia="Times New Roman" w:hAnsi="Times New Roman" w:cs="Times New Roman"/>
          <w:b/>
          <w:sz w:val="24"/>
          <w:szCs w:val="24"/>
          <w:lang w:eastAsia="pt-BR"/>
        </w:rPr>
        <w:t>Recurso conhecido e desprovido.</w:t>
      </w:r>
    </w:p>
    <w:p w14:paraId="276FADE5" w14:textId="77777777" w:rsidR="005E09DC" w:rsidRPr="00491A12" w:rsidRDefault="005E09DC" w:rsidP="005E09DC">
      <w:pPr>
        <w:spacing w:before="240" w:after="240" w:line="360" w:lineRule="auto"/>
        <w:jc w:val="both"/>
        <w:rPr>
          <w:rFonts w:ascii="Times New Roman" w:eastAsia="Times New Roman" w:hAnsi="Times New Roman" w:cs="Times New Roman"/>
          <w:b/>
          <w:sz w:val="24"/>
          <w:szCs w:val="24"/>
          <w:lang w:eastAsia="pt-BR"/>
        </w:rPr>
      </w:pPr>
      <w:r w:rsidRPr="00491A12">
        <w:rPr>
          <w:rFonts w:ascii="Times New Roman" w:eastAsia="Times New Roman" w:hAnsi="Times New Roman" w:cs="Times New Roman"/>
          <w:b/>
          <w:sz w:val="24"/>
          <w:szCs w:val="24"/>
          <w:lang w:eastAsia="pt-BR"/>
        </w:rPr>
        <w:t>V. JURISPRUDÊNCIA E LEGISLAÇÃO UTILIZADAS</w:t>
      </w:r>
    </w:p>
    <w:p w14:paraId="7CF4DB06" w14:textId="507629BD" w:rsidR="005E09DC" w:rsidRPr="00491A12" w:rsidRDefault="005E09DC" w:rsidP="005E09DC">
      <w:pPr>
        <w:spacing w:before="240" w:after="240" w:line="360" w:lineRule="auto"/>
        <w:jc w:val="both"/>
        <w:rPr>
          <w:rFonts w:ascii="Times New Roman" w:hAnsi="Times New Roman" w:cs="Times New Roman"/>
          <w:b/>
          <w:sz w:val="24"/>
          <w:szCs w:val="24"/>
        </w:rPr>
      </w:pPr>
      <w:r w:rsidRPr="00491A12">
        <w:rPr>
          <w:rFonts w:ascii="Times New Roman" w:eastAsia="Times New Roman" w:hAnsi="Times New Roman" w:cs="Times New Roman"/>
          <w:b/>
          <w:sz w:val="24"/>
          <w:szCs w:val="24"/>
          <w:lang w:eastAsia="pt-BR"/>
        </w:rPr>
        <w:t>V.I. Legislação</w:t>
      </w:r>
    </w:p>
    <w:p w14:paraId="58836E90" w14:textId="41DE090B" w:rsidR="005E09DC" w:rsidRPr="00A7415A" w:rsidRDefault="00BB407D" w:rsidP="005E09DC">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CPC:</w:t>
      </w:r>
      <w:r w:rsidR="00AE20AD">
        <w:rPr>
          <w:rFonts w:ascii="Times New Roman" w:eastAsia="Times New Roman" w:hAnsi="Times New Roman" w:cs="Times New Roman"/>
          <w:b/>
          <w:sz w:val="24"/>
          <w:szCs w:val="24"/>
          <w:lang w:eastAsia="pt-BR"/>
        </w:rPr>
        <w:t xml:space="preserve"> art. 98;</w:t>
      </w:r>
      <w:r w:rsidR="005E09DC" w:rsidRPr="00491A12">
        <w:rPr>
          <w:rFonts w:ascii="Times New Roman" w:eastAsia="Times New Roman" w:hAnsi="Times New Roman" w:cs="Times New Roman"/>
          <w:b/>
          <w:sz w:val="24"/>
          <w:szCs w:val="24"/>
          <w:lang w:eastAsia="pt-BR"/>
        </w:rPr>
        <w:t xml:space="preserve"> art. 1.022.</w:t>
      </w:r>
    </w:p>
    <w:p w14:paraId="602C10E6" w14:textId="64D01153" w:rsidR="00EA20CD" w:rsidRPr="00491A12" w:rsidRDefault="00EA20CD" w:rsidP="00EA20CD">
      <w:pPr>
        <w:spacing w:before="240" w:after="240" w:line="360" w:lineRule="auto"/>
        <w:jc w:val="both"/>
        <w:rPr>
          <w:rFonts w:ascii="Times New Roman" w:eastAsia="Times New Roman" w:hAnsi="Times New Roman" w:cs="Times New Roman"/>
          <w:b/>
          <w:sz w:val="24"/>
          <w:szCs w:val="24"/>
          <w:lang w:eastAsia="pt-BR"/>
        </w:rPr>
      </w:pPr>
      <w:r w:rsidRPr="00491A12">
        <w:rPr>
          <w:rFonts w:ascii="Times New Roman" w:eastAsia="Times New Roman" w:hAnsi="Times New Roman" w:cs="Times New Roman"/>
          <w:b/>
          <w:sz w:val="24"/>
          <w:szCs w:val="24"/>
          <w:lang w:eastAsia="pt-BR"/>
        </w:rPr>
        <w:t>V.</w:t>
      </w:r>
      <w:r>
        <w:rPr>
          <w:rFonts w:ascii="Times New Roman" w:eastAsia="Times New Roman" w:hAnsi="Times New Roman" w:cs="Times New Roman"/>
          <w:b/>
          <w:sz w:val="24"/>
          <w:szCs w:val="24"/>
          <w:lang w:eastAsia="pt-BR"/>
        </w:rPr>
        <w:t>I</w:t>
      </w:r>
      <w:r w:rsidRPr="00491A12">
        <w:rPr>
          <w:rFonts w:ascii="Times New Roman" w:eastAsia="Times New Roman" w:hAnsi="Times New Roman" w:cs="Times New Roman"/>
          <w:b/>
          <w:sz w:val="24"/>
          <w:szCs w:val="24"/>
          <w:lang w:eastAsia="pt-BR"/>
        </w:rPr>
        <w:t>I. Jurisprudência</w:t>
      </w:r>
    </w:p>
    <w:p w14:paraId="4EC0F970" w14:textId="7F03C47A" w:rsidR="00BA10F8" w:rsidRDefault="00BA10F8" w:rsidP="004E1BC4">
      <w:pPr>
        <w:spacing w:before="240" w:after="240" w:line="360" w:lineRule="auto"/>
        <w:jc w:val="both"/>
        <w:rPr>
          <w:rFonts w:ascii="Times New Roman" w:hAnsi="Times New Roman" w:cs="Times New Roman"/>
          <w:b/>
          <w:sz w:val="24"/>
          <w:szCs w:val="24"/>
        </w:rPr>
      </w:pPr>
      <w:r w:rsidRPr="00BA10F8">
        <w:rPr>
          <w:rFonts w:ascii="Times New Roman" w:hAnsi="Times New Roman" w:cs="Times New Roman"/>
          <w:b/>
          <w:sz w:val="24"/>
          <w:szCs w:val="24"/>
        </w:rPr>
        <w:t>TJPR. 19ª Câmara Cível. Relator: Desembargador Belchior Soares da Silva. 0069095-28.2025.8.16.0000. Campo Largo. Data de julgamento: 19-10-2025</w:t>
      </w:r>
      <w:r w:rsidR="00214D0A">
        <w:rPr>
          <w:rFonts w:ascii="Times New Roman" w:hAnsi="Times New Roman" w:cs="Times New Roman"/>
          <w:b/>
          <w:sz w:val="24"/>
          <w:szCs w:val="24"/>
        </w:rPr>
        <w:t>;</w:t>
      </w:r>
    </w:p>
    <w:p w14:paraId="3BB8939E" w14:textId="5797B545" w:rsidR="00DC404F" w:rsidRDefault="00EA20CD" w:rsidP="004E1BC4">
      <w:pPr>
        <w:spacing w:before="240" w:after="240" w:line="360" w:lineRule="auto"/>
        <w:jc w:val="both"/>
        <w:rPr>
          <w:rFonts w:ascii="Times New Roman" w:hAnsi="Times New Roman" w:cs="Times New Roman"/>
          <w:b/>
          <w:sz w:val="24"/>
          <w:szCs w:val="24"/>
        </w:rPr>
      </w:pPr>
      <w:r w:rsidRPr="00491A12">
        <w:rPr>
          <w:rFonts w:ascii="Times New Roman" w:hAnsi="Times New Roman" w:cs="Times New Roman"/>
          <w:b/>
          <w:sz w:val="24"/>
          <w:szCs w:val="24"/>
        </w:rPr>
        <w:t>STJ. 1ª Seção. Relator: Ministro Mauro Campbell Marques. EDcl. no AgRg. nos EAREsp. n. 620.940/RS. Data de Julgamento: 14-9-2016. Data de Publicação: 21-9-2016</w:t>
      </w:r>
      <w:r w:rsidR="00214D0A">
        <w:rPr>
          <w:rFonts w:ascii="Times New Roman" w:hAnsi="Times New Roman" w:cs="Times New Roman"/>
          <w:b/>
          <w:sz w:val="24"/>
          <w:szCs w:val="24"/>
        </w:rPr>
        <w:t>;</w:t>
      </w:r>
    </w:p>
    <w:p w14:paraId="758FF334" w14:textId="7ABE9C0E" w:rsidR="00BA10F8" w:rsidRDefault="00BA10F8" w:rsidP="004E1BC4">
      <w:pPr>
        <w:spacing w:before="240" w:after="240" w:line="360" w:lineRule="auto"/>
        <w:jc w:val="both"/>
        <w:rPr>
          <w:rFonts w:ascii="Times New Roman" w:hAnsi="Times New Roman" w:cs="Times New Roman"/>
          <w:b/>
          <w:sz w:val="24"/>
          <w:szCs w:val="24"/>
        </w:rPr>
      </w:pPr>
      <w:r w:rsidRPr="00BA10F8">
        <w:rPr>
          <w:rFonts w:ascii="Times New Roman" w:hAnsi="Times New Roman" w:cs="Times New Roman"/>
          <w:b/>
          <w:sz w:val="24"/>
          <w:szCs w:val="24"/>
        </w:rPr>
        <w:t>STJ. Terceira Turma. Relatora: Ministra Nancy Andrighi. REsp n. 1.715.438/RS. Data de julgamento: 13-11-2018. Data de publicação: 21-11-2018</w:t>
      </w:r>
      <w:r>
        <w:rPr>
          <w:rFonts w:ascii="Times New Roman" w:hAnsi="Times New Roman" w:cs="Times New Roman"/>
          <w:b/>
          <w:sz w:val="24"/>
          <w:szCs w:val="24"/>
        </w:rPr>
        <w:t>.</w:t>
      </w:r>
    </w:p>
    <w:p w14:paraId="285CC9D7" w14:textId="77777777" w:rsidR="008C320F" w:rsidRPr="008C320F" w:rsidRDefault="008C320F" w:rsidP="004E1BC4">
      <w:pPr>
        <w:spacing w:before="240" w:after="240" w:line="360" w:lineRule="auto"/>
        <w:jc w:val="both"/>
        <w:rPr>
          <w:rFonts w:ascii="Times New Roman" w:hAnsi="Times New Roman" w:cs="Times New Roman"/>
          <w:b/>
          <w:sz w:val="24"/>
          <w:szCs w:val="24"/>
        </w:rPr>
      </w:pPr>
    </w:p>
    <w:p w14:paraId="241249C2" w14:textId="77777777" w:rsidR="00FB27C5" w:rsidRDefault="00D74F23" w:rsidP="00FB27C5">
      <w:pPr>
        <w:spacing w:before="240" w:after="240" w:line="360" w:lineRule="auto"/>
        <w:ind w:firstLine="709"/>
        <w:jc w:val="both"/>
        <w:rPr>
          <w:rFonts w:ascii="Times New Roman" w:eastAsia="Times New Roman" w:hAnsi="Times New Roman" w:cs="Times New Roman"/>
          <w:b/>
          <w:sz w:val="24"/>
          <w:szCs w:val="24"/>
          <w:lang w:eastAsia="pt-BR"/>
        </w:rPr>
      </w:pPr>
      <w:r w:rsidRPr="00B400E7">
        <w:rPr>
          <w:rFonts w:ascii="Times New Roman" w:eastAsia="Times New Roman" w:hAnsi="Times New Roman" w:cs="Times New Roman"/>
          <w:b/>
          <w:sz w:val="24"/>
          <w:szCs w:val="24"/>
          <w:lang w:eastAsia="pt-BR"/>
        </w:rPr>
        <w:t>I – RELATÓRIO</w:t>
      </w:r>
    </w:p>
    <w:p w14:paraId="68FF2FBE" w14:textId="44195365" w:rsidR="00A84A90" w:rsidRDefault="003F76F3" w:rsidP="004512FF">
      <w:pPr>
        <w:tabs>
          <w:tab w:val="left" w:pos="6955"/>
        </w:tabs>
        <w:spacing w:before="240" w:after="240" w:line="360" w:lineRule="auto"/>
        <w:ind w:firstLine="709"/>
        <w:jc w:val="both"/>
        <w:rPr>
          <w:rFonts w:ascii="Times New Roman" w:eastAsia="Times New Roman" w:hAnsi="Times New Roman" w:cs="Times New Roman"/>
          <w:bCs/>
          <w:sz w:val="24"/>
          <w:szCs w:val="24"/>
          <w:lang w:eastAsia="pt-BR"/>
        </w:rPr>
      </w:pPr>
      <w:r w:rsidRPr="003F76F3">
        <w:rPr>
          <w:rFonts w:ascii="Times New Roman" w:eastAsia="Times New Roman" w:hAnsi="Times New Roman" w:cs="Times New Roman"/>
          <w:bCs/>
          <w:sz w:val="24"/>
          <w:szCs w:val="24"/>
          <w:lang w:eastAsia="pt-BR"/>
        </w:rPr>
        <w:t>Cuida</w:t>
      </w:r>
      <w:r w:rsidR="008C06ED">
        <w:rPr>
          <w:rFonts w:ascii="Times New Roman" w:eastAsia="Times New Roman" w:hAnsi="Times New Roman" w:cs="Times New Roman"/>
          <w:bCs/>
          <w:sz w:val="24"/>
          <w:szCs w:val="24"/>
          <w:lang w:eastAsia="pt-BR"/>
        </w:rPr>
        <w:t>m-se de embargos de declaração interpostos por</w:t>
      </w:r>
      <w:r w:rsidR="00B6466E">
        <w:rPr>
          <w:rFonts w:ascii="Times New Roman" w:eastAsia="Times New Roman" w:hAnsi="Times New Roman" w:cs="Times New Roman"/>
          <w:bCs/>
          <w:sz w:val="24"/>
          <w:szCs w:val="24"/>
          <w:lang w:eastAsia="pt-BR"/>
        </w:rPr>
        <w:t xml:space="preserve"> Leila de Moura </w:t>
      </w:r>
      <w:r w:rsidR="004512FF">
        <w:rPr>
          <w:rFonts w:ascii="Times New Roman" w:eastAsia="Times New Roman" w:hAnsi="Times New Roman" w:cs="Times New Roman"/>
          <w:bCs/>
          <w:sz w:val="24"/>
          <w:szCs w:val="24"/>
          <w:lang w:eastAsia="pt-BR"/>
        </w:rPr>
        <w:t xml:space="preserve">Melo em face de Amanda Nathany Julião da Silva e Nelson Salles, tendo como objeto </w:t>
      </w:r>
      <w:r w:rsidR="00707AD9">
        <w:rPr>
          <w:rFonts w:ascii="Times New Roman" w:eastAsia="Times New Roman" w:hAnsi="Times New Roman" w:cs="Times New Roman"/>
          <w:bCs/>
          <w:sz w:val="24"/>
          <w:szCs w:val="24"/>
          <w:lang w:eastAsia="pt-BR"/>
        </w:rPr>
        <w:t xml:space="preserve">o v. acórdão </w:t>
      </w:r>
      <w:r w:rsidR="00E338EC">
        <w:rPr>
          <w:rFonts w:ascii="Times New Roman" w:eastAsia="Times New Roman" w:hAnsi="Times New Roman" w:cs="Times New Roman"/>
          <w:bCs/>
          <w:sz w:val="24"/>
          <w:szCs w:val="24"/>
          <w:lang w:eastAsia="pt-BR"/>
        </w:rPr>
        <w:t xml:space="preserve">proferido </w:t>
      </w:r>
      <w:r w:rsidR="003075FC">
        <w:rPr>
          <w:rFonts w:ascii="Times New Roman" w:eastAsia="Times New Roman" w:hAnsi="Times New Roman" w:cs="Times New Roman"/>
          <w:bCs/>
          <w:sz w:val="24"/>
          <w:szCs w:val="24"/>
          <w:lang w:eastAsia="pt-BR"/>
        </w:rPr>
        <w:t>pela 1</w:t>
      </w:r>
      <w:r w:rsidR="000D12AA">
        <w:rPr>
          <w:rFonts w:ascii="Times New Roman" w:eastAsia="Times New Roman" w:hAnsi="Times New Roman" w:cs="Times New Roman"/>
          <w:bCs/>
          <w:sz w:val="24"/>
          <w:szCs w:val="24"/>
          <w:lang w:eastAsia="pt-BR"/>
        </w:rPr>
        <w:t>9</w:t>
      </w:r>
      <w:r w:rsidR="003075FC">
        <w:rPr>
          <w:rFonts w:ascii="Times New Roman" w:eastAsia="Times New Roman" w:hAnsi="Times New Roman" w:cs="Times New Roman"/>
          <w:bCs/>
          <w:sz w:val="24"/>
          <w:szCs w:val="24"/>
          <w:lang w:eastAsia="pt-BR"/>
        </w:rPr>
        <w:t>ª Câmara Cível do Tribunal de Justiça do Estado do Paraná</w:t>
      </w:r>
      <w:r w:rsidR="000E1FC1">
        <w:rPr>
          <w:rFonts w:ascii="Times New Roman" w:eastAsia="Times New Roman" w:hAnsi="Times New Roman" w:cs="Times New Roman"/>
          <w:bCs/>
          <w:sz w:val="24"/>
          <w:szCs w:val="24"/>
          <w:lang w:eastAsia="pt-BR"/>
        </w:rPr>
        <w:t xml:space="preserve">, </w:t>
      </w:r>
      <w:r w:rsidR="00A84A90">
        <w:rPr>
          <w:rFonts w:ascii="Times New Roman" w:eastAsia="Times New Roman" w:hAnsi="Times New Roman" w:cs="Times New Roman"/>
          <w:bCs/>
          <w:sz w:val="24"/>
          <w:szCs w:val="24"/>
          <w:lang w:eastAsia="pt-BR"/>
        </w:rPr>
        <w:t xml:space="preserve">que conheceu e negou provimento ao recurso de apelação (evento </w:t>
      </w:r>
      <w:r w:rsidR="0044206F">
        <w:rPr>
          <w:rFonts w:ascii="Times New Roman" w:eastAsia="Times New Roman" w:hAnsi="Times New Roman" w:cs="Times New Roman"/>
          <w:bCs/>
          <w:sz w:val="24"/>
          <w:szCs w:val="24"/>
          <w:lang w:eastAsia="pt-BR"/>
        </w:rPr>
        <w:t>71.1 – autos de origem).</w:t>
      </w:r>
    </w:p>
    <w:p w14:paraId="47216950" w14:textId="23F449A5" w:rsidR="00D52775" w:rsidRDefault="00331C92" w:rsidP="007C36A5">
      <w:pPr>
        <w:tabs>
          <w:tab w:val="left" w:pos="6955"/>
        </w:tabs>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Eis, em síntese, as razões de inconformismo:</w:t>
      </w:r>
      <w:r w:rsidR="00DC54FE">
        <w:rPr>
          <w:rFonts w:ascii="Times New Roman" w:eastAsia="Times New Roman" w:hAnsi="Times New Roman" w:cs="Times New Roman"/>
          <w:bCs/>
          <w:sz w:val="24"/>
          <w:szCs w:val="24"/>
          <w:lang w:eastAsia="pt-BR"/>
        </w:rPr>
        <w:t xml:space="preserve"> </w:t>
      </w:r>
      <w:r w:rsidR="00916272">
        <w:rPr>
          <w:rFonts w:ascii="Times New Roman" w:eastAsia="Times New Roman" w:hAnsi="Times New Roman" w:cs="Times New Roman"/>
          <w:bCs/>
          <w:sz w:val="24"/>
          <w:szCs w:val="24"/>
          <w:lang w:eastAsia="pt-BR"/>
        </w:rPr>
        <w:t>a) omissão sobre o pedido de revogação da gratuidade da justiça;</w:t>
      </w:r>
      <w:r w:rsidR="00DC54FE">
        <w:rPr>
          <w:rFonts w:ascii="Times New Roman" w:eastAsia="Times New Roman" w:hAnsi="Times New Roman" w:cs="Times New Roman"/>
          <w:bCs/>
          <w:sz w:val="24"/>
          <w:szCs w:val="24"/>
          <w:lang w:eastAsia="pt-BR"/>
        </w:rPr>
        <w:t xml:space="preserve"> </w:t>
      </w:r>
      <w:r w:rsidR="00D52775">
        <w:rPr>
          <w:rFonts w:ascii="Times New Roman" w:eastAsia="Times New Roman" w:hAnsi="Times New Roman" w:cs="Times New Roman"/>
          <w:bCs/>
          <w:sz w:val="24"/>
          <w:szCs w:val="24"/>
          <w:lang w:eastAsia="pt-BR"/>
        </w:rPr>
        <w:t>b) contradição da fundamentação em relação ao conjunto probatório</w:t>
      </w:r>
      <w:r w:rsidR="00CF45D5">
        <w:rPr>
          <w:rFonts w:ascii="Times New Roman" w:eastAsia="Times New Roman" w:hAnsi="Times New Roman" w:cs="Times New Roman"/>
          <w:bCs/>
          <w:sz w:val="24"/>
          <w:szCs w:val="24"/>
          <w:lang w:eastAsia="pt-BR"/>
        </w:rPr>
        <w:t xml:space="preserve"> e </w:t>
      </w:r>
      <w:r w:rsidR="00E571EC">
        <w:rPr>
          <w:rFonts w:ascii="Times New Roman" w:eastAsia="Times New Roman" w:hAnsi="Times New Roman" w:cs="Times New Roman"/>
          <w:bCs/>
          <w:sz w:val="24"/>
          <w:szCs w:val="24"/>
          <w:lang w:eastAsia="pt-BR"/>
        </w:rPr>
        <w:t>à</w:t>
      </w:r>
      <w:r w:rsidR="00CF45D5">
        <w:rPr>
          <w:rFonts w:ascii="Times New Roman" w:eastAsia="Times New Roman" w:hAnsi="Times New Roman" w:cs="Times New Roman"/>
          <w:bCs/>
          <w:sz w:val="24"/>
          <w:szCs w:val="24"/>
          <w:lang w:eastAsia="pt-BR"/>
        </w:rPr>
        <w:t xml:space="preserve">s postulações apresentadas no curso da demanda, </w:t>
      </w:r>
      <w:r w:rsidR="00E571EC">
        <w:rPr>
          <w:rFonts w:ascii="Times New Roman" w:eastAsia="Times New Roman" w:hAnsi="Times New Roman" w:cs="Times New Roman"/>
          <w:bCs/>
          <w:sz w:val="24"/>
          <w:szCs w:val="24"/>
          <w:lang w:eastAsia="pt-BR"/>
        </w:rPr>
        <w:t>o que resulta</w:t>
      </w:r>
      <w:r w:rsidR="00CF45D5">
        <w:rPr>
          <w:rFonts w:ascii="Times New Roman" w:eastAsia="Times New Roman" w:hAnsi="Times New Roman" w:cs="Times New Roman"/>
          <w:bCs/>
          <w:sz w:val="24"/>
          <w:szCs w:val="24"/>
          <w:lang w:eastAsia="pt-BR"/>
        </w:rPr>
        <w:t xml:space="preserve"> em solução </w:t>
      </w:r>
      <w:r w:rsidR="004B43C9">
        <w:rPr>
          <w:rFonts w:ascii="Times New Roman" w:eastAsia="Times New Roman" w:hAnsi="Times New Roman" w:cs="Times New Roman"/>
          <w:bCs/>
          <w:sz w:val="24"/>
          <w:szCs w:val="24"/>
          <w:lang w:eastAsia="pt-BR"/>
        </w:rPr>
        <w:t>inefetiva em relação às pretensões das partes</w:t>
      </w:r>
      <w:r w:rsidR="00DC54FE">
        <w:rPr>
          <w:rFonts w:ascii="Times New Roman" w:eastAsia="Times New Roman" w:hAnsi="Times New Roman" w:cs="Times New Roman"/>
          <w:bCs/>
          <w:sz w:val="24"/>
          <w:szCs w:val="24"/>
          <w:lang w:eastAsia="pt-BR"/>
        </w:rPr>
        <w:t xml:space="preserve"> (evento 1.1).</w:t>
      </w:r>
    </w:p>
    <w:p w14:paraId="74155487" w14:textId="2737CAF0" w:rsidR="00B15266" w:rsidRDefault="00B15266" w:rsidP="007C36A5">
      <w:pPr>
        <w:tabs>
          <w:tab w:val="left" w:pos="6955"/>
        </w:tabs>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Amanda Nathany Julião da Silva, em suas contrarrazões, manifestou-se pelo parcial provimento do recurso. Afirmou não possuir interesse na manutenção do contrato de compra e venda do imóvel e postulou a integração do julgado para </w:t>
      </w:r>
      <w:r w:rsidR="00F75EA8">
        <w:rPr>
          <w:rFonts w:ascii="Times New Roman" w:eastAsia="Times New Roman" w:hAnsi="Times New Roman" w:cs="Times New Roman"/>
          <w:bCs/>
          <w:sz w:val="24"/>
          <w:szCs w:val="24"/>
          <w:lang w:eastAsia="pt-BR"/>
        </w:rPr>
        <w:t>definição da resolução da avença (evento 12.1).</w:t>
      </w:r>
    </w:p>
    <w:p w14:paraId="266636D7" w14:textId="271A47BB" w:rsidR="004B43C9" w:rsidRDefault="004B43C9" w:rsidP="007C36A5">
      <w:pPr>
        <w:tabs>
          <w:tab w:val="left" w:pos="6955"/>
        </w:tabs>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Nelson Salles, intimado, deixou transcorrer, </w:t>
      </w:r>
      <w:r>
        <w:rPr>
          <w:rFonts w:ascii="Times New Roman" w:eastAsia="Times New Roman" w:hAnsi="Times New Roman" w:cs="Times New Roman"/>
          <w:bCs/>
          <w:i/>
          <w:iCs/>
          <w:sz w:val="24"/>
          <w:szCs w:val="24"/>
          <w:lang w:eastAsia="pt-BR"/>
        </w:rPr>
        <w:t>in albis</w:t>
      </w:r>
      <w:r>
        <w:rPr>
          <w:rFonts w:ascii="Times New Roman" w:eastAsia="Times New Roman" w:hAnsi="Times New Roman" w:cs="Times New Roman"/>
          <w:bCs/>
          <w:sz w:val="24"/>
          <w:szCs w:val="24"/>
          <w:lang w:eastAsia="pt-BR"/>
        </w:rPr>
        <w:t xml:space="preserve">, o prazo para contrarrazões (evento </w:t>
      </w:r>
      <w:r w:rsidR="00EC4C5C">
        <w:rPr>
          <w:rFonts w:ascii="Times New Roman" w:eastAsia="Times New Roman" w:hAnsi="Times New Roman" w:cs="Times New Roman"/>
          <w:bCs/>
          <w:sz w:val="24"/>
          <w:szCs w:val="24"/>
          <w:lang w:eastAsia="pt-BR"/>
        </w:rPr>
        <w:t>14).</w:t>
      </w:r>
    </w:p>
    <w:p w14:paraId="40367DF6" w14:textId="34785B11" w:rsidR="003F76F3" w:rsidRDefault="00E747A8" w:rsidP="00331C92">
      <w:pPr>
        <w:tabs>
          <w:tab w:val="left" w:pos="6955"/>
        </w:tabs>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É o necessário relato</w:t>
      </w:r>
      <w:r w:rsidR="00331C92">
        <w:rPr>
          <w:rFonts w:ascii="Times New Roman" w:eastAsia="Times New Roman" w:hAnsi="Times New Roman" w:cs="Times New Roman"/>
          <w:bCs/>
          <w:sz w:val="24"/>
          <w:szCs w:val="24"/>
          <w:lang w:eastAsia="pt-BR"/>
        </w:rPr>
        <w:t>.</w:t>
      </w:r>
    </w:p>
    <w:p w14:paraId="3C0B0A99" w14:textId="77777777" w:rsidR="00331C92" w:rsidRDefault="00331C92" w:rsidP="00331C92">
      <w:pPr>
        <w:tabs>
          <w:tab w:val="left" w:pos="6955"/>
        </w:tabs>
        <w:spacing w:before="240" w:after="240" w:line="360" w:lineRule="auto"/>
        <w:ind w:firstLine="709"/>
        <w:jc w:val="both"/>
        <w:rPr>
          <w:rFonts w:ascii="Times New Roman" w:eastAsia="Times New Roman" w:hAnsi="Times New Roman" w:cs="Times New Roman"/>
          <w:bCs/>
          <w:sz w:val="24"/>
          <w:szCs w:val="24"/>
          <w:lang w:eastAsia="pt-BR"/>
        </w:rPr>
      </w:pPr>
    </w:p>
    <w:p w14:paraId="552CAA17" w14:textId="77777777" w:rsidR="003F76F3" w:rsidRDefault="00FB27C5" w:rsidP="003F76F3">
      <w:pPr>
        <w:spacing w:before="240" w:after="240" w:line="360" w:lineRule="auto"/>
        <w:ind w:firstLine="709"/>
        <w:jc w:val="both"/>
        <w:rPr>
          <w:rFonts w:ascii="Times New Roman" w:eastAsia="Times New Roman" w:hAnsi="Times New Roman" w:cs="Times New Roman"/>
          <w:b/>
          <w:sz w:val="24"/>
          <w:szCs w:val="24"/>
          <w:lang w:eastAsia="pt-BR"/>
        </w:rPr>
      </w:pPr>
      <w:r w:rsidRPr="00260160">
        <w:rPr>
          <w:rFonts w:ascii="Times New Roman" w:hAnsi="Times New Roman" w:cs="Times New Roman"/>
          <w:b/>
          <w:sz w:val="24"/>
          <w:szCs w:val="24"/>
        </w:rPr>
        <w:t>II – FUNDAMENTAÇÃO</w:t>
      </w:r>
    </w:p>
    <w:p w14:paraId="3C68F9C2" w14:textId="77777777" w:rsidR="00E71385" w:rsidRPr="00C727D6" w:rsidRDefault="00E71385" w:rsidP="00E71385">
      <w:pPr>
        <w:spacing w:before="240" w:after="240" w:line="360" w:lineRule="auto"/>
        <w:ind w:firstLine="709"/>
        <w:jc w:val="both"/>
        <w:rPr>
          <w:rFonts w:ascii="Times New Roman" w:eastAsia="Times New Roman" w:hAnsi="Times New Roman" w:cs="Times New Roman"/>
          <w:sz w:val="24"/>
          <w:szCs w:val="24"/>
          <w:lang w:eastAsia="pt-BR"/>
        </w:rPr>
      </w:pPr>
      <w:r w:rsidRPr="00C727D6">
        <w:rPr>
          <w:rFonts w:ascii="Times New Roman" w:eastAsia="Times New Roman" w:hAnsi="Times New Roman" w:cs="Times New Roman"/>
          <w:sz w:val="24"/>
          <w:szCs w:val="24"/>
          <w:lang w:eastAsia="pt-BR"/>
        </w:rPr>
        <w:t xml:space="preserve">II.I </w:t>
      </w:r>
      <w:r>
        <w:rPr>
          <w:rFonts w:ascii="Times New Roman" w:eastAsia="Times New Roman" w:hAnsi="Times New Roman" w:cs="Times New Roman"/>
          <w:sz w:val="24"/>
          <w:szCs w:val="24"/>
          <w:lang w:eastAsia="pt-BR"/>
        </w:rPr>
        <w:t>–</w:t>
      </w:r>
      <w:r w:rsidRPr="00C727D6">
        <w:rPr>
          <w:rFonts w:ascii="Times New Roman" w:eastAsia="Times New Roman" w:hAnsi="Times New Roman" w:cs="Times New Roman"/>
          <w:sz w:val="24"/>
          <w:szCs w:val="24"/>
          <w:lang w:eastAsia="pt-BR"/>
        </w:rPr>
        <w:t xml:space="preserve"> </w:t>
      </w:r>
      <w:r>
        <w:rPr>
          <w:rFonts w:ascii="Times New Roman" w:eastAsia="Times New Roman" w:hAnsi="Times New Roman" w:cs="Times New Roman"/>
          <w:sz w:val="24"/>
          <w:szCs w:val="24"/>
          <w:lang w:eastAsia="pt-BR"/>
        </w:rPr>
        <w:t xml:space="preserve">DO JUÍZO DE </w:t>
      </w:r>
      <w:r w:rsidRPr="00C727D6">
        <w:rPr>
          <w:rFonts w:ascii="Times New Roman" w:eastAsia="Times New Roman" w:hAnsi="Times New Roman" w:cs="Times New Roman"/>
          <w:sz w:val="24"/>
          <w:szCs w:val="24"/>
          <w:lang w:eastAsia="pt-BR"/>
        </w:rPr>
        <w:t>ADMISSIBILIDADE</w:t>
      </w:r>
    </w:p>
    <w:p w14:paraId="22426A3C" w14:textId="281E53B4" w:rsidR="00E71385" w:rsidRDefault="00E71385" w:rsidP="00E713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Satisfeitos</w:t>
      </w:r>
      <w:r w:rsidR="00210873">
        <w:rPr>
          <w:rFonts w:ascii="Times New Roman" w:eastAsia="Times New Roman" w:hAnsi="Times New Roman" w:cs="Times New Roman"/>
          <w:sz w:val="24"/>
          <w:szCs w:val="24"/>
          <w:lang w:eastAsia="pt-BR"/>
        </w:rPr>
        <w:t xml:space="preserve"> </w:t>
      </w:r>
      <w:r w:rsidR="00D42387">
        <w:rPr>
          <w:rFonts w:ascii="Times New Roman" w:eastAsia="Times New Roman" w:hAnsi="Times New Roman" w:cs="Times New Roman"/>
          <w:sz w:val="24"/>
          <w:szCs w:val="24"/>
          <w:lang w:eastAsia="pt-BR"/>
        </w:rPr>
        <w:t>o</w:t>
      </w:r>
      <w:r>
        <w:rPr>
          <w:rFonts w:ascii="Times New Roman" w:eastAsia="Times New Roman" w:hAnsi="Times New Roman" w:cs="Times New Roman"/>
          <w:sz w:val="24"/>
          <w:szCs w:val="24"/>
          <w:lang w:eastAsia="pt-BR"/>
        </w:rPr>
        <w:t xml:space="preserve">s pressupostos de admissibilidade recursal, conhecem-se dos embargos de declaração </w:t>
      </w:r>
      <w:r w:rsidR="003835C9">
        <w:rPr>
          <w:rFonts w:ascii="Times New Roman" w:eastAsia="Times New Roman" w:hAnsi="Times New Roman" w:cs="Times New Roman"/>
          <w:sz w:val="24"/>
          <w:szCs w:val="24"/>
          <w:lang w:eastAsia="pt-BR"/>
        </w:rPr>
        <w:t>inter</w:t>
      </w:r>
      <w:r>
        <w:rPr>
          <w:rFonts w:ascii="Times New Roman" w:eastAsia="Times New Roman" w:hAnsi="Times New Roman" w:cs="Times New Roman"/>
          <w:sz w:val="24"/>
          <w:szCs w:val="24"/>
          <w:lang w:eastAsia="pt-BR"/>
        </w:rPr>
        <w:t>postos.</w:t>
      </w:r>
    </w:p>
    <w:p w14:paraId="68F242B5" w14:textId="77777777" w:rsidR="00E71385" w:rsidRDefault="00E71385" w:rsidP="00E71385">
      <w:pPr>
        <w:spacing w:before="240" w:after="240" w:line="360" w:lineRule="auto"/>
        <w:ind w:firstLine="709"/>
        <w:jc w:val="both"/>
        <w:rPr>
          <w:rFonts w:ascii="Times New Roman" w:eastAsia="Times New Roman" w:hAnsi="Times New Roman" w:cs="Times New Roman"/>
          <w:sz w:val="24"/>
          <w:szCs w:val="24"/>
          <w:lang w:eastAsia="pt-BR"/>
        </w:rPr>
      </w:pPr>
    </w:p>
    <w:p w14:paraId="1778F301" w14:textId="235727BE" w:rsidR="00501184" w:rsidRDefault="00E71385" w:rsidP="0050118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II.II –</w:t>
      </w:r>
      <w:r w:rsidR="00501184">
        <w:rPr>
          <w:rFonts w:ascii="Times New Roman" w:eastAsia="Times New Roman" w:hAnsi="Times New Roman" w:cs="Times New Roman"/>
          <w:sz w:val="24"/>
          <w:szCs w:val="24"/>
          <w:lang w:eastAsia="pt-BR"/>
        </w:rPr>
        <w:t xml:space="preserve"> DA GRATUIDADE DA JUSTIÇA</w:t>
      </w:r>
    </w:p>
    <w:p w14:paraId="3D31C5D1" w14:textId="77777777" w:rsidR="00990E40" w:rsidRDefault="00990E40" w:rsidP="0050118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Compulsando-se o acórdão impugnado, em cotejo com as razões de inconformismo, constata-se ausência de pronunciamento específico sobre o pedido de revogação da gratuidade processual no julgamento do recurso de apelação.</w:t>
      </w:r>
    </w:p>
    <w:p w14:paraId="2A37D0FE" w14:textId="70834385" w:rsidR="00254CD0" w:rsidRDefault="008E53D3" w:rsidP="00254CD0">
      <w:pPr>
        <w:spacing w:before="240" w:after="240" w:line="360" w:lineRule="auto"/>
        <w:ind w:firstLine="709"/>
        <w:jc w:val="both"/>
        <w:rPr>
          <w:rFonts w:ascii="Times New Roman" w:eastAsia="Times New Roman" w:hAnsi="Times New Roman" w:cs="Times New Roman"/>
          <w:i/>
          <w:iCs/>
          <w:sz w:val="24"/>
          <w:szCs w:val="24"/>
          <w:lang w:eastAsia="pt-BR"/>
        </w:rPr>
      </w:pPr>
      <w:r>
        <w:rPr>
          <w:rFonts w:ascii="Times New Roman" w:eastAsia="Times New Roman" w:hAnsi="Times New Roman" w:cs="Times New Roman"/>
          <w:sz w:val="24"/>
          <w:szCs w:val="24"/>
          <w:lang w:eastAsia="pt-BR"/>
        </w:rPr>
        <w:t>P</w:t>
      </w:r>
      <w:r w:rsidR="00990E40">
        <w:rPr>
          <w:rFonts w:ascii="Times New Roman" w:eastAsia="Times New Roman" w:hAnsi="Times New Roman" w:cs="Times New Roman"/>
          <w:sz w:val="24"/>
          <w:szCs w:val="24"/>
          <w:lang w:eastAsia="pt-BR"/>
        </w:rPr>
        <w:t>ara</w:t>
      </w:r>
      <w:r w:rsidR="003C6700">
        <w:rPr>
          <w:rFonts w:ascii="Times New Roman" w:eastAsia="Times New Roman" w:hAnsi="Times New Roman" w:cs="Times New Roman"/>
          <w:sz w:val="24"/>
          <w:szCs w:val="24"/>
          <w:lang w:eastAsia="pt-BR"/>
        </w:rPr>
        <w:t xml:space="preserve"> a necessária colmatação, passa-se ao exame da </w:t>
      </w:r>
      <w:r w:rsidR="003C6700">
        <w:rPr>
          <w:rFonts w:ascii="Times New Roman" w:eastAsia="Times New Roman" w:hAnsi="Times New Roman" w:cs="Times New Roman"/>
          <w:i/>
          <w:iCs/>
          <w:sz w:val="24"/>
          <w:szCs w:val="24"/>
          <w:lang w:eastAsia="pt-BR"/>
        </w:rPr>
        <w:t>quaestio</w:t>
      </w:r>
      <w:r w:rsidR="00D3702F">
        <w:rPr>
          <w:rFonts w:ascii="Times New Roman" w:eastAsia="Times New Roman" w:hAnsi="Times New Roman" w:cs="Times New Roman"/>
          <w:i/>
          <w:iCs/>
          <w:sz w:val="24"/>
          <w:szCs w:val="24"/>
          <w:lang w:eastAsia="pt-BR"/>
        </w:rPr>
        <w:t>.</w:t>
      </w:r>
    </w:p>
    <w:p w14:paraId="09F12C8B" w14:textId="39D5C37F" w:rsidR="008E53D3" w:rsidRDefault="00CF1B84" w:rsidP="008E53D3">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O critério </w:t>
      </w:r>
      <w:r w:rsidR="00F355BF">
        <w:rPr>
          <w:rFonts w:ascii="Times New Roman" w:eastAsia="Times New Roman" w:hAnsi="Times New Roman" w:cs="Times New Roman"/>
          <w:sz w:val="24"/>
          <w:szCs w:val="24"/>
          <w:lang w:eastAsia="pt-BR"/>
        </w:rPr>
        <w:t>dirimente</w:t>
      </w:r>
      <w:r w:rsidR="004E2A9D">
        <w:rPr>
          <w:rFonts w:ascii="Times New Roman" w:eastAsia="Times New Roman" w:hAnsi="Times New Roman" w:cs="Times New Roman"/>
          <w:sz w:val="24"/>
          <w:szCs w:val="24"/>
          <w:lang w:eastAsia="pt-BR"/>
        </w:rPr>
        <w:t xml:space="preserve"> para análise do tema</w:t>
      </w:r>
      <w:r w:rsidR="00F355BF">
        <w:rPr>
          <w:rFonts w:ascii="Times New Roman" w:eastAsia="Times New Roman" w:hAnsi="Times New Roman" w:cs="Times New Roman"/>
          <w:sz w:val="24"/>
          <w:szCs w:val="24"/>
          <w:lang w:eastAsia="pt-BR"/>
        </w:rPr>
        <w:t xml:space="preserve">, </w:t>
      </w:r>
      <w:r w:rsidR="002654A3">
        <w:rPr>
          <w:rFonts w:ascii="Times New Roman" w:eastAsia="Times New Roman" w:hAnsi="Times New Roman" w:cs="Times New Roman"/>
          <w:sz w:val="24"/>
          <w:szCs w:val="24"/>
          <w:lang w:eastAsia="pt-BR"/>
        </w:rPr>
        <w:t>na jurisprudência desta Câmara, é a renda mensal.</w:t>
      </w:r>
    </w:p>
    <w:p w14:paraId="675367FE" w14:textId="74104A27" w:rsidR="008E53D3" w:rsidRDefault="008E53D3" w:rsidP="008E53D3">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 exemplo:</w:t>
      </w:r>
    </w:p>
    <w:p w14:paraId="178441E3" w14:textId="77777777" w:rsidR="008E53D3" w:rsidRDefault="008E53D3" w:rsidP="008E53D3">
      <w:pPr>
        <w:spacing w:before="240" w:after="240" w:line="360" w:lineRule="auto"/>
        <w:ind w:firstLine="709"/>
        <w:jc w:val="both"/>
        <w:rPr>
          <w:rFonts w:ascii="Times New Roman" w:eastAsia="Times New Roman" w:hAnsi="Times New Roman" w:cs="Times New Roman"/>
          <w:sz w:val="24"/>
          <w:szCs w:val="24"/>
          <w:lang w:eastAsia="pt-BR"/>
        </w:rPr>
      </w:pPr>
    </w:p>
    <w:p w14:paraId="04042247" w14:textId="0D643E26" w:rsidR="00CF1B84" w:rsidRDefault="00FF0761" w:rsidP="002757AA">
      <w:pPr>
        <w:spacing w:after="240" w:line="360" w:lineRule="auto"/>
        <w:ind w:left="2268"/>
        <w:jc w:val="both"/>
        <w:rPr>
          <w:rFonts w:ascii="Times New Roman" w:eastAsia="Times New Roman" w:hAnsi="Times New Roman" w:cs="Times New Roman"/>
          <w:sz w:val="20"/>
          <w:szCs w:val="20"/>
          <w:lang w:eastAsia="pt-BR"/>
        </w:rPr>
      </w:pPr>
      <w:r w:rsidRPr="00FF0761">
        <w:rPr>
          <w:rFonts w:ascii="Times New Roman" w:eastAsia="Times New Roman" w:hAnsi="Times New Roman" w:cs="Times New Roman"/>
          <w:sz w:val="20"/>
          <w:szCs w:val="20"/>
          <w:lang w:eastAsia="pt-BR"/>
        </w:rPr>
        <w:t xml:space="preserve">AGRAVO DE INSTRUMENTO. AÇÃO DE OBRIGAÇÃO DE FAZER. DECISÃO AGRAVADA QUE INDEFERIU A GRATUIDADE DE JUSTIÇA. PRESUNÇÃO RELATIVA DE HIPOSSUFICIÊNCIA. </w:t>
      </w:r>
      <w:r w:rsidR="002757AA">
        <w:rPr>
          <w:rFonts w:ascii="Times New Roman" w:eastAsia="Times New Roman" w:hAnsi="Times New Roman" w:cs="Times New Roman"/>
          <w:sz w:val="20"/>
          <w:szCs w:val="20"/>
          <w:lang w:eastAsia="pt-BR"/>
        </w:rPr>
        <w:t>PRESENTES OS REQUISITOS.</w:t>
      </w:r>
      <w:r w:rsidRPr="00FF0761">
        <w:rPr>
          <w:rFonts w:ascii="Times New Roman" w:eastAsia="Times New Roman" w:hAnsi="Times New Roman" w:cs="Times New Roman"/>
          <w:sz w:val="20"/>
          <w:szCs w:val="20"/>
          <w:lang w:eastAsia="pt-BR"/>
        </w:rPr>
        <w:t xml:space="preserve"> RENDA MENSAL INFERIOR A 3 (TRÊS) SALÁRIOS-MÍNIMOS. IMPOSSIBILIDADE DE ARCAR COM AS CUSTAS PROCESSUAIS SEM O PREJUÍZO DO PRÓPRIO SUSTENTO OU DA SUA FAMÍLIA. DECISÃO REFORMADA.</w:t>
      </w:r>
      <w:r w:rsidR="002757AA">
        <w:rPr>
          <w:rFonts w:ascii="Times New Roman" w:eastAsia="Times New Roman" w:hAnsi="Times New Roman" w:cs="Times New Roman"/>
          <w:sz w:val="20"/>
          <w:szCs w:val="20"/>
          <w:lang w:eastAsia="pt-BR"/>
        </w:rPr>
        <w:t xml:space="preserve"> </w:t>
      </w:r>
      <w:r w:rsidRPr="00FF0761">
        <w:rPr>
          <w:rFonts w:ascii="Times New Roman" w:eastAsia="Times New Roman" w:hAnsi="Times New Roman" w:cs="Times New Roman"/>
          <w:sz w:val="20"/>
          <w:szCs w:val="20"/>
          <w:lang w:eastAsia="pt-BR"/>
        </w:rPr>
        <w:t>AGRAVO DE INSTRUMENTO CONHECIDO E PROVIDO.</w:t>
      </w:r>
      <w:r>
        <w:rPr>
          <w:rFonts w:ascii="Times New Roman" w:eastAsia="Times New Roman" w:hAnsi="Times New Roman" w:cs="Times New Roman"/>
          <w:sz w:val="20"/>
          <w:szCs w:val="20"/>
          <w:lang w:eastAsia="pt-BR"/>
        </w:rPr>
        <w:t xml:space="preserve"> </w:t>
      </w:r>
      <w:r w:rsidRPr="00FF0761">
        <w:rPr>
          <w:rFonts w:ascii="Times New Roman" w:eastAsia="Times New Roman" w:hAnsi="Times New Roman" w:cs="Times New Roman"/>
          <w:sz w:val="20"/>
          <w:szCs w:val="20"/>
          <w:lang w:eastAsia="pt-BR"/>
        </w:rPr>
        <w:t>(TJPR</w:t>
      </w:r>
      <w:r>
        <w:rPr>
          <w:rFonts w:ascii="Times New Roman" w:eastAsia="Times New Roman" w:hAnsi="Times New Roman" w:cs="Times New Roman"/>
          <w:sz w:val="20"/>
          <w:szCs w:val="20"/>
          <w:lang w:eastAsia="pt-BR"/>
        </w:rPr>
        <w:t xml:space="preserve">. </w:t>
      </w:r>
      <w:r w:rsidR="00CF1B84">
        <w:rPr>
          <w:rFonts w:ascii="Times New Roman" w:eastAsia="Times New Roman" w:hAnsi="Times New Roman" w:cs="Times New Roman"/>
          <w:sz w:val="20"/>
          <w:szCs w:val="20"/>
          <w:lang w:eastAsia="pt-BR"/>
        </w:rPr>
        <w:t xml:space="preserve">19ª Câmara Cível. Relator: Desembargador Belchior Soares da Silva. </w:t>
      </w:r>
      <w:r w:rsidRPr="00FF0761">
        <w:rPr>
          <w:rFonts w:ascii="Times New Roman" w:eastAsia="Times New Roman" w:hAnsi="Times New Roman" w:cs="Times New Roman"/>
          <w:sz w:val="20"/>
          <w:szCs w:val="20"/>
          <w:lang w:eastAsia="pt-BR"/>
        </w:rPr>
        <w:t>0069095-28.2025.8.16.0000</w:t>
      </w:r>
      <w:r w:rsidR="00CF1B84">
        <w:rPr>
          <w:rFonts w:ascii="Times New Roman" w:eastAsia="Times New Roman" w:hAnsi="Times New Roman" w:cs="Times New Roman"/>
          <w:sz w:val="20"/>
          <w:szCs w:val="20"/>
          <w:lang w:eastAsia="pt-BR"/>
        </w:rPr>
        <w:t>.</w:t>
      </w:r>
      <w:r w:rsidRPr="00FF0761">
        <w:rPr>
          <w:rFonts w:ascii="Times New Roman" w:eastAsia="Times New Roman" w:hAnsi="Times New Roman" w:cs="Times New Roman"/>
          <w:sz w:val="20"/>
          <w:szCs w:val="20"/>
          <w:lang w:eastAsia="pt-BR"/>
        </w:rPr>
        <w:t xml:space="preserve"> Campo Largo</w:t>
      </w:r>
      <w:r w:rsidR="00CF1B84">
        <w:rPr>
          <w:rFonts w:ascii="Times New Roman" w:eastAsia="Times New Roman" w:hAnsi="Times New Roman" w:cs="Times New Roman"/>
          <w:sz w:val="20"/>
          <w:szCs w:val="20"/>
          <w:lang w:eastAsia="pt-BR"/>
        </w:rPr>
        <w:t>. Data de julgamento: 19-10-2025).</w:t>
      </w:r>
    </w:p>
    <w:p w14:paraId="3641CCDB" w14:textId="77777777" w:rsidR="002757AA" w:rsidRDefault="002757AA" w:rsidP="00501184">
      <w:pPr>
        <w:spacing w:before="240" w:after="240" w:line="360" w:lineRule="auto"/>
        <w:ind w:firstLine="709"/>
        <w:jc w:val="both"/>
        <w:rPr>
          <w:rFonts w:ascii="Times New Roman" w:eastAsia="Times New Roman" w:hAnsi="Times New Roman" w:cs="Times New Roman"/>
          <w:sz w:val="24"/>
          <w:szCs w:val="24"/>
          <w:lang w:eastAsia="pt-BR"/>
        </w:rPr>
      </w:pPr>
    </w:p>
    <w:p w14:paraId="45AA7D1D" w14:textId="6F2D41CA" w:rsidR="00501184" w:rsidRDefault="008E53D3" w:rsidP="0050118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Assim, em que pese a demonstração de que o embargado Nelson Salles seja proprietário de bem imóvel de significativo valor econômico, respectivo vínculo real não representa, por si só, alteração da capacidade econômica a justificar a revogação da benesse. Não há, nos autos, demonstração empiricamente verificável de que sua renda mensal seja superior </w:t>
      </w:r>
      <w:r w:rsidR="002757AA">
        <w:rPr>
          <w:rFonts w:ascii="Times New Roman" w:eastAsia="Times New Roman" w:hAnsi="Times New Roman" w:cs="Times New Roman"/>
          <w:sz w:val="24"/>
          <w:szCs w:val="24"/>
          <w:lang w:eastAsia="pt-BR"/>
        </w:rPr>
        <w:t>ao referido patamar de 3 (três) salários-mínimos mensais ou de evolução patrimonial incompatível com a alegada situação econômica.</w:t>
      </w:r>
    </w:p>
    <w:p w14:paraId="0A15C6DD" w14:textId="20EF7FAE" w:rsidR="002757AA" w:rsidRDefault="002757AA" w:rsidP="0050118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Nessas condições, não se excogita a revogação do benefício da gratuidade da justiça (CPC, art. 98).</w:t>
      </w:r>
    </w:p>
    <w:p w14:paraId="0969A7DE" w14:textId="77777777" w:rsidR="002757AA" w:rsidRDefault="002757AA" w:rsidP="00501184">
      <w:pPr>
        <w:spacing w:before="240" w:after="240" w:line="360" w:lineRule="auto"/>
        <w:ind w:firstLine="709"/>
        <w:jc w:val="both"/>
        <w:rPr>
          <w:rFonts w:ascii="Times New Roman" w:eastAsia="Times New Roman" w:hAnsi="Times New Roman" w:cs="Times New Roman"/>
          <w:sz w:val="24"/>
          <w:szCs w:val="24"/>
          <w:lang w:eastAsia="pt-BR"/>
        </w:rPr>
      </w:pPr>
    </w:p>
    <w:p w14:paraId="30F5FB76" w14:textId="7A68E3B7" w:rsidR="00E71385" w:rsidRDefault="00501184" w:rsidP="00E713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II.III –</w:t>
      </w:r>
      <w:r w:rsidR="00B301DF">
        <w:rPr>
          <w:rFonts w:ascii="Times New Roman" w:eastAsia="Times New Roman" w:hAnsi="Times New Roman" w:cs="Times New Roman"/>
          <w:sz w:val="24"/>
          <w:szCs w:val="24"/>
          <w:lang w:eastAsia="pt-BR"/>
        </w:rPr>
        <w:t xml:space="preserve"> DA CONTRADIÇÃO</w:t>
      </w:r>
    </w:p>
    <w:p w14:paraId="3EB4BEA7" w14:textId="60C0B3AC" w:rsidR="00EB2469" w:rsidRDefault="00646399" w:rsidP="00646399">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Do exame do pronunciamento judicial hostilizado, em cotejo com as razões dos embargos, constata-se que a pretensão declaratória </w:t>
      </w:r>
      <w:r w:rsidR="000A46D4">
        <w:rPr>
          <w:rFonts w:ascii="Times New Roman" w:eastAsia="Times New Roman" w:hAnsi="Times New Roman" w:cs="Times New Roman"/>
          <w:sz w:val="24"/>
          <w:szCs w:val="24"/>
          <w:lang w:eastAsia="pt-BR"/>
        </w:rPr>
        <w:t>não possui compatibilidade com o perfil normativo do artigo 1.022 do Código de Processo Civil.</w:t>
      </w:r>
    </w:p>
    <w:p w14:paraId="5B31662E" w14:textId="77777777" w:rsidR="00646399" w:rsidRDefault="00646399" w:rsidP="00646399">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 propósito do tema:</w:t>
      </w:r>
    </w:p>
    <w:p w14:paraId="1129E428" w14:textId="77777777" w:rsidR="00646399" w:rsidRDefault="00646399" w:rsidP="00646399">
      <w:pPr>
        <w:spacing w:before="240" w:after="240" w:line="360" w:lineRule="auto"/>
        <w:ind w:firstLine="709"/>
        <w:jc w:val="both"/>
        <w:rPr>
          <w:rFonts w:ascii="Times New Roman" w:eastAsia="Times New Roman" w:hAnsi="Times New Roman" w:cs="Times New Roman"/>
          <w:sz w:val="24"/>
          <w:szCs w:val="24"/>
          <w:lang w:eastAsia="pt-BR"/>
        </w:rPr>
      </w:pPr>
    </w:p>
    <w:p w14:paraId="0F228629" w14:textId="6690A00F" w:rsidR="00646399" w:rsidRDefault="00646399" w:rsidP="00646399">
      <w:pPr>
        <w:spacing w:after="240" w:line="360" w:lineRule="auto"/>
        <w:ind w:left="2268"/>
        <w:jc w:val="both"/>
        <w:rPr>
          <w:rFonts w:ascii="Times New Roman" w:hAnsi="Times New Roman" w:cs="Times New Roman"/>
          <w:sz w:val="20"/>
        </w:rPr>
      </w:pPr>
      <w:r w:rsidRPr="005E3E78">
        <w:rPr>
          <w:rFonts w:ascii="Times New Roman" w:hAnsi="Times New Roman" w:cs="Times New Roman"/>
          <w:sz w:val="20"/>
        </w:rPr>
        <w:t xml:space="preserve">PROCESSUAL CIVIL. ENUNCIADO ADMINISTRATIVO Nº 03/STJ. EMBARGOS DE DECLARAÇÃO. INEXISTÊNCIA DE VÍCIOS NO JULGADO. REDISCUSSÃO DE MATÉRIA JÁ DECIDIDA. IMPOSSIBILIDADE. </w:t>
      </w:r>
      <w:r w:rsidRPr="001F4679">
        <w:rPr>
          <w:rFonts w:ascii="Times New Roman" w:hAnsi="Times New Roman" w:cs="Times New Roman"/>
          <w:b/>
          <w:sz w:val="20"/>
        </w:rPr>
        <w:t xml:space="preserve">1. Os embargos de declaração têm a finalidade simples e única de completar, aclarar ou corrigir uma decisão omissa, obscura ou contraditória. Não são destinados à adequação do decisum ao entendimento da parte embargante, nem ao acolhimento de pretensões que refletem mero inconformismo, e, menos ainda, à rediscussão de questão já resolvida. Precedentes. </w:t>
      </w:r>
      <w:r w:rsidRPr="005E3E78">
        <w:rPr>
          <w:rFonts w:ascii="Times New Roman" w:hAnsi="Times New Roman" w:cs="Times New Roman"/>
          <w:sz w:val="20"/>
        </w:rPr>
        <w:t>2. A análise das razões recursais revela a pretensão da parte em alterar o resultado do decisum, o que é inviável nesta seara recursal. 3. Embargos de declaração r</w:t>
      </w:r>
      <w:r>
        <w:rPr>
          <w:rFonts w:ascii="Times New Roman" w:hAnsi="Times New Roman" w:cs="Times New Roman"/>
          <w:sz w:val="20"/>
        </w:rPr>
        <w:t>ejeitados. (STJ. 1ª Seção. Relator: Ministro Mauro Campbell Marques.</w:t>
      </w:r>
      <w:r w:rsidRPr="005E3E78">
        <w:rPr>
          <w:rFonts w:ascii="Times New Roman" w:hAnsi="Times New Roman" w:cs="Times New Roman"/>
          <w:sz w:val="20"/>
        </w:rPr>
        <w:t xml:space="preserve"> EDcl. no AgRg. nos EAREsp. n. 620.940/RS</w:t>
      </w:r>
      <w:r>
        <w:rPr>
          <w:rFonts w:ascii="Times New Roman" w:hAnsi="Times New Roman" w:cs="Times New Roman"/>
          <w:sz w:val="20"/>
        </w:rPr>
        <w:t>. Data de Julgamento: 14-9-2016. Data de Publicação: 21-09-2016).</w:t>
      </w:r>
    </w:p>
    <w:p w14:paraId="3A818C24" w14:textId="77777777" w:rsidR="00646399" w:rsidRDefault="00646399" w:rsidP="00646399">
      <w:pPr>
        <w:spacing w:after="240" w:line="360" w:lineRule="auto"/>
        <w:jc w:val="both"/>
        <w:rPr>
          <w:rFonts w:ascii="Times New Roman" w:hAnsi="Times New Roman" w:cs="Times New Roman"/>
          <w:sz w:val="20"/>
        </w:rPr>
      </w:pPr>
    </w:p>
    <w:p w14:paraId="42BAB8C1" w14:textId="411C9C80" w:rsidR="00AF2B41" w:rsidRDefault="006F6851" w:rsidP="00C66586">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Todas as questões jurídicas</w:t>
      </w:r>
      <w:r w:rsidR="00993C75">
        <w:rPr>
          <w:rFonts w:ascii="Times New Roman" w:eastAsia="Times New Roman" w:hAnsi="Times New Roman" w:cs="Times New Roman"/>
          <w:sz w:val="24"/>
          <w:szCs w:val="24"/>
          <w:lang w:eastAsia="pt-BR"/>
        </w:rPr>
        <w:t xml:space="preserve"> suscitadas pelas partes foram objeto </w:t>
      </w:r>
      <w:r w:rsidR="00646399">
        <w:rPr>
          <w:rFonts w:ascii="Times New Roman" w:eastAsia="Times New Roman" w:hAnsi="Times New Roman" w:cs="Times New Roman"/>
          <w:sz w:val="24"/>
          <w:szCs w:val="24"/>
          <w:lang w:eastAsia="pt-BR"/>
        </w:rPr>
        <w:t xml:space="preserve">de percuciente análise e a </w:t>
      </w:r>
      <w:r w:rsidR="00406AFA">
        <w:rPr>
          <w:rFonts w:ascii="Times New Roman" w:eastAsia="Times New Roman" w:hAnsi="Times New Roman" w:cs="Times New Roman"/>
          <w:sz w:val="24"/>
          <w:szCs w:val="24"/>
          <w:lang w:eastAsia="pt-BR"/>
        </w:rPr>
        <w:t xml:space="preserve">respectiva </w:t>
      </w:r>
      <w:r w:rsidR="00646399">
        <w:rPr>
          <w:rFonts w:ascii="Times New Roman" w:eastAsia="Times New Roman" w:hAnsi="Times New Roman" w:cs="Times New Roman"/>
          <w:sz w:val="24"/>
          <w:szCs w:val="24"/>
          <w:lang w:eastAsia="pt-BR"/>
        </w:rPr>
        <w:t>decisão, exposta mediante fundamentação plena, sem nenhuma contradição, omissão, obscuridade ou erro material.</w:t>
      </w:r>
    </w:p>
    <w:p w14:paraId="77D251F7" w14:textId="61872ED6" w:rsidR="00CB3B7E" w:rsidRDefault="00CB3B7E" w:rsidP="00102749">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O</w:t>
      </w:r>
      <w:r w:rsidR="00E45A4C">
        <w:rPr>
          <w:rFonts w:ascii="Times New Roman" w:eastAsia="Times New Roman" w:hAnsi="Times New Roman" w:cs="Times New Roman"/>
          <w:sz w:val="24"/>
          <w:szCs w:val="24"/>
          <w:lang w:eastAsia="pt-BR"/>
        </w:rPr>
        <w:t xml:space="preserve"> julgamento do mérito</w:t>
      </w:r>
      <w:r>
        <w:rPr>
          <w:rFonts w:ascii="Times New Roman" w:eastAsia="Times New Roman" w:hAnsi="Times New Roman" w:cs="Times New Roman"/>
          <w:sz w:val="24"/>
          <w:szCs w:val="24"/>
          <w:lang w:eastAsia="pt-BR"/>
        </w:rPr>
        <w:t xml:space="preserve">, na sentença e no acórdão, </w:t>
      </w:r>
      <w:r w:rsidR="00FA0B10">
        <w:rPr>
          <w:rFonts w:ascii="Times New Roman" w:eastAsia="Times New Roman" w:hAnsi="Times New Roman" w:cs="Times New Roman"/>
          <w:sz w:val="24"/>
          <w:szCs w:val="24"/>
          <w:lang w:eastAsia="pt-BR"/>
        </w:rPr>
        <w:t>restringiu-se, adequadamente, aos pontos controvertidos fixados na decisão de saneamento e organização do processo</w:t>
      </w:r>
      <w:r w:rsidR="00FA75F4">
        <w:rPr>
          <w:rFonts w:ascii="Times New Roman" w:eastAsia="Times New Roman" w:hAnsi="Times New Roman" w:cs="Times New Roman"/>
          <w:sz w:val="24"/>
          <w:szCs w:val="24"/>
          <w:lang w:eastAsia="pt-BR"/>
        </w:rPr>
        <w:t xml:space="preserve"> (evento 105.1 – autos de origem). </w:t>
      </w:r>
      <w:r w:rsidR="0067744D">
        <w:rPr>
          <w:rFonts w:ascii="Times New Roman" w:eastAsia="Times New Roman" w:hAnsi="Times New Roman" w:cs="Times New Roman"/>
          <w:sz w:val="24"/>
          <w:szCs w:val="24"/>
          <w:lang w:eastAsia="pt-BR"/>
        </w:rPr>
        <w:t>As partes controverteram, na fase postulatória, sobre</w:t>
      </w:r>
      <w:r w:rsidR="00CA1BC6">
        <w:rPr>
          <w:rFonts w:ascii="Times New Roman" w:eastAsia="Times New Roman" w:hAnsi="Times New Roman" w:cs="Times New Roman"/>
          <w:sz w:val="24"/>
          <w:szCs w:val="24"/>
          <w:lang w:eastAsia="pt-BR"/>
        </w:rPr>
        <w:t xml:space="preserve"> a validade</w:t>
      </w:r>
      <w:r w:rsidR="0073645B">
        <w:rPr>
          <w:rFonts w:ascii="Times New Roman" w:eastAsia="Times New Roman" w:hAnsi="Times New Roman" w:cs="Times New Roman"/>
          <w:sz w:val="24"/>
          <w:szCs w:val="24"/>
          <w:lang w:eastAsia="pt-BR"/>
        </w:rPr>
        <w:t xml:space="preserve"> da procuração, pela qual </w:t>
      </w:r>
      <w:r w:rsidR="0073645B" w:rsidRPr="0073645B">
        <w:rPr>
          <w:rFonts w:ascii="Times New Roman" w:eastAsia="Times New Roman" w:hAnsi="Times New Roman" w:cs="Times New Roman"/>
          <w:sz w:val="24"/>
          <w:szCs w:val="24"/>
          <w:lang w:eastAsia="pt-BR"/>
        </w:rPr>
        <w:t>L</w:t>
      </w:r>
      <w:r w:rsidR="0073645B">
        <w:rPr>
          <w:rFonts w:ascii="Times New Roman" w:eastAsia="Times New Roman" w:hAnsi="Times New Roman" w:cs="Times New Roman"/>
          <w:sz w:val="24"/>
          <w:szCs w:val="24"/>
          <w:lang w:eastAsia="pt-BR"/>
        </w:rPr>
        <w:t xml:space="preserve">eila de Moura Melo conferiu poderes para </w:t>
      </w:r>
      <w:r w:rsidR="0073645B" w:rsidRPr="0073645B">
        <w:rPr>
          <w:rFonts w:ascii="Times New Roman" w:eastAsia="Times New Roman" w:hAnsi="Times New Roman" w:cs="Times New Roman"/>
          <w:sz w:val="24"/>
          <w:szCs w:val="24"/>
          <w:lang w:eastAsia="pt-BR"/>
        </w:rPr>
        <w:t>Nelson Salles</w:t>
      </w:r>
      <w:r w:rsidR="00FA0B10">
        <w:rPr>
          <w:rFonts w:ascii="Times New Roman" w:eastAsia="Times New Roman" w:hAnsi="Times New Roman" w:cs="Times New Roman"/>
          <w:sz w:val="24"/>
          <w:szCs w:val="24"/>
          <w:lang w:eastAsia="pt-BR"/>
        </w:rPr>
        <w:t xml:space="preserve"> </w:t>
      </w:r>
      <w:r w:rsidR="005518D2">
        <w:rPr>
          <w:rFonts w:ascii="Times New Roman" w:eastAsia="Times New Roman" w:hAnsi="Times New Roman" w:cs="Times New Roman"/>
          <w:sz w:val="24"/>
          <w:szCs w:val="24"/>
          <w:lang w:eastAsia="pt-BR"/>
        </w:rPr>
        <w:t>alienar imóvel comum, a validade de contrato de compra e venda</w:t>
      </w:r>
      <w:r w:rsidR="00332674">
        <w:rPr>
          <w:rFonts w:ascii="Times New Roman" w:eastAsia="Times New Roman" w:hAnsi="Times New Roman" w:cs="Times New Roman"/>
          <w:sz w:val="24"/>
          <w:szCs w:val="24"/>
          <w:lang w:eastAsia="pt-BR"/>
        </w:rPr>
        <w:t xml:space="preserve"> contraído por ele e Amanda Nathany Julião da Silva e pretensão de reparação material</w:t>
      </w:r>
      <w:r w:rsidR="008D6F05">
        <w:rPr>
          <w:rFonts w:ascii="Times New Roman" w:eastAsia="Times New Roman" w:hAnsi="Times New Roman" w:cs="Times New Roman"/>
          <w:sz w:val="24"/>
          <w:szCs w:val="24"/>
          <w:lang w:eastAsia="pt-BR"/>
        </w:rPr>
        <w:t xml:space="preserve"> (evento 1.1 </w:t>
      </w:r>
      <w:r w:rsidR="00A4377A">
        <w:rPr>
          <w:rFonts w:ascii="Times New Roman" w:eastAsia="Times New Roman" w:hAnsi="Times New Roman" w:cs="Times New Roman"/>
          <w:sz w:val="24"/>
          <w:szCs w:val="24"/>
          <w:lang w:eastAsia="pt-BR"/>
        </w:rPr>
        <w:t xml:space="preserve">– </w:t>
      </w:r>
      <w:r w:rsidR="008D6F05">
        <w:rPr>
          <w:rFonts w:ascii="Times New Roman" w:eastAsia="Times New Roman" w:hAnsi="Times New Roman" w:cs="Times New Roman"/>
          <w:sz w:val="24"/>
          <w:szCs w:val="24"/>
          <w:lang w:eastAsia="pt-BR"/>
        </w:rPr>
        <w:t>autos de origem).</w:t>
      </w:r>
    </w:p>
    <w:p w14:paraId="636387B0" w14:textId="10CDAA54" w:rsidR="00E45A4C" w:rsidRDefault="00304DC6" w:rsidP="00102749">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A resolução do contrato de compra e venda </w:t>
      </w:r>
      <w:r w:rsidR="008D6F05">
        <w:rPr>
          <w:rFonts w:ascii="Times New Roman" w:eastAsia="Times New Roman" w:hAnsi="Times New Roman" w:cs="Times New Roman"/>
          <w:bCs/>
          <w:sz w:val="24"/>
          <w:szCs w:val="24"/>
          <w:lang w:eastAsia="pt-BR"/>
        </w:rPr>
        <w:t xml:space="preserve">ampliaria </w:t>
      </w:r>
      <w:r w:rsidR="00A4377A">
        <w:rPr>
          <w:rFonts w:ascii="Times New Roman" w:eastAsia="Times New Roman" w:hAnsi="Times New Roman" w:cs="Times New Roman"/>
          <w:bCs/>
          <w:sz w:val="24"/>
          <w:szCs w:val="24"/>
          <w:lang w:eastAsia="pt-BR"/>
        </w:rPr>
        <w:t xml:space="preserve">o escopo objetivo da lide, </w:t>
      </w:r>
      <w:r>
        <w:rPr>
          <w:rFonts w:ascii="Times New Roman" w:eastAsia="Times New Roman" w:hAnsi="Times New Roman" w:cs="Times New Roman"/>
          <w:bCs/>
          <w:sz w:val="24"/>
          <w:szCs w:val="24"/>
          <w:lang w:eastAsia="pt-BR"/>
        </w:rPr>
        <w:t xml:space="preserve">estabilizada </w:t>
      </w:r>
      <w:r w:rsidR="0078741C">
        <w:rPr>
          <w:rFonts w:ascii="Times New Roman" w:eastAsia="Times New Roman" w:hAnsi="Times New Roman" w:cs="Times New Roman"/>
          <w:bCs/>
          <w:sz w:val="24"/>
          <w:szCs w:val="24"/>
          <w:lang w:eastAsia="pt-BR"/>
        </w:rPr>
        <w:t>no momento processual de saneamento e organização.</w:t>
      </w:r>
    </w:p>
    <w:p w14:paraId="6BC840FA" w14:textId="778C06BE" w:rsidR="00F11059" w:rsidRDefault="00F11059" w:rsidP="00102749">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A esse respeito:</w:t>
      </w:r>
    </w:p>
    <w:p w14:paraId="2AF34FCA" w14:textId="77777777" w:rsidR="00303C8B" w:rsidRDefault="00303C8B" w:rsidP="00102749">
      <w:pPr>
        <w:spacing w:before="240" w:after="240" w:line="360" w:lineRule="auto"/>
        <w:ind w:firstLine="709"/>
        <w:jc w:val="both"/>
        <w:rPr>
          <w:rFonts w:ascii="Times New Roman" w:eastAsia="Times New Roman" w:hAnsi="Times New Roman" w:cs="Times New Roman"/>
          <w:bCs/>
          <w:sz w:val="24"/>
          <w:szCs w:val="24"/>
          <w:lang w:eastAsia="pt-BR"/>
        </w:rPr>
      </w:pPr>
    </w:p>
    <w:p w14:paraId="1CB7B49B" w14:textId="37878F48" w:rsidR="00303C8B" w:rsidRDefault="00F11059" w:rsidP="00303C8B">
      <w:pPr>
        <w:spacing w:after="240" w:line="360" w:lineRule="auto"/>
        <w:ind w:left="2268"/>
        <w:jc w:val="both"/>
        <w:rPr>
          <w:rFonts w:ascii="Times New Roman" w:eastAsia="Times New Roman" w:hAnsi="Times New Roman" w:cs="Times New Roman"/>
          <w:sz w:val="20"/>
          <w:szCs w:val="20"/>
          <w:lang w:eastAsia="pt-BR"/>
        </w:rPr>
      </w:pPr>
      <w:r w:rsidRPr="00F11059">
        <w:rPr>
          <w:rFonts w:ascii="Times New Roman" w:eastAsia="Times New Roman" w:hAnsi="Times New Roman" w:cs="Times New Roman"/>
          <w:sz w:val="20"/>
          <w:szCs w:val="20"/>
          <w:lang w:eastAsia="pt-BR"/>
        </w:rPr>
        <w:t>CIVIL. PROCESSUAL CIVIL. AÇÃO DE ALIMENTOS. INDIGNIDADE DA ALIMENTADA. REEXAME DE FATOS E PROVAS. SÚMULA 7/STJ. PAGAMENTO DE 13ª PARCELA DE ALIMENTOS. AUSÊNCIA DE DECISÃO E DE PREQUESTIONAMENTO. SÚMULA 211/STJ. FUNDAMENTAÇÃO RECURSAL DEFICIENTE. SÚMULA 284/STF. MECANISMO DE INTEGRAÇÃO POSTERIOR DO POLO PASSIVO PELOS COOBRIGADOS A PRESTAR ALIMENTOS PREVISTO NO ART. 1.698 DO CÓDIGO CIVIL. LEGITIMADOS A PROVOCAR. EXCLUSIVIDADE DO AUTOR COM PLENA CAPACIDADE PROCESSUAL. CONCORDÂNCIA TÁCITA COM OS ALIMENTOS A SEREM PRESTADOS PELO COOBRIGADO RÉU. POSSIBILIDADE, TODAVIA, DE PROVOCAÇÃO DO RÉU OU DO MINISTÉRIO PÚBLICO QUANDO SE TRATAR DE AUTOR INCAPAZ, SOBRETUDO SE PROCESSUALMENTE REPRESENTADO POR UM DOS COOBRIGADOS OU SE EXISTENTE RISCO AOS INTERESSES DO INCAPAZ. NATUREZA JURÍDICA DO MECANISMO. LITISCONSÓRCIO FACULTATIVO ULTERIOR SIMPLES, COM A PECULIARIDADE DE SER FORMADO NÃO APENAS PELO AUTOR, MAS TAMBÉM PELO RÉU OU PELO MINISTÉRIO PÚBLICO. MOMENTO PROCESSUAL ADEQUADO. FASE POSTULATÓRIA, RESPEITAD</w:t>
      </w:r>
      <w:r w:rsidR="00A532A9">
        <w:rPr>
          <w:rFonts w:ascii="Times New Roman" w:eastAsia="Times New Roman" w:hAnsi="Times New Roman" w:cs="Times New Roman"/>
          <w:sz w:val="20"/>
          <w:szCs w:val="20"/>
          <w:lang w:eastAsia="pt-BR"/>
        </w:rPr>
        <w:t>A</w:t>
      </w:r>
      <w:r w:rsidRPr="00F11059">
        <w:rPr>
          <w:rFonts w:ascii="Times New Roman" w:eastAsia="Times New Roman" w:hAnsi="Times New Roman" w:cs="Times New Roman"/>
          <w:sz w:val="20"/>
          <w:szCs w:val="20"/>
          <w:lang w:eastAsia="pt-BR"/>
        </w:rPr>
        <w:t xml:space="preserve"> A ESTABILIZAÇÃO OBJETIVA E SUBJETIVA DA LIDE APÓS O SANEAMENTO E ORGANIZAÇÃO DO PROCESSO.</w:t>
      </w:r>
      <w:r w:rsidR="00303C8B">
        <w:rPr>
          <w:rFonts w:ascii="Times New Roman" w:eastAsia="Times New Roman" w:hAnsi="Times New Roman" w:cs="Times New Roman"/>
          <w:sz w:val="20"/>
          <w:szCs w:val="20"/>
          <w:lang w:eastAsia="pt-BR"/>
        </w:rPr>
        <w:t xml:space="preserve"> </w:t>
      </w:r>
      <w:r w:rsidRPr="00F11059">
        <w:rPr>
          <w:rFonts w:ascii="Times New Roman" w:eastAsia="Times New Roman" w:hAnsi="Times New Roman" w:cs="Times New Roman"/>
          <w:sz w:val="20"/>
          <w:szCs w:val="20"/>
          <w:lang w:eastAsia="pt-BR"/>
        </w:rPr>
        <w:t xml:space="preserve">[...] </w:t>
      </w:r>
      <w:r w:rsidRPr="00F11059">
        <w:rPr>
          <w:rFonts w:ascii="Times New Roman" w:eastAsia="Times New Roman" w:hAnsi="Times New Roman" w:cs="Times New Roman"/>
          <w:b/>
          <w:bCs/>
          <w:sz w:val="20"/>
          <w:szCs w:val="20"/>
          <w:lang w:eastAsia="pt-BR"/>
        </w:rPr>
        <w:t>10- No que tange ao momento processual adequado para a integração do polo passivo pelos coobrigados, cabe ao autor requerê-lo em sua réplica à contestação; ao réu, em sua contestação; e ao Ministério Público, após a prática dos referidos atos processuais pelas partes, respeitada, em todas as hipóteses, a impossibilidade de ampliação objetiva ou subjetiva da lide após o saneamento e organização do processo, em homenagem ao contraditório, à ampla defesa e à razoável duração do processo.</w:t>
      </w:r>
      <w:r w:rsidR="00303C8B">
        <w:rPr>
          <w:rFonts w:ascii="Times New Roman" w:eastAsia="Times New Roman" w:hAnsi="Times New Roman" w:cs="Times New Roman"/>
          <w:b/>
          <w:bCs/>
          <w:sz w:val="20"/>
          <w:szCs w:val="20"/>
          <w:lang w:eastAsia="pt-BR"/>
        </w:rPr>
        <w:t xml:space="preserve"> </w:t>
      </w:r>
      <w:r w:rsidRPr="00F11059">
        <w:rPr>
          <w:rFonts w:ascii="Times New Roman" w:eastAsia="Times New Roman" w:hAnsi="Times New Roman" w:cs="Times New Roman"/>
          <w:sz w:val="20"/>
          <w:szCs w:val="20"/>
          <w:lang w:eastAsia="pt-BR"/>
        </w:rPr>
        <w:t>[...] 12- Recurso especial parcialmente conhecido e, nessa extensão, desprovido, por fundamentação distinta.</w:t>
      </w:r>
      <w:r w:rsidR="00303C8B">
        <w:rPr>
          <w:rFonts w:ascii="Times New Roman" w:eastAsia="Times New Roman" w:hAnsi="Times New Roman" w:cs="Times New Roman"/>
          <w:sz w:val="20"/>
          <w:szCs w:val="20"/>
          <w:lang w:eastAsia="pt-BR"/>
        </w:rPr>
        <w:t xml:space="preserve"> </w:t>
      </w:r>
      <w:r w:rsidRPr="00F11059">
        <w:rPr>
          <w:rFonts w:ascii="Times New Roman" w:eastAsia="Times New Roman" w:hAnsi="Times New Roman" w:cs="Times New Roman"/>
          <w:sz w:val="20"/>
          <w:szCs w:val="20"/>
          <w:lang w:eastAsia="pt-BR"/>
        </w:rPr>
        <w:t>(</w:t>
      </w:r>
      <w:r w:rsidR="00303C8B">
        <w:rPr>
          <w:rFonts w:ascii="Times New Roman" w:eastAsia="Times New Roman" w:hAnsi="Times New Roman" w:cs="Times New Roman"/>
          <w:sz w:val="20"/>
          <w:szCs w:val="20"/>
          <w:lang w:eastAsia="pt-BR"/>
        </w:rPr>
        <w:t xml:space="preserve">STJ. Terceira Turma. Relatora: Ministra Nancy Andrighi. </w:t>
      </w:r>
      <w:r w:rsidRPr="00F11059">
        <w:rPr>
          <w:rFonts w:ascii="Times New Roman" w:eastAsia="Times New Roman" w:hAnsi="Times New Roman" w:cs="Times New Roman"/>
          <w:sz w:val="20"/>
          <w:szCs w:val="20"/>
          <w:lang w:eastAsia="pt-BR"/>
        </w:rPr>
        <w:t>REsp n. 1.715.438/RS</w:t>
      </w:r>
      <w:r w:rsidR="00303C8B">
        <w:rPr>
          <w:rFonts w:ascii="Times New Roman" w:eastAsia="Times New Roman" w:hAnsi="Times New Roman" w:cs="Times New Roman"/>
          <w:sz w:val="20"/>
          <w:szCs w:val="20"/>
          <w:lang w:eastAsia="pt-BR"/>
        </w:rPr>
        <w:t>. Data de julgamento: 13-11-2018. Data de publicação: 21-11-2018).</w:t>
      </w:r>
    </w:p>
    <w:p w14:paraId="1DD883B5" w14:textId="77777777" w:rsidR="00303C8B" w:rsidRDefault="00303C8B" w:rsidP="00B30D60">
      <w:pPr>
        <w:spacing w:before="240" w:after="240" w:line="360" w:lineRule="auto"/>
        <w:ind w:firstLine="709"/>
        <w:jc w:val="both"/>
        <w:rPr>
          <w:rFonts w:ascii="Times New Roman" w:eastAsia="Times New Roman" w:hAnsi="Times New Roman" w:cs="Times New Roman"/>
          <w:sz w:val="24"/>
          <w:szCs w:val="24"/>
          <w:lang w:eastAsia="pt-BR"/>
        </w:rPr>
      </w:pPr>
    </w:p>
    <w:p w14:paraId="03872630" w14:textId="277A6745" w:rsidR="00E86099" w:rsidRDefault="00A058C8" w:rsidP="00B30D60">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Constata-se, portanto, </w:t>
      </w:r>
      <w:r w:rsidR="00E86099">
        <w:rPr>
          <w:rFonts w:ascii="Times New Roman" w:eastAsia="Times New Roman" w:hAnsi="Times New Roman" w:cs="Times New Roman"/>
          <w:sz w:val="24"/>
          <w:szCs w:val="24"/>
          <w:lang w:eastAsia="pt-BR"/>
        </w:rPr>
        <w:t>evidente propósito de rediscussão da matéria por via oblíqua, o que excede o estreito perímetro cognitivo dos embargos de declaração.</w:t>
      </w:r>
    </w:p>
    <w:p w14:paraId="4ACF0C2D" w14:textId="6F387C8B" w:rsidR="00E86099" w:rsidRDefault="00A058C8" w:rsidP="00B30D60">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Nessas condições, não se excogita o acolhimento do repto.</w:t>
      </w:r>
    </w:p>
    <w:p w14:paraId="6406E859" w14:textId="77777777" w:rsidR="00B26779" w:rsidRDefault="00B26779" w:rsidP="004C0DB6">
      <w:pPr>
        <w:spacing w:before="240" w:after="240" w:line="360" w:lineRule="auto"/>
        <w:ind w:firstLine="709"/>
        <w:jc w:val="both"/>
        <w:rPr>
          <w:rFonts w:ascii="Times New Roman" w:eastAsia="Times New Roman" w:hAnsi="Times New Roman" w:cs="Times New Roman"/>
          <w:sz w:val="24"/>
          <w:szCs w:val="24"/>
          <w:lang w:eastAsia="pt-BR"/>
        </w:rPr>
      </w:pPr>
    </w:p>
    <w:p w14:paraId="63557C45" w14:textId="61C38956" w:rsidR="002E4C4B" w:rsidRDefault="002E4C4B" w:rsidP="00E713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w:t>
      </w:r>
      <w:r w:rsidR="00501184">
        <w:rPr>
          <w:rFonts w:ascii="Times New Roman" w:eastAsia="Times New Roman" w:hAnsi="Times New Roman" w:cs="Times New Roman"/>
          <w:sz w:val="24"/>
          <w:szCs w:val="24"/>
          <w:lang w:eastAsia="pt-BR"/>
        </w:rPr>
        <w:t>V</w:t>
      </w:r>
      <w:r>
        <w:rPr>
          <w:rFonts w:ascii="Times New Roman" w:eastAsia="Times New Roman" w:hAnsi="Times New Roman" w:cs="Times New Roman"/>
          <w:sz w:val="24"/>
          <w:szCs w:val="24"/>
          <w:lang w:eastAsia="pt-BR"/>
        </w:rPr>
        <w:t xml:space="preserve"> </w:t>
      </w:r>
      <w:r w:rsidR="005028C4">
        <w:rPr>
          <w:rFonts w:ascii="Times New Roman" w:eastAsia="Times New Roman" w:hAnsi="Times New Roman" w:cs="Times New Roman"/>
          <w:sz w:val="24"/>
          <w:szCs w:val="24"/>
          <w:lang w:eastAsia="pt-BR"/>
        </w:rPr>
        <w:t>–</w:t>
      </w:r>
      <w:r>
        <w:rPr>
          <w:rFonts w:ascii="Times New Roman" w:eastAsia="Times New Roman" w:hAnsi="Times New Roman" w:cs="Times New Roman"/>
          <w:sz w:val="24"/>
          <w:szCs w:val="24"/>
          <w:lang w:eastAsia="pt-BR"/>
        </w:rPr>
        <w:t xml:space="preserve"> DA CONCLUSÃO</w:t>
      </w:r>
    </w:p>
    <w:p w14:paraId="423A1C47" w14:textId="793F0FAF" w:rsidR="00D30244" w:rsidRDefault="00D30244" w:rsidP="00D3024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Pela conjugação das premissas alinhavadas, a conclusão a ser adotada consiste em conhecer e negar provimento ao recurso.</w:t>
      </w:r>
    </w:p>
    <w:p w14:paraId="4A5BACDB" w14:textId="77777777" w:rsidR="00D30244" w:rsidRDefault="00D30244" w:rsidP="00D3024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como voto.</w:t>
      </w:r>
    </w:p>
    <w:p w14:paraId="2F25F3EC" w14:textId="77777777" w:rsidR="007D706F" w:rsidRDefault="007D706F" w:rsidP="00E71385">
      <w:pPr>
        <w:spacing w:before="240" w:after="240" w:line="360" w:lineRule="auto"/>
        <w:ind w:firstLine="709"/>
        <w:jc w:val="both"/>
        <w:rPr>
          <w:rFonts w:ascii="Times New Roman" w:eastAsia="Times New Roman" w:hAnsi="Times New Roman" w:cs="Times New Roman"/>
          <w:sz w:val="24"/>
          <w:szCs w:val="24"/>
          <w:lang w:eastAsia="pt-BR"/>
        </w:rPr>
      </w:pPr>
    </w:p>
    <w:p w14:paraId="72B5B889" w14:textId="6D70CA86" w:rsidR="003835C9" w:rsidRPr="002E4C4B" w:rsidRDefault="00FB27C5" w:rsidP="003F76F3">
      <w:pPr>
        <w:spacing w:before="240" w:after="240" w:line="360" w:lineRule="auto"/>
        <w:ind w:firstLine="709"/>
        <w:jc w:val="both"/>
        <w:rPr>
          <w:rFonts w:ascii="Times New Roman" w:eastAsia="Times New Roman" w:hAnsi="Times New Roman" w:cs="Times New Roman"/>
          <w:b/>
          <w:sz w:val="24"/>
          <w:szCs w:val="24"/>
          <w:lang w:eastAsia="pt-BR"/>
        </w:rPr>
      </w:pPr>
      <w:r w:rsidRPr="002E4C4B">
        <w:rPr>
          <w:rFonts w:ascii="Times New Roman" w:hAnsi="Times New Roman" w:cs="Times New Roman"/>
          <w:b/>
          <w:sz w:val="24"/>
          <w:szCs w:val="24"/>
        </w:rPr>
        <w:t xml:space="preserve">III </w:t>
      </w:r>
      <w:r w:rsidR="003F76F3" w:rsidRPr="002E4C4B">
        <w:rPr>
          <w:rFonts w:ascii="Times New Roman" w:hAnsi="Times New Roman" w:cs="Times New Roman"/>
          <w:b/>
          <w:sz w:val="24"/>
          <w:szCs w:val="24"/>
        </w:rPr>
        <w:t>–</w:t>
      </w:r>
      <w:r w:rsidRPr="002E4C4B">
        <w:rPr>
          <w:rFonts w:ascii="Times New Roman" w:hAnsi="Times New Roman" w:cs="Times New Roman"/>
          <w:b/>
          <w:sz w:val="24"/>
          <w:szCs w:val="24"/>
        </w:rPr>
        <w:t xml:space="preserve"> DECISÃO</w:t>
      </w:r>
    </w:p>
    <w:sectPr w:rsidR="003835C9" w:rsidRPr="002E4C4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E5833" w14:textId="77777777" w:rsidR="007520CA" w:rsidRDefault="007520CA" w:rsidP="00647C71">
      <w:pPr>
        <w:spacing w:after="0" w:line="240" w:lineRule="auto"/>
      </w:pPr>
      <w:r>
        <w:separator/>
      </w:r>
    </w:p>
  </w:endnote>
  <w:endnote w:type="continuationSeparator" w:id="0">
    <w:p w14:paraId="124D2001" w14:textId="77777777" w:rsidR="007520CA" w:rsidRDefault="007520CA" w:rsidP="0064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1CEFA" w14:textId="77777777" w:rsidR="007520CA" w:rsidRDefault="007520CA" w:rsidP="00647C71">
      <w:pPr>
        <w:spacing w:after="0" w:line="240" w:lineRule="auto"/>
      </w:pPr>
      <w:r>
        <w:separator/>
      </w:r>
    </w:p>
  </w:footnote>
  <w:footnote w:type="continuationSeparator" w:id="0">
    <w:p w14:paraId="3046229A" w14:textId="77777777" w:rsidR="007520CA" w:rsidRDefault="007520CA" w:rsidP="00647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D39FC"/>
    <w:multiLevelType w:val="hybridMultilevel"/>
    <w:tmpl w:val="C9101CC0"/>
    <w:lvl w:ilvl="0" w:tplc="AED834C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27674289"/>
    <w:multiLevelType w:val="hybridMultilevel"/>
    <w:tmpl w:val="C2CA7A80"/>
    <w:lvl w:ilvl="0" w:tplc="D13EC7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8CE22A9"/>
    <w:multiLevelType w:val="hybridMultilevel"/>
    <w:tmpl w:val="92122988"/>
    <w:lvl w:ilvl="0" w:tplc="0560915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2F4F15E2"/>
    <w:multiLevelType w:val="hybridMultilevel"/>
    <w:tmpl w:val="F6F80888"/>
    <w:lvl w:ilvl="0" w:tplc="F3A24B8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62CC7D4C"/>
    <w:multiLevelType w:val="hybridMultilevel"/>
    <w:tmpl w:val="A98A9ECC"/>
    <w:lvl w:ilvl="0" w:tplc="4F2264F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640E335C"/>
    <w:multiLevelType w:val="hybridMultilevel"/>
    <w:tmpl w:val="43AEDE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4CD4FD4"/>
    <w:multiLevelType w:val="hybridMultilevel"/>
    <w:tmpl w:val="3800D9C4"/>
    <w:lvl w:ilvl="0" w:tplc="CDA6F1B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6B166DDA"/>
    <w:multiLevelType w:val="hybridMultilevel"/>
    <w:tmpl w:val="58788A62"/>
    <w:lvl w:ilvl="0" w:tplc="1684321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757A0CA1"/>
    <w:multiLevelType w:val="hybridMultilevel"/>
    <w:tmpl w:val="B49A0420"/>
    <w:lvl w:ilvl="0" w:tplc="9FBEC87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1295214825">
    <w:abstractNumId w:val="1"/>
  </w:num>
  <w:num w:numId="2" w16cid:durableId="1809395550">
    <w:abstractNumId w:val="6"/>
  </w:num>
  <w:num w:numId="3" w16cid:durableId="1978492850">
    <w:abstractNumId w:val="5"/>
  </w:num>
  <w:num w:numId="4" w16cid:durableId="1890416001">
    <w:abstractNumId w:val="4"/>
  </w:num>
  <w:num w:numId="5" w16cid:durableId="1044672355">
    <w:abstractNumId w:val="3"/>
  </w:num>
  <w:num w:numId="6" w16cid:durableId="808397163">
    <w:abstractNumId w:val="0"/>
  </w:num>
  <w:num w:numId="7" w16cid:durableId="1224829788">
    <w:abstractNumId w:val="7"/>
  </w:num>
  <w:num w:numId="8" w16cid:durableId="1296644228">
    <w:abstractNumId w:val="8"/>
  </w:num>
  <w:num w:numId="9" w16cid:durableId="901231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926"/>
    <w:rsid w:val="00001611"/>
    <w:rsid w:val="00004016"/>
    <w:rsid w:val="00007C57"/>
    <w:rsid w:val="00010D7D"/>
    <w:rsid w:val="000160BD"/>
    <w:rsid w:val="000167D1"/>
    <w:rsid w:val="00020043"/>
    <w:rsid w:val="000200F3"/>
    <w:rsid w:val="0002152E"/>
    <w:rsid w:val="00022B72"/>
    <w:rsid w:val="00023A98"/>
    <w:rsid w:val="00026881"/>
    <w:rsid w:val="000306E0"/>
    <w:rsid w:val="00031211"/>
    <w:rsid w:val="00032A45"/>
    <w:rsid w:val="000374DD"/>
    <w:rsid w:val="0004000E"/>
    <w:rsid w:val="00045A03"/>
    <w:rsid w:val="00046137"/>
    <w:rsid w:val="00051782"/>
    <w:rsid w:val="000536CB"/>
    <w:rsid w:val="00054451"/>
    <w:rsid w:val="000574CD"/>
    <w:rsid w:val="000578C0"/>
    <w:rsid w:val="000606BA"/>
    <w:rsid w:val="0006301E"/>
    <w:rsid w:val="0006738E"/>
    <w:rsid w:val="00070921"/>
    <w:rsid w:val="00073449"/>
    <w:rsid w:val="00074A6B"/>
    <w:rsid w:val="000753E6"/>
    <w:rsid w:val="00075CD3"/>
    <w:rsid w:val="000771EB"/>
    <w:rsid w:val="00082633"/>
    <w:rsid w:val="0009029D"/>
    <w:rsid w:val="000943C5"/>
    <w:rsid w:val="000A1580"/>
    <w:rsid w:val="000A1845"/>
    <w:rsid w:val="000A1AFC"/>
    <w:rsid w:val="000A2939"/>
    <w:rsid w:val="000A46D4"/>
    <w:rsid w:val="000A50E5"/>
    <w:rsid w:val="000B0707"/>
    <w:rsid w:val="000B081D"/>
    <w:rsid w:val="000B0F0C"/>
    <w:rsid w:val="000B1A3F"/>
    <w:rsid w:val="000B5F0E"/>
    <w:rsid w:val="000B669D"/>
    <w:rsid w:val="000B6B2B"/>
    <w:rsid w:val="000C15F3"/>
    <w:rsid w:val="000C2EF9"/>
    <w:rsid w:val="000C4101"/>
    <w:rsid w:val="000C4F21"/>
    <w:rsid w:val="000C639F"/>
    <w:rsid w:val="000C6634"/>
    <w:rsid w:val="000C6FB3"/>
    <w:rsid w:val="000D059A"/>
    <w:rsid w:val="000D12AA"/>
    <w:rsid w:val="000D324F"/>
    <w:rsid w:val="000D49BF"/>
    <w:rsid w:val="000D5CD1"/>
    <w:rsid w:val="000D62A2"/>
    <w:rsid w:val="000E1FC1"/>
    <w:rsid w:val="000E2F5C"/>
    <w:rsid w:val="000E3D0A"/>
    <w:rsid w:val="000E6E40"/>
    <w:rsid w:val="000F06C1"/>
    <w:rsid w:val="000F1C40"/>
    <w:rsid w:val="000F2C6A"/>
    <w:rsid w:val="001016BB"/>
    <w:rsid w:val="00101E92"/>
    <w:rsid w:val="00102749"/>
    <w:rsid w:val="001038D8"/>
    <w:rsid w:val="0012073D"/>
    <w:rsid w:val="0012195B"/>
    <w:rsid w:val="0012372F"/>
    <w:rsid w:val="00126791"/>
    <w:rsid w:val="00126C21"/>
    <w:rsid w:val="001302DC"/>
    <w:rsid w:val="00136157"/>
    <w:rsid w:val="00136E48"/>
    <w:rsid w:val="00137B9B"/>
    <w:rsid w:val="001441FD"/>
    <w:rsid w:val="00144B56"/>
    <w:rsid w:val="001505AA"/>
    <w:rsid w:val="00151BE6"/>
    <w:rsid w:val="001539AF"/>
    <w:rsid w:val="00153CFF"/>
    <w:rsid w:val="00156C0C"/>
    <w:rsid w:val="0016094B"/>
    <w:rsid w:val="00160FA5"/>
    <w:rsid w:val="00166E6B"/>
    <w:rsid w:val="00167533"/>
    <w:rsid w:val="00167F69"/>
    <w:rsid w:val="001757B6"/>
    <w:rsid w:val="0018045A"/>
    <w:rsid w:val="00181DD2"/>
    <w:rsid w:val="001852E6"/>
    <w:rsid w:val="00185B6E"/>
    <w:rsid w:val="00186B58"/>
    <w:rsid w:val="00187157"/>
    <w:rsid w:val="00190005"/>
    <w:rsid w:val="001911F4"/>
    <w:rsid w:val="00191D4B"/>
    <w:rsid w:val="001920B4"/>
    <w:rsid w:val="001A011D"/>
    <w:rsid w:val="001A23D6"/>
    <w:rsid w:val="001A29B1"/>
    <w:rsid w:val="001A468D"/>
    <w:rsid w:val="001A4CA7"/>
    <w:rsid w:val="001A632C"/>
    <w:rsid w:val="001B3321"/>
    <w:rsid w:val="001B37AD"/>
    <w:rsid w:val="001B4800"/>
    <w:rsid w:val="001B73BB"/>
    <w:rsid w:val="001C239C"/>
    <w:rsid w:val="001C317D"/>
    <w:rsid w:val="001C39D3"/>
    <w:rsid w:val="001C426A"/>
    <w:rsid w:val="001D0BF0"/>
    <w:rsid w:val="001D13E2"/>
    <w:rsid w:val="001D5521"/>
    <w:rsid w:val="001E01CC"/>
    <w:rsid w:val="001E2D26"/>
    <w:rsid w:val="001E5BD5"/>
    <w:rsid w:val="001E61D7"/>
    <w:rsid w:val="001E626B"/>
    <w:rsid w:val="001E6FA2"/>
    <w:rsid w:val="001F0BD9"/>
    <w:rsid w:val="001F26A9"/>
    <w:rsid w:val="001F4679"/>
    <w:rsid w:val="001F5639"/>
    <w:rsid w:val="001F62E9"/>
    <w:rsid w:val="00201354"/>
    <w:rsid w:val="00205BD3"/>
    <w:rsid w:val="002071DA"/>
    <w:rsid w:val="00210873"/>
    <w:rsid w:val="0021113B"/>
    <w:rsid w:val="0021140D"/>
    <w:rsid w:val="00211FD6"/>
    <w:rsid w:val="00212A6C"/>
    <w:rsid w:val="00213468"/>
    <w:rsid w:val="00213519"/>
    <w:rsid w:val="0021477B"/>
    <w:rsid w:val="00214D0A"/>
    <w:rsid w:val="00214D4B"/>
    <w:rsid w:val="00215E32"/>
    <w:rsid w:val="00222CD8"/>
    <w:rsid w:val="00223904"/>
    <w:rsid w:val="0022498C"/>
    <w:rsid w:val="00225246"/>
    <w:rsid w:val="00226F44"/>
    <w:rsid w:val="002275AF"/>
    <w:rsid w:val="00227853"/>
    <w:rsid w:val="0023019E"/>
    <w:rsid w:val="0023289F"/>
    <w:rsid w:val="002372A2"/>
    <w:rsid w:val="002438A8"/>
    <w:rsid w:val="00250B16"/>
    <w:rsid w:val="00250CAB"/>
    <w:rsid w:val="00251BE7"/>
    <w:rsid w:val="00253657"/>
    <w:rsid w:val="00254CD0"/>
    <w:rsid w:val="00260675"/>
    <w:rsid w:val="002654A3"/>
    <w:rsid w:val="002665C0"/>
    <w:rsid w:val="002703E3"/>
    <w:rsid w:val="00271947"/>
    <w:rsid w:val="0027299B"/>
    <w:rsid w:val="00273C54"/>
    <w:rsid w:val="002752D1"/>
    <w:rsid w:val="002757AA"/>
    <w:rsid w:val="00284357"/>
    <w:rsid w:val="002851CC"/>
    <w:rsid w:val="002856EA"/>
    <w:rsid w:val="00293E14"/>
    <w:rsid w:val="00294EBC"/>
    <w:rsid w:val="002A270B"/>
    <w:rsid w:val="002A4117"/>
    <w:rsid w:val="002A7461"/>
    <w:rsid w:val="002A798A"/>
    <w:rsid w:val="002B370A"/>
    <w:rsid w:val="002B48B3"/>
    <w:rsid w:val="002B7B82"/>
    <w:rsid w:val="002C0F37"/>
    <w:rsid w:val="002C367C"/>
    <w:rsid w:val="002C62E9"/>
    <w:rsid w:val="002D03B9"/>
    <w:rsid w:val="002D08E9"/>
    <w:rsid w:val="002D2306"/>
    <w:rsid w:val="002D2AC8"/>
    <w:rsid w:val="002D4EB8"/>
    <w:rsid w:val="002D4FAD"/>
    <w:rsid w:val="002D651A"/>
    <w:rsid w:val="002E1565"/>
    <w:rsid w:val="002E41AA"/>
    <w:rsid w:val="002E433E"/>
    <w:rsid w:val="002E4C4B"/>
    <w:rsid w:val="002E64B7"/>
    <w:rsid w:val="002E7B89"/>
    <w:rsid w:val="002E7C11"/>
    <w:rsid w:val="002F0485"/>
    <w:rsid w:val="002F0F5B"/>
    <w:rsid w:val="002F2DAD"/>
    <w:rsid w:val="002F35CF"/>
    <w:rsid w:val="002F37D9"/>
    <w:rsid w:val="002F52AF"/>
    <w:rsid w:val="002F78A8"/>
    <w:rsid w:val="00303C8B"/>
    <w:rsid w:val="00304DC6"/>
    <w:rsid w:val="00304E90"/>
    <w:rsid w:val="00305348"/>
    <w:rsid w:val="00305698"/>
    <w:rsid w:val="003075FC"/>
    <w:rsid w:val="00322256"/>
    <w:rsid w:val="0032286D"/>
    <w:rsid w:val="00323689"/>
    <w:rsid w:val="00326B5A"/>
    <w:rsid w:val="00327618"/>
    <w:rsid w:val="00331431"/>
    <w:rsid w:val="00331C92"/>
    <w:rsid w:val="00332674"/>
    <w:rsid w:val="00332DED"/>
    <w:rsid w:val="00332E93"/>
    <w:rsid w:val="00334726"/>
    <w:rsid w:val="00337B87"/>
    <w:rsid w:val="003415A6"/>
    <w:rsid w:val="00341797"/>
    <w:rsid w:val="00344252"/>
    <w:rsid w:val="00346554"/>
    <w:rsid w:val="00350DFE"/>
    <w:rsid w:val="00351EBD"/>
    <w:rsid w:val="00352D21"/>
    <w:rsid w:val="00352F11"/>
    <w:rsid w:val="00354D9B"/>
    <w:rsid w:val="00360D1A"/>
    <w:rsid w:val="0036114E"/>
    <w:rsid w:val="00361C7B"/>
    <w:rsid w:val="00364B3D"/>
    <w:rsid w:val="00365126"/>
    <w:rsid w:val="00365AAA"/>
    <w:rsid w:val="0036786F"/>
    <w:rsid w:val="00375DC5"/>
    <w:rsid w:val="00376120"/>
    <w:rsid w:val="00377569"/>
    <w:rsid w:val="00380F70"/>
    <w:rsid w:val="00382463"/>
    <w:rsid w:val="003835C9"/>
    <w:rsid w:val="003A3857"/>
    <w:rsid w:val="003A43F7"/>
    <w:rsid w:val="003A5EEC"/>
    <w:rsid w:val="003B417F"/>
    <w:rsid w:val="003B44F2"/>
    <w:rsid w:val="003B513B"/>
    <w:rsid w:val="003C2E6F"/>
    <w:rsid w:val="003C4068"/>
    <w:rsid w:val="003C6700"/>
    <w:rsid w:val="003C7B87"/>
    <w:rsid w:val="003C7E9F"/>
    <w:rsid w:val="003D1E54"/>
    <w:rsid w:val="003D5B12"/>
    <w:rsid w:val="003E0B11"/>
    <w:rsid w:val="003E2450"/>
    <w:rsid w:val="003E4448"/>
    <w:rsid w:val="003E4A0D"/>
    <w:rsid w:val="003E6570"/>
    <w:rsid w:val="003F0171"/>
    <w:rsid w:val="003F1A2D"/>
    <w:rsid w:val="003F517F"/>
    <w:rsid w:val="003F6DB4"/>
    <w:rsid w:val="003F76F3"/>
    <w:rsid w:val="00401C24"/>
    <w:rsid w:val="00402C08"/>
    <w:rsid w:val="00406AFA"/>
    <w:rsid w:val="00406FD8"/>
    <w:rsid w:val="00410366"/>
    <w:rsid w:val="00412E7C"/>
    <w:rsid w:val="00413AFE"/>
    <w:rsid w:val="00414189"/>
    <w:rsid w:val="00414571"/>
    <w:rsid w:val="00415A21"/>
    <w:rsid w:val="004178DE"/>
    <w:rsid w:val="004219AA"/>
    <w:rsid w:val="0042663A"/>
    <w:rsid w:val="00431565"/>
    <w:rsid w:val="004327DF"/>
    <w:rsid w:val="0043454B"/>
    <w:rsid w:val="004350B9"/>
    <w:rsid w:val="0043568B"/>
    <w:rsid w:val="004365EC"/>
    <w:rsid w:val="004370D3"/>
    <w:rsid w:val="0043718D"/>
    <w:rsid w:val="004374B0"/>
    <w:rsid w:val="00440350"/>
    <w:rsid w:val="00441073"/>
    <w:rsid w:val="0044206F"/>
    <w:rsid w:val="00444E6D"/>
    <w:rsid w:val="00444E7B"/>
    <w:rsid w:val="004452B0"/>
    <w:rsid w:val="00447BC0"/>
    <w:rsid w:val="004512FF"/>
    <w:rsid w:val="00453CA3"/>
    <w:rsid w:val="0046228C"/>
    <w:rsid w:val="0046475D"/>
    <w:rsid w:val="00467880"/>
    <w:rsid w:val="0046793C"/>
    <w:rsid w:val="00471D31"/>
    <w:rsid w:val="00481F56"/>
    <w:rsid w:val="0048276C"/>
    <w:rsid w:val="0048354C"/>
    <w:rsid w:val="00483D1A"/>
    <w:rsid w:val="00483F6A"/>
    <w:rsid w:val="004848C3"/>
    <w:rsid w:val="00490528"/>
    <w:rsid w:val="00491A12"/>
    <w:rsid w:val="00493D6A"/>
    <w:rsid w:val="00494FF8"/>
    <w:rsid w:val="00497A76"/>
    <w:rsid w:val="004A1054"/>
    <w:rsid w:val="004A155F"/>
    <w:rsid w:val="004A2186"/>
    <w:rsid w:val="004A3F05"/>
    <w:rsid w:val="004A43EE"/>
    <w:rsid w:val="004A7651"/>
    <w:rsid w:val="004B3805"/>
    <w:rsid w:val="004B43C9"/>
    <w:rsid w:val="004C0C0E"/>
    <w:rsid w:val="004C0DB6"/>
    <w:rsid w:val="004C1629"/>
    <w:rsid w:val="004C3883"/>
    <w:rsid w:val="004C39FC"/>
    <w:rsid w:val="004C3DE0"/>
    <w:rsid w:val="004C5BD8"/>
    <w:rsid w:val="004C6221"/>
    <w:rsid w:val="004C63D5"/>
    <w:rsid w:val="004C6EFE"/>
    <w:rsid w:val="004D3620"/>
    <w:rsid w:val="004D40E3"/>
    <w:rsid w:val="004D6655"/>
    <w:rsid w:val="004D66E5"/>
    <w:rsid w:val="004D7A88"/>
    <w:rsid w:val="004E148A"/>
    <w:rsid w:val="004E1BC4"/>
    <w:rsid w:val="004E2A9D"/>
    <w:rsid w:val="004E3311"/>
    <w:rsid w:val="004E388C"/>
    <w:rsid w:val="004E3E92"/>
    <w:rsid w:val="004E4803"/>
    <w:rsid w:val="004E5661"/>
    <w:rsid w:val="004F0B40"/>
    <w:rsid w:val="004F1087"/>
    <w:rsid w:val="004F3F82"/>
    <w:rsid w:val="00501184"/>
    <w:rsid w:val="005028C4"/>
    <w:rsid w:val="00502B69"/>
    <w:rsid w:val="005071BC"/>
    <w:rsid w:val="00515AF4"/>
    <w:rsid w:val="00516221"/>
    <w:rsid w:val="005208DF"/>
    <w:rsid w:val="005215A8"/>
    <w:rsid w:val="00527558"/>
    <w:rsid w:val="00527D32"/>
    <w:rsid w:val="00527F2B"/>
    <w:rsid w:val="005312AE"/>
    <w:rsid w:val="00531EC3"/>
    <w:rsid w:val="00532507"/>
    <w:rsid w:val="00532BB4"/>
    <w:rsid w:val="005336F8"/>
    <w:rsid w:val="0053637D"/>
    <w:rsid w:val="00537320"/>
    <w:rsid w:val="00540C62"/>
    <w:rsid w:val="00540E07"/>
    <w:rsid w:val="00545DA9"/>
    <w:rsid w:val="00550DA1"/>
    <w:rsid w:val="0055170F"/>
    <w:rsid w:val="0055181C"/>
    <w:rsid w:val="005518D2"/>
    <w:rsid w:val="005537F4"/>
    <w:rsid w:val="00554A51"/>
    <w:rsid w:val="00555B13"/>
    <w:rsid w:val="00557856"/>
    <w:rsid w:val="00563161"/>
    <w:rsid w:val="0056440E"/>
    <w:rsid w:val="005659B7"/>
    <w:rsid w:val="005665F3"/>
    <w:rsid w:val="00570C58"/>
    <w:rsid w:val="00570DAC"/>
    <w:rsid w:val="00570FF5"/>
    <w:rsid w:val="00571AE0"/>
    <w:rsid w:val="00571E51"/>
    <w:rsid w:val="005759B9"/>
    <w:rsid w:val="00577C81"/>
    <w:rsid w:val="0058127A"/>
    <w:rsid w:val="00583AAE"/>
    <w:rsid w:val="00584529"/>
    <w:rsid w:val="00591A5B"/>
    <w:rsid w:val="005940EE"/>
    <w:rsid w:val="005A15C3"/>
    <w:rsid w:val="005A2C1B"/>
    <w:rsid w:val="005C4F6A"/>
    <w:rsid w:val="005C5CBE"/>
    <w:rsid w:val="005D1A25"/>
    <w:rsid w:val="005D255C"/>
    <w:rsid w:val="005D3C95"/>
    <w:rsid w:val="005D4C96"/>
    <w:rsid w:val="005D737F"/>
    <w:rsid w:val="005E0749"/>
    <w:rsid w:val="005E09DC"/>
    <w:rsid w:val="005E2A5E"/>
    <w:rsid w:val="005E3E78"/>
    <w:rsid w:val="005E5598"/>
    <w:rsid w:val="005E6978"/>
    <w:rsid w:val="005F0055"/>
    <w:rsid w:val="005F40A5"/>
    <w:rsid w:val="005F484B"/>
    <w:rsid w:val="005F61A6"/>
    <w:rsid w:val="006005E6"/>
    <w:rsid w:val="00604394"/>
    <w:rsid w:val="00604421"/>
    <w:rsid w:val="00606772"/>
    <w:rsid w:val="00606B55"/>
    <w:rsid w:val="00611824"/>
    <w:rsid w:val="00611AEA"/>
    <w:rsid w:val="00612334"/>
    <w:rsid w:val="006143E3"/>
    <w:rsid w:val="006145C8"/>
    <w:rsid w:val="00620786"/>
    <w:rsid w:val="00623937"/>
    <w:rsid w:val="006244B8"/>
    <w:rsid w:val="00624F35"/>
    <w:rsid w:val="006264DC"/>
    <w:rsid w:val="0063022D"/>
    <w:rsid w:val="00631AEE"/>
    <w:rsid w:val="00635393"/>
    <w:rsid w:val="0063576D"/>
    <w:rsid w:val="0063620D"/>
    <w:rsid w:val="006370FF"/>
    <w:rsid w:val="006418BB"/>
    <w:rsid w:val="00642926"/>
    <w:rsid w:val="006430E0"/>
    <w:rsid w:val="006434B0"/>
    <w:rsid w:val="00644AD4"/>
    <w:rsid w:val="00645955"/>
    <w:rsid w:val="00646399"/>
    <w:rsid w:val="00647C71"/>
    <w:rsid w:val="00650B35"/>
    <w:rsid w:val="00651518"/>
    <w:rsid w:val="00661124"/>
    <w:rsid w:val="00661187"/>
    <w:rsid w:val="0066719E"/>
    <w:rsid w:val="00667279"/>
    <w:rsid w:val="006675EA"/>
    <w:rsid w:val="006715E4"/>
    <w:rsid w:val="006744B1"/>
    <w:rsid w:val="00675425"/>
    <w:rsid w:val="0067744D"/>
    <w:rsid w:val="00680312"/>
    <w:rsid w:val="00684A0B"/>
    <w:rsid w:val="00684EE9"/>
    <w:rsid w:val="0068628D"/>
    <w:rsid w:val="00687C34"/>
    <w:rsid w:val="00695951"/>
    <w:rsid w:val="00696E90"/>
    <w:rsid w:val="00697096"/>
    <w:rsid w:val="006976FF"/>
    <w:rsid w:val="006A0AB5"/>
    <w:rsid w:val="006A1063"/>
    <w:rsid w:val="006A3DA0"/>
    <w:rsid w:val="006A7E71"/>
    <w:rsid w:val="006B640D"/>
    <w:rsid w:val="006B7A87"/>
    <w:rsid w:val="006C20FD"/>
    <w:rsid w:val="006C3524"/>
    <w:rsid w:val="006C4F20"/>
    <w:rsid w:val="006C74E5"/>
    <w:rsid w:val="006D12EE"/>
    <w:rsid w:val="006D157D"/>
    <w:rsid w:val="006D3611"/>
    <w:rsid w:val="006D6267"/>
    <w:rsid w:val="006E0790"/>
    <w:rsid w:val="006E0A2B"/>
    <w:rsid w:val="006E22BC"/>
    <w:rsid w:val="006E2A57"/>
    <w:rsid w:val="006E3795"/>
    <w:rsid w:val="006E7C75"/>
    <w:rsid w:val="006F0765"/>
    <w:rsid w:val="006F0E6E"/>
    <w:rsid w:val="006F2E12"/>
    <w:rsid w:val="006F506E"/>
    <w:rsid w:val="006F602A"/>
    <w:rsid w:val="006F6629"/>
    <w:rsid w:val="006F6851"/>
    <w:rsid w:val="00707AD9"/>
    <w:rsid w:val="00711A32"/>
    <w:rsid w:val="0071296A"/>
    <w:rsid w:val="00714712"/>
    <w:rsid w:val="00716788"/>
    <w:rsid w:val="007167E9"/>
    <w:rsid w:val="00721BB1"/>
    <w:rsid w:val="00731D9C"/>
    <w:rsid w:val="00733B04"/>
    <w:rsid w:val="0073645B"/>
    <w:rsid w:val="00737EAA"/>
    <w:rsid w:val="00742C7C"/>
    <w:rsid w:val="00746866"/>
    <w:rsid w:val="00747416"/>
    <w:rsid w:val="00750F91"/>
    <w:rsid w:val="00751982"/>
    <w:rsid w:val="007520CA"/>
    <w:rsid w:val="0075231D"/>
    <w:rsid w:val="00754F02"/>
    <w:rsid w:val="00755289"/>
    <w:rsid w:val="00757A34"/>
    <w:rsid w:val="007600A0"/>
    <w:rsid w:val="00762104"/>
    <w:rsid w:val="00763A34"/>
    <w:rsid w:val="00763EFC"/>
    <w:rsid w:val="007641DC"/>
    <w:rsid w:val="00764CCD"/>
    <w:rsid w:val="00765118"/>
    <w:rsid w:val="00766F5A"/>
    <w:rsid w:val="00767CEB"/>
    <w:rsid w:val="00767E9A"/>
    <w:rsid w:val="00770540"/>
    <w:rsid w:val="007723A9"/>
    <w:rsid w:val="00772D99"/>
    <w:rsid w:val="00775668"/>
    <w:rsid w:val="00775A3B"/>
    <w:rsid w:val="00775B86"/>
    <w:rsid w:val="007775DF"/>
    <w:rsid w:val="007839E4"/>
    <w:rsid w:val="00783A13"/>
    <w:rsid w:val="007857DD"/>
    <w:rsid w:val="00786FD9"/>
    <w:rsid w:val="0078741C"/>
    <w:rsid w:val="00787E81"/>
    <w:rsid w:val="007901E9"/>
    <w:rsid w:val="00790531"/>
    <w:rsid w:val="00794062"/>
    <w:rsid w:val="00794F4C"/>
    <w:rsid w:val="007958D6"/>
    <w:rsid w:val="007974A7"/>
    <w:rsid w:val="00797963"/>
    <w:rsid w:val="00797E63"/>
    <w:rsid w:val="007A281D"/>
    <w:rsid w:val="007A2BB1"/>
    <w:rsid w:val="007A6999"/>
    <w:rsid w:val="007B44ED"/>
    <w:rsid w:val="007B457E"/>
    <w:rsid w:val="007B463B"/>
    <w:rsid w:val="007B499D"/>
    <w:rsid w:val="007B696B"/>
    <w:rsid w:val="007C1F7F"/>
    <w:rsid w:val="007C263E"/>
    <w:rsid w:val="007C36A5"/>
    <w:rsid w:val="007C3C5D"/>
    <w:rsid w:val="007C50B3"/>
    <w:rsid w:val="007C7CFA"/>
    <w:rsid w:val="007C7DEF"/>
    <w:rsid w:val="007D0408"/>
    <w:rsid w:val="007D0D16"/>
    <w:rsid w:val="007D17FF"/>
    <w:rsid w:val="007D3FED"/>
    <w:rsid w:val="007D59A6"/>
    <w:rsid w:val="007D706F"/>
    <w:rsid w:val="007D713E"/>
    <w:rsid w:val="007E00E5"/>
    <w:rsid w:val="007E3761"/>
    <w:rsid w:val="007E4AEF"/>
    <w:rsid w:val="007E61B2"/>
    <w:rsid w:val="007F310A"/>
    <w:rsid w:val="007F6A74"/>
    <w:rsid w:val="007F6C8D"/>
    <w:rsid w:val="008008BD"/>
    <w:rsid w:val="00803B89"/>
    <w:rsid w:val="008065DA"/>
    <w:rsid w:val="00812DCD"/>
    <w:rsid w:val="0082036F"/>
    <w:rsid w:val="008205C3"/>
    <w:rsid w:val="00821DB8"/>
    <w:rsid w:val="008253FD"/>
    <w:rsid w:val="0082604B"/>
    <w:rsid w:val="0083227E"/>
    <w:rsid w:val="00832420"/>
    <w:rsid w:val="0083446D"/>
    <w:rsid w:val="00843609"/>
    <w:rsid w:val="0084373C"/>
    <w:rsid w:val="00846227"/>
    <w:rsid w:val="0085367E"/>
    <w:rsid w:val="00853F49"/>
    <w:rsid w:val="00854F1E"/>
    <w:rsid w:val="00855843"/>
    <w:rsid w:val="00862931"/>
    <w:rsid w:val="00862ADB"/>
    <w:rsid w:val="00872692"/>
    <w:rsid w:val="00873D50"/>
    <w:rsid w:val="00875D56"/>
    <w:rsid w:val="00877694"/>
    <w:rsid w:val="00882E77"/>
    <w:rsid w:val="00883026"/>
    <w:rsid w:val="008833EA"/>
    <w:rsid w:val="008857A8"/>
    <w:rsid w:val="00885AA7"/>
    <w:rsid w:val="00887B65"/>
    <w:rsid w:val="0089026E"/>
    <w:rsid w:val="008910E1"/>
    <w:rsid w:val="00892408"/>
    <w:rsid w:val="0089321B"/>
    <w:rsid w:val="00894F5B"/>
    <w:rsid w:val="00895EF2"/>
    <w:rsid w:val="00895FF5"/>
    <w:rsid w:val="008A2F16"/>
    <w:rsid w:val="008A363C"/>
    <w:rsid w:val="008B0409"/>
    <w:rsid w:val="008B2124"/>
    <w:rsid w:val="008B41FD"/>
    <w:rsid w:val="008B494F"/>
    <w:rsid w:val="008B57C8"/>
    <w:rsid w:val="008C06ED"/>
    <w:rsid w:val="008C2594"/>
    <w:rsid w:val="008C320F"/>
    <w:rsid w:val="008C4F5C"/>
    <w:rsid w:val="008C6AB5"/>
    <w:rsid w:val="008D0E03"/>
    <w:rsid w:val="008D21E1"/>
    <w:rsid w:val="008D6F05"/>
    <w:rsid w:val="008D727B"/>
    <w:rsid w:val="008D7C20"/>
    <w:rsid w:val="008E30EE"/>
    <w:rsid w:val="008E4CB8"/>
    <w:rsid w:val="008E53D3"/>
    <w:rsid w:val="008E6ECB"/>
    <w:rsid w:val="008E7B18"/>
    <w:rsid w:val="008F45B7"/>
    <w:rsid w:val="008F791B"/>
    <w:rsid w:val="009011B4"/>
    <w:rsid w:val="0090166F"/>
    <w:rsid w:val="009115F7"/>
    <w:rsid w:val="0091352F"/>
    <w:rsid w:val="00916272"/>
    <w:rsid w:val="00916955"/>
    <w:rsid w:val="00917F33"/>
    <w:rsid w:val="00920F60"/>
    <w:rsid w:val="0092399A"/>
    <w:rsid w:val="00930132"/>
    <w:rsid w:val="00934110"/>
    <w:rsid w:val="009352C1"/>
    <w:rsid w:val="009377B3"/>
    <w:rsid w:val="00941715"/>
    <w:rsid w:val="00944BFD"/>
    <w:rsid w:val="00945CDA"/>
    <w:rsid w:val="0094691F"/>
    <w:rsid w:val="009518A8"/>
    <w:rsid w:val="00953A10"/>
    <w:rsid w:val="00956B72"/>
    <w:rsid w:val="00960A02"/>
    <w:rsid w:val="0097042C"/>
    <w:rsid w:val="00971305"/>
    <w:rsid w:val="009814B2"/>
    <w:rsid w:val="009834F0"/>
    <w:rsid w:val="009869C7"/>
    <w:rsid w:val="00987CDE"/>
    <w:rsid w:val="00990E40"/>
    <w:rsid w:val="00992F00"/>
    <w:rsid w:val="00993B58"/>
    <w:rsid w:val="00993C75"/>
    <w:rsid w:val="00996120"/>
    <w:rsid w:val="009A0648"/>
    <w:rsid w:val="009A14FE"/>
    <w:rsid w:val="009A36E9"/>
    <w:rsid w:val="009B0B3A"/>
    <w:rsid w:val="009B0C6D"/>
    <w:rsid w:val="009B216A"/>
    <w:rsid w:val="009B2960"/>
    <w:rsid w:val="009B297F"/>
    <w:rsid w:val="009B5894"/>
    <w:rsid w:val="009B6D87"/>
    <w:rsid w:val="009C1118"/>
    <w:rsid w:val="009C7E28"/>
    <w:rsid w:val="009D111A"/>
    <w:rsid w:val="009D3B80"/>
    <w:rsid w:val="009D3FBD"/>
    <w:rsid w:val="009D3FDE"/>
    <w:rsid w:val="009D5071"/>
    <w:rsid w:val="009D51F9"/>
    <w:rsid w:val="009D5D7D"/>
    <w:rsid w:val="009D70A0"/>
    <w:rsid w:val="009D73E9"/>
    <w:rsid w:val="009E1777"/>
    <w:rsid w:val="009E435B"/>
    <w:rsid w:val="009E5F1C"/>
    <w:rsid w:val="009F0509"/>
    <w:rsid w:val="009F2607"/>
    <w:rsid w:val="009F2EA5"/>
    <w:rsid w:val="009F6DD9"/>
    <w:rsid w:val="009F7E37"/>
    <w:rsid w:val="00A01B8C"/>
    <w:rsid w:val="00A031CF"/>
    <w:rsid w:val="00A058C8"/>
    <w:rsid w:val="00A0696C"/>
    <w:rsid w:val="00A12291"/>
    <w:rsid w:val="00A1339F"/>
    <w:rsid w:val="00A20631"/>
    <w:rsid w:val="00A233AA"/>
    <w:rsid w:val="00A233E4"/>
    <w:rsid w:val="00A23D5E"/>
    <w:rsid w:val="00A325A7"/>
    <w:rsid w:val="00A35175"/>
    <w:rsid w:val="00A42582"/>
    <w:rsid w:val="00A4377A"/>
    <w:rsid w:val="00A4583D"/>
    <w:rsid w:val="00A512A6"/>
    <w:rsid w:val="00A52D24"/>
    <w:rsid w:val="00A532A9"/>
    <w:rsid w:val="00A53437"/>
    <w:rsid w:val="00A5532D"/>
    <w:rsid w:val="00A559CE"/>
    <w:rsid w:val="00A6119C"/>
    <w:rsid w:val="00A61A5C"/>
    <w:rsid w:val="00A61BEE"/>
    <w:rsid w:val="00A730B6"/>
    <w:rsid w:val="00A73242"/>
    <w:rsid w:val="00A8064C"/>
    <w:rsid w:val="00A81351"/>
    <w:rsid w:val="00A82B31"/>
    <w:rsid w:val="00A84A90"/>
    <w:rsid w:val="00A8725B"/>
    <w:rsid w:val="00A91602"/>
    <w:rsid w:val="00A97133"/>
    <w:rsid w:val="00AA12F7"/>
    <w:rsid w:val="00AC335D"/>
    <w:rsid w:val="00AC497C"/>
    <w:rsid w:val="00AC7F38"/>
    <w:rsid w:val="00AD2EB3"/>
    <w:rsid w:val="00AD3FF2"/>
    <w:rsid w:val="00AD50D6"/>
    <w:rsid w:val="00AE125F"/>
    <w:rsid w:val="00AE20AD"/>
    <w:rsid w:val="00AE29C5"/>
    <w:rsid w:val="00AE36A9"/>
    <w:rsid w:val="00AE4473"/>
    <w:rsid w:val="00AE485D"/>
    <w:rsid w:val="00AE4AB6"/>
    <w:rsid w:val="00AF1FC0"/>
    <w:rsid w:val="00AF2B41"/>
    <w:rsid w:val="00AF3AC7"/>
    <w:rsid w:val="00AF4457"/>
    <w:rsid w:val="00AF506B"/>
    <w:rsid w:val="00AF53C9"/>
    <w:rsid w:val="00AF58A2"/>
    <w:rsid w:val="00AF5D83"/>
    <w:rsid w:val="00B0146A"/>
    <w:rsid w:val="00B02B99"/>
    <w:rsid w:val="00B02D3E"/>
    <w:rsid w:val="00B04D8D"/>
    <w:rsid w:val="00B06674"/>
    <w:rsid w:val="00B074EB"/>
    <w:rsid w:val="00B1115E"/>
    <w:rsid w:val="00B11D12"/>
    <w:rsid w:val="00B15266"/>
    <w:rsid w:val="00B20524"/>
    <w:rsid w:val="00B20879"/>
    <w:rsid w:val="00B22B59"/>
    <w:rsid w:val="00B22EF2"/>
    <w:rsid w:val="00B26779"/>
    <w:rsid w:val="00B301DF"/>
    <w:rsid w:val="00B30D60"/>
    <w:rsid w:val="00B3312B"/>
    <w:rsid w:val="00B3324A"/>
    <w:rsid w:val="00B33CB6"/>
    <w:rsid w:val="00B34A84"/>
    <w:rsid w:val="00B400E7"/>
    <w:rsid w:val="00B41453"/>
    <w:rsid w:val="00B446BC"/>
    <w:rsid w:val="00B46640"/>
    <w:rsid w:val="00B46AF3"/>
    <w:rsid w:val="00B4759A"/>
    <w:rsid w:val="00B54294"/>
    <w:rsid w:val="00B55F52"/>
    <w:rsid w:val="00B638CE"/>
    <w:rsid w:val="00B6466E"/>
    <w:rsid w:val="00B665C4"/>
    <w:rsid w:val="00B6675D"/>
    <w:rsid w:val="00B70EAC"/>
    <w:rsid w:val="00B72930"/>
    <w:rsid w:val="00B73168"/>
    <w:rsid w:val="00B735CF"/>
    <w:rsid w:val="00B7653B"/>
    <w:rsid w:val="00B81947"/>
    <w:rsid w:val="00B83B63"/>
    <w:rsid w:val="00B84915"/>
    <w:rsid w:val="00B84B87"/>
    <w:rsid w:val="00B90614"/>
    <w:rsid w:val="00B934AD"/>
    <w:rsid w:val="00B94191"/>
    <w:rsid w:val="00B94949"/>
    <w:rsid w:val="00BA09A3"/>
    <w:rsid w:val="00BA10F8"/>
    <w:rsid w:val="00BA2541"/>
    <w:rsid w:val="00BA2B66"/>
    <w:rsid w:val="00BA2BD9"/>
    <w:rsid w:val="00BA2C3B"/>
    <w:rsid w:val="00BA3331"/>
    <w:rsid w:val="00BA48FA"/>
    <w:rsid w:val="00BA5626"/>
    <w:rsid w:val="00BA657A"/>
    <w:rsid w:val="00BA65BC"/>
    <w:rsid w:val="00BA7A8F"/>
    <w:rsid w:val="00BB2C36"/>
    <w:rsid w:val="00BB300F"/>
    <w:rsid w:val="00BB3AB5"/>
    <w:rsid w:val="00BB407D"/>
    <w:rsid w:val="00BC04E6"/>
    <w:rsid w:val="00BC4ABE"/>
    <w:rsid w:val="00BC5C92"/>
    <w:rsid w:val="00BC7A8D"/>
    <w:rsid w:val="00BD302E"/>
    <w:rsid w:val="00BD684A"/>
    <w:rsid w:val="00BF033D"/>
    <w:rsid w:val="00BF6DB7"/>
    <w:rsid w:val="00BF7818"/>
    <w:rsid w:val="00C007C7"/>
    <w:rsid w:val="00C02481"/>
    <w:rsid w:val="00C029A5"/>
    <w:rsid w:val="00C037C1"/>
    <w:rsid w:val="00C0763E"/>
    <w:rsid w:val="00C112E3"/>
    <w:rsid w:val="00C15E8B"/>
    <w:rsid w:val="00C173E7"/>
    <w:rsid w:val="00C23D94"/>
    <w:rsid w:val="00C306F2"/>
    <w:rsid w:val="00C311EE"/>
    <w:rsid w:val="00C31E33"/>
    <w:rsid w:val="00C3291B"/>
    <w:rsid w:val="00C3476D"/>
    <w:rsid w:val="00C41024"/>
    <w:rsid w:val="00C54689"/>
    <w:rsid w:val="00C54FEF"/>
    <w:rsid w:val="00C625AB"/>
    <w:rsid w:val="00C64FA8"/>
    <w:rsid w:val="00C66586"/>
    <w:rsid w:val="00C727D6"/>
    <w:rsid w:val="00C74795"/>
    <w:rsid w:val="00C758D5"/>
    <w:rsid w:val="00C764F8"/>
    <w:rsid w:val="00C7769A"/>
    <w:rsid w:val="00C85038"/>
    <w:rsid w:val="00C8697E"/>
    <w:rsid w:val="00C86FAB"/>
    <w:rsid w:val="00C8735C"/>
    <w:rsid w:val="00C8769D"/>
    <w:rsid w:val="00C92849"/>
    <w:rsid w:val="00C95F14"/>
    <w:rsid w:val="00C96491"/>
    <w:rsid w:val="00C97D7A"/>
    <w:rsid w:val="00CA1BC6"/>
    <w:rsid w:val="00CA57DF"/>
    <w:rsid w:val="00CB0D85"/>
    <w:rsid w:val="00CB1289"/>
    <w:rsid w:val="00CB3B7E"/>
    <w:rsid w:val="00CB5438"/>
    <w:rsid w:val="00CB56D1"/>
    <w:rsid w:val="00CB7067"/>
    <w:rsid w:val="00CC2F26"/>
    <w:rsid w:val="00CC4098"/>
    <w:rsid w:val="00CC7A13"/>
    <w:rsid w:val="00CC7C6C"/>
    <w:rsid w:val="00CD0631"/>
    <w:rsid w:val="00CD2FC4"/>
    <w:rsid w:val="00CD5654"/>
    <w:rsid w:val="00CE0AD9"/>
    <w:rsid w:val="00CE54B2"/>
    <w:rsid w:val="00CE66FA"/>
    <w:rsid w:val="00CF18A5"/>
    <w:rsid w:val="00CF1B84"/>
    <w:rsid w:val="00CF45D5"/>
    <w:rsid w:val="00D034E0"/>
    <w:rsid w:val="00D04FB0"/>
    <w:rsid w:val="00D073AA"/>
    <w:rsid w:val="00D1549A"/>
    <w:rsid w:val="00D15AC6"/>
    <w:rsid w:val="00D20344"/>
    <w:rsid w:val="00D20BDA"/>
    <w:rsid w:val="00D24947"/>
    <w:rsid w:val="00D25D9A"/>
    <w:rsid w:val="00D25F6B"/>
    <w:rsid w:val="00D2637C"/>
    <w:rsid w:val="00D27A9A"/>
    <w:rsid w:val="00D30244"/>
    <w:rsid w:val="00D317F9"/>
    <w:rsid w:val="00D3271F"/>
    <w:rsid w:val="00D3702F"/>
    <w:rsid w:val="00D378AC"/>
    <w:rsid w:val="00D40F96"/>
    <w:rsid w:val="00D41A1B"/>
    <w:rsid w:val="00D41A55"/>
    <w:rsid w:val="00D42387"/>
    <w:rsid w:val="00D43548"/>
    <w:rsid w:val="00D43872"/>
    <w:rsid w:val="00D43D7A"/>
    <w:rsid w:val="00D44EA3"/>
    <w:rsid w:val="00D47C54"/>
    <w:rsid w:val="00D51523"/>
    <w:rsid w:val="00D5205E"/>
    <w:rsid w:val="00D523B2"/>
    <w:rsid w:val="00D52775"/>
    <w:rsid w:val="00D62B7D"/>
    <w:rsid w:val="00D741E5"/>
    <w:rsid w:val="00D74F23"/>
    <w:rsid w:val="00D753D8"/>
    <w:rsid w:val="00D810F5"/>
    <w:rsid w:val="00D814D3"/>
    <w:rsid w:val="00D8742E"/>
    <w:rsid w:val="00D87E42"/>
    <w:rsid w:val="00DA0577"/>
    <w:rsid w:val="00DA18EF"/>
    <w:rsid w:val="00DA4BD2"/>
    <w:rsid w:val="00DA5BFF"/>
    <w:rsid w:val="00DA60E3"/>
    <w:rsid w:val="00DA68FC"/>
    <w:rsid w:val="00DA6FF8"/>
    <w:rsid w:val="00DC0E99"/>
    <w:rsid w:val="00DC404F"/>
    <w:rsid w:val="00DC4EC1"/>
    <w:rsid w:val="00DC54FE"/>
    <w:rsid w:val="00DC60DE"/>
    <w:rsid w:val="00DC6E53"/>
    <w:rsid w:val="00DC71AC"/>
    <w:rsid w:val="00DC74E2"/>
    <w:rsid w:val="00DD2AE3"/>
    <w:rsid w:val="00DD43DD"/>
    <w:rsid w:val="00DE0043"/>
    <w:rsid w:val="00DE0ADC"/>
    <w:rsid w:val="00DE1212"/>
    <w:rsid w:val="00DE22AE"/>
    <w:rsid w:val="00DE2739"/>
    <w:rsid w:val="00DF2733"/>
    <w:rsid w:val="00DF4F7C"/>
    <w:rsid w:val="00DF5C71"/>
    <w:rsid w:val="00DF5FEB"/>
    <w:rsid w:val="00E04001"/>
    <w:rsid w:val="00E05B05"/>
    <w:rsid w:val="00E109CB"/>
    <w:rsid w:val="00E12E14"/>
    <w:rsid w:val="00E13163"/>
    <w:rsid w:val="00E17110"/>
    <w:rsid w:val="00E21F0E"/>
    <w:rsid w:val="00E236B0"/>
    <w:rsid w:val="00E260E2"/>
    <w:rsid w:val="00E30AF2"/>
    <w:rsid w:val="00E31A6A"/>
    <w:rsid w:val="00E32EC6"/>
    <w:rsid w:val="00E338EC"/>
    <w:rsid w:val="00E36E17"/>
    <w:rsid w:val="00E37986"/>
    <w:rsid w:val="00E40C65"/>
    <w:rsid w:val="00E41DC6"/>
    <w:rsid w:val="00E43BF9"/>
    <w:rsid w:val="00E4497C"/>
    <w:rsid w:val="00E45A4C"/>
    <w:rsid w:val="00E46924"/>
    <w:rsid w:val="00E46F5F"/>
    <w:rsid w:val="00E544D7"/>
    <w:rsid w:val="00E571EC"/>
    <w:rsid w:val="00E61DDD"/>
    <w:rsid w:val="00E6695D"/>
    <w:rsid w:val="00E70EA8"/>
    <w:rsid w:val="00E71385"/>
    <w:rsid w:val="00E72A00"/>
    <w:rsid w:val="00E73437"/>
    <w:rsid w:val="00E747A8"/>
    <w:rsid w:val="00E74DCB"/>
    <w:rsid w:val="00E80104"/>
    <w:rsid w:val="00E80A67"/>
    <w:rsid w:val="00E8589C"/>
    <w:rsid w:val="00E85AD6"/>
    <w:rsid w:val="00E86068"/>
    <w:rsid w:val="00E86099"/>
    <w:rsid w:val="00E86E75"/>
    <w:rsid w:val="00E92164"/>
    <w:rsid w:val="00EA20CD"/>
    <w:rsid w:val="00EA2756"/>
    <w:rsid w:val="00EA2D26"/>
    <w:rsid w:val="00EA3061"/>
    <w:rsid w:val="00EA4C29"/>
    <w:rsid w:val="00EA4F00"/>
    <w:rsid w:val="00EA7C3E"/>
    <w:rsid w:val="00EB10E5"/>
    <w:rsid w:val="00EB2469"/>
    <w:rsid w:val="00EB4393"/>
    <w:rsid w:val="00EB7B69"/>
    <w:rsid w:val="00EC08E0"/>
    <w:rsid w:val="00EC2C3C"/>
    <w:rsid w:val="00EC4C5C"/>
    <w:rsid w:val="00EC7A07"/>
    <w:rsid w:val="00ED366A"/>
    <w:rsid w:val="00ED3EC0"/>
    <w:rsid w:val="00ED3ED7"/>
    <w:rsid w:val="00ED47AD"/>
    <w:rsid w:val="00ED62EB"/>
    <w:rsid w:val="00ED65FE"/>
    <w:rsid w:val="00ED6D6E"/>
    <w:rsid w:val="00ED725B"/>
    <w:rsid w:val="00EE1AF8"/>
    <w:rsid w:val="00EE5184"/>
    <w:rsid w:val="00EE7714"/>
    <w:rsid w:val="00EF419D"/>
    <w:rsid w:val="00F008F7"/>
    <w:rsid w:val="00F010CE"/>
    <w:rsid w:val="00F017B0"/>
    <w:rsid w:val="00F0477B"/>
    <w:rsid w:val="00F11059"/>
    <w:rsid w:val="00F14D13"/>
    <w:rsid w:val="00F1798B"/>
    <w:rsid w:val="00F205BE"/>
    <w:rsid w:val="00F2142B"/>
    <w:rsid w:val="00F21F1A"/>
    <w:rsid w:val="00F26895"/>
    <w:rsid w:val="00F3266F"/>
    <w:rsid w:val="00F3290A"/>
    <w:rsid w:val="00F3291E"/>
    <w:rsid w:val="00F355BF"/>
    <w:rsid w:val="00F355C7"/>
    <w:rsid w:val="00F4269A"/>
    <w:rsid w:val="00F435D0"/>
    <w:rsid w:val="00F4476F"/>
    <w:rsid w:val="00F46D67"/>
    <w:rsid w:val="00F50730"/>
    <w:rsid w:val="00F5102A"/>
    <w:rsid w:val="00F56BB2"/>
    <w:rsid w:val="00F60064"/>
    <w:rsid w:val="00F60AB3"/>
    <w:rsid w:val="00F65C7F"/>
    <w:rsid w:val="00F70F12"/>
    <w:rsid w:val="00F718E9"/>
    <w:rsid w:val="00F75EA8"/>
    <w:rsid w:val="00F77DED"/>
    <w:rsid w:val="00F8410F"/>
    <w:rsid w:val="00F90C5E"/>
    <w:rsid w:val="00F933D7"/>
    <w:rsid w:val="00F94657"/>
    <w:rsid w:val="00F955E5"/>
    <w:rsid w:val="00F96242"/>
    <w:rsid w:val="00F96504"/>
    <w:rsid w:val="00F96BE3"/>
    <w:rsid w:val="00F971F5"/>
    <w:rsid w:val="00FA0B10"/>
    <w:rsid w:val="00FA110F"/>
    <w:rsid w:val="00FA5831"/>
    <w:rsid w:val="00FA75F4"/>
    <w:rsid w:val="00FB1209"/>
    <w:rsid w:val="00FB27C5"/>
    <w:rsid w:val="00FB3400"/>
    <w:rsid w:val="00FB4645"/>
    <w:rsid w:val="00FB646C"/>
    <w:rsid w:val="00FB6525"/>
    <w:rsid w:val="00FB7312"/>
    <w:rsid w:val="00FC3748"/>
    <w:rsid w:val="00FC44BF"/>
    <w:rsid w:val="00FC4A1F"/>
    <w:rsid w:val="00FC4AFB"/>
    <w:rsid w:val="00FC6E14"/>
    <w:rsid w:val="00FD06F7"/>
    <w:rsid w:val="00FD1CB4"/>
    <w:rsid w:val="00FD2AF0"/>
    <w:rsid w:val="00FD33DF"/>
    <w:rsid w:val="00FD39B1"/>
    <w:rsid w:val="00FD4C3E"/>
    <w:rsid w:val="00FD5E88"/>
    <w:rsid w:val="00FD6030"/>
    <w:rsid w:val="00FD7BDF"/>
    <w:rsid w:val="00FE0D7F"/>
    <w:rsid w:val="00FE0FE8"/>
    <w:rsid w:val="00FE36A9"/>
    <w:rsid w:val="00FE5CF9"/>
    <w:rsid w:val="00FE5FF3"/>
    <w:rsid w:val="00FF0761"/>
    <w:rsid w:val="00FF1230"/>
    <w:rsid w:val="00FF2D00"/>
    <w:rsid w:val="00FF4329"/>
    <w:rsid w:val="00FF69AB"/>
    <w:rsid w:val="00FF7F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551"/>
  <w15:docId w15:val="{B927063C-FB02-4503-9210-517B1D45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42926"/>
    <w:pPr>
      <w:ind w:left="720"/>
      <w:contextualSpacing/>
    </w:pPr>
  </w:style>
  <w:style w:type="paragraph" w:styleId="SemEspaamento">
    <w:name w:val="No Spacing"/>
    <w:aliases w:val="EMENTA"/>
    <w:uiPriority w:val="1"/>
    <w:qFormat/>
    <w:rsid w:val="008F791B"/>
    <w:pPr>
      <w:spacing w:after="360" w:line="360" w:lineRule="auto"/>
      <w:jc w:val="both"/>
    </w:pPr>
    <w:rPr>
      <w:rFonts w:ascii="Times New Roman" w:hAnsi="Times New Roman"/>
      <w:b/>
      <w:caps/>
      <w:sz w:val="24"/>
    </w:rPr>
  </w:style>
  <w:style w:type="character" w:styleId="Hyperlink">
    <w:name w:val="Hyperlink"/>
    <w:basedOn w:val="Fontepargpadro"/>
    <w:uiPriority w:val="99"/>
    <w:unhideWhenUsed/>
    <w:rsid w:val="00007C57"/>
    <w:rPr>
      <w:color w:val="0000FF"/>
      <w:u w:val="single"/>
    </w:rPr>
  </w:style>
  <w:style w:type="character" w:customStyle="1" w:styleId="highlightbrs">
    <w:name w:val="highlightbrs"/>
    <w:basedOn w:val="Fontepargpadro"/>
    <w:rsid w:val="002A270B"/>
  </w:style>
  <w:style w:type="paragraph" w:styleId="Textodenotadefim">
    <w:name w:val="endnote text"/>
    <w:basedOn w:val="Normal"/>
    <w:link w:val="TextodenotadefimChar"/>
    <w:uiPriority w:val="99"/>
    <w:semiHidden/>
    <w:unhideWhenUsed/>
    <w:rsid w:val="00647C7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47C71"/>
    <w:rPr>
      <w:sz w:val="20"/>
      <w:szCs w:val="20"/>
    </w:rPr>
  </w:style>
  <w:style w:type="character" w:styleId="Refdenotadefim">
    <w:name w:val="endnote reference"/>
    <w:basedOn w:val="Fontepargpadro"/>
    <w:uiPriority w:val="99"/>
    <w:semiHidden/>
    <w:unhideWhenUsed/>
    <w:rsid w:val="00647C71"/>
    <w:rPr>
      <w:vertAlign w:val="superscript"/>
    </w:rPr>
  </w:style>
  <w:style w:type="character" w:customStyle="1" w:styleId="MenoPendente1">
    <w:name w:val="Menção Pendente1"/>
    <w:basedOn w:val="Fontepargpadro"/>
    <w:uiPriority w:val="99"/>
    <w:semiHidden/>
    <w:unhideWhenUsed/>
    <w:rsid w:val="00647C71"/>
    <w:rPr>
      <w:color w:val="605E5C"/>
      <w:shd w:val="clear" w:color="auto" w:fill="E1DFDD"/>
    </w:rPr>
  </w:style>
  <w:style w:type="paragraph" w:styleId="Textodenotaderodap">
    <w:name w:val="footnote text"/>
    <w:basedOn w:val="Normal"/>
    <w:link w:val="TextodenotaderodapChar"/>
    <w:uiPriority w:val="99"/>
    <w:semiHidden/>
    <w:unhideWhenUsed/>
    <w:rsid w:val="00332D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32DED"/>
    <w:rPr>
      <w:sz w:val="20"/>
      <w:szCs w:val="20"/>
    </w:rPr>
  </w:style>
  <w:style w:type="character" w:styleId="Refdenotaderodap">
    <w:name w:val="footnote reference"/>
    <w:basedOn w:val="Fontepargpadro"/>
    <w:uiPriority w:val="99"/>
    <w:semiHidden/>
    <w:unhideWhenUsed/>
    <w:rsid w:val="00332DED"/>
    <w:rPr>
      <w:vertAlign w:val="superscript"/>
    </w:rPr>
  </w:style>
  <w:style w:type="paragraph" w:styleId="NormalWeb">
    <w:name w:val="Normal (Web)"/>
    <w:basedOn w:val="Normal"/>
    <w:uiPriority w:val="99"/>
    <w:unhideWhenUsed/>
    <w:rsid w:val="00DA5BF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412E7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2E7C"/>
  </w:style>
  <w:style w:type="paragraph" w:styleId="Rodap">
    <w:name w:val="footer"/>
    <w:basedOn w:val="Normal"/>
    <w:link w:val="RodapChar"/>
    <w:uiPriority w:val="99"/>
    <w:unhideWhenUsed/>
    <w:rsid w:val="00412E7C"/>
    <w:pPr>
      <w:tabs>
        <w:tab w:val="center" w:pos="4252"/>
        <w:tab w:val="right" w:pos="8504"/>
      </w:tabs>
      <w:spacing w:after="0" w:line="240" w:lineRule="auto"/>
    </w:pPr>
  </w:style>
  <w:style w:type="character" w:customStyle="1" w:styleId="RodapChar">
    <w:name w:val="Rodapé Char"/>
    <w:basedOn w:val="Fontepargpadro"/>
    <w:link w:val="Rodap"/>
    <w:uiPriority w:val="99"/>
    <w:rsid w:val="00412E7C"/>
  </w:style>
  <w:style w:type="character" w:styleId="nfase">
    <w:name w:val="Emphasis"/>
    <w:basedOn w:val="Fontepargpadro"/>
    <w:uiPriority w:val="20"/>
    <w:qFormat/>
    <w:rsid w:val="00D74F23"/>
    <w:rPr>
      <w:i/>
      <w:iCs/>
    </w:rPr>
  </w:style>
  <w:style w:type="character" w:styleId="RefernciaIntensa">
    <w:name w:val="Intense Reference"/>
    <w:basedOn w:val="Fontepargpadro"/>
    <w:uiPriority w:val="32"/>
    <w:qFormat/>
    <w:rsid w:val="00E04001"/>
    <w:rPr>
      <w:b/>
      <w:bCs/>
      <w:smallCaps/>
      <w:color w:val="5B9BD5" w:themeColor="accent1"/>
      <w:spacing w:val="5"/>
    </w:rPr>
  </w:style>
  <w:style w:type="paragraph" w:styleId="Reviso">
    <w:name w:val="Revision"/>
    <w:hidden/>
    <w:uiPriority w:val="99"/>
    <w:semiHidden/>
    <w:rsid w:val="003835C9"/>
    <w:pPr>
      <w:spacing w:after="0" w:line="240" w:lineRule="auto"/>
    </w:pPr>
  </w:style>
  <w:style w:type="character" w:styleId="MenoPendente">
    <w:name w:val="Unresolved Mention"/>
    <w:basedOn w:val="Fontepargpadro"/>
    <w:uiPriority w:val="99"/>
    <w:semiHidden/>
    <w:unhideWhenUsed/>
    <w:rsid w:val="007364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889">
      <w:bodyDiv w:val="1"/>
      <w:marLeft w:val="0"/>
      <w:marRight w:val="0"/>
      <w:marTop w:val="0"/>
      <w:marBottom w:val="0"/>
      <w:divBdr>
        <w:top w:val="none" w:sz="0" w:space="0" w:color="auto"/>
        <w:left w:val="none" w:sz="0" w:space="0" w:color="auto"/>
        <w:bottom w:val="none" w:sz="0" w:space="0" w:color="auto"/>
        <w:right w:val="none" w:sz="0" w:space="0" w:color="auto"/>
      </w:divBdr>
    </w:div>
    <w:div w:id="305626004">
      <w:bodyDiv w:val="1"/>
      <w:marLeft w:val="0"/>
      <w:marRight w:val="0"/>
      <w:marTop w:val="0"/>
      <w:marBottom w:val="0"/>
      <w:divBdr>
        <w:top w:val="none" w:sz="0" w:space="0" w:color="auto"/>
        <w:left w:val="none" w:sz="0" w:space="0" w:color="auto"/>
        <w:bottom w:val="none" w:sz="0" w:space="0" w:color="auto"/>
        <w:right w:val="none" w:sz="0" w:space="0" w:color="auto"/>
      </w:divBdr>
    </w:div>
    <w:div w:id="530722481">
      <w:bodyDiv w:val="1"/>
      <w:marLeft w:val="0"/>
      <w:marRight w:val="0"/>
      <w:marTop w:val="0"/>
      <w:marBottom w:val="0"/>
      <w:divBdr>
        <w:top w:val="none" w:sz="0" w:space="0" w:color="auto"/>
        <w:left w:val="none" w:sz="0" w:space="0" w:color="auto"/>
        <w:bottom w:val="none" w:sz="0" w:space="0" w:color="auto"/>
        <w:right w:val="none" w:sz="0" w:space="0" w:color="auto"/>
      </w:divBdr>
    </w:div>
    <w:div w:id="547886593">
      <w:bodyDiv w:val="1"/>
      <w:marLeft w:val="0"/>
      <w:marRight w:val="0"/>
      <w:marTop w:val="0"/>
      <w:marBottom w:val="0"/>
      <w:divBdr>
        <w:top w:val="none" w:sz="0" w:space="0" w:color="auto"/>
        <w:left w:val="none" w:sz="0" w:space="0" w:color="auto"/>
        <w:bottom w:val="none" w:sz="0" w:space="0" w:color="auto"/>
        <w:right w:val="none" w:sz="0" w:space="0" w:color="auto"/>
      </w:divBdr>
    </w:div>
    <w:div w:id="673579271">
      <w:bodyDiv w:val="1"/>
      <w:marLeft w:val="0"/>
      <w:marRight w:val="0"/>
      <w:marTop w:val="0"/>
      <w:marBottom w:val="0"/>
      <w:divBdr>
        <w:top w:val="none" w:sz="0" w:space="0" w:color="auto"/>
        <w:left w:val="none" w:sz="0" w:space="0" w:color="auto"/>
        <w:bottom w:val="none" w:sz="0" w:space="0" w:color="auto"/>
        <w:right w:val="none" w:sz="0" w:space="0" w:color="auto"/>
      </w:divBdr>
    </w:div>
    <w:div w:id="869419931">
      <w:bodyDiv w:val="1"/>
      <w:marLeft w:val="0"/>
      <w:marRight w:val="0"/>
      <w:marTop w:val="0"/>
      <w:marBottom w:val="0"/>
      <w:divBdr>
        <w:top w:val="none" w:sz="0" w:space="0" w:color="auto"/>
        <w:left w:val="none" w:sz="0" w:space="0" w:color="auto"/>
        <w:bottom w:val="none" w:sz="0" w:space="0" w:color="auto"/>
        <w:right w:val="none" w:sz="0" w:space="0" w:color="auto"/>
      </w:divBdr>
      <w:divsChild>
        <w:div w:id="1238706704">
          <w:marLeft w:val="0"/>
          <w:marRight w:val="0"/>
          <w:marTop w:val="0"/>
          <w:marBottom w:val="0"/>
          <w:divBdr>
            <w:top w:val="none" w:sz="0" w:space="0" w:color="auto"/>
            <w:left w:val="none" w:sz="0" w:space="0" w:color="auto"/>
            <w:bottom w:val="none" w:sz="0" w:space="0" w:color="auto"/>
            <w:right w:val="none" w:sz="0" w:space="0" w:color="auto"/>
          </w:divBdr>
        </w:div>
      </w:divsChild>
    </w:div>
    <w:div w:id="1001935534">
      <w:bodyDiv w:val="1"/>
      <w:marLeft w:val="0"/>
      <w:marRight w:val="0"/>
      <w:marTop w:val="0"/>
      <w:marBottom w:val="0"/>
      <w:divBdr>
        <w:top w:val="none" w:sz="0" w:space="0" w:color="auto"/>
        <w:left w:val="none" w:sz="0" w:space="0" w:color="auto"/>
        <w:bottom w:val="none" w:sz="0" w:space="0" w:color="auto"/>
        <w:right w:val="none" w:sz="0" w:space="0" w:color="auto"/>
      </w:divBdr>
    </w:div>
    <w:div w:id="1357077518">
      <w:bodyDiv w:val="1"/>
      <w:marLeft w:val="0"/>
      <w:marRight w:val="0"/>
      <w:marTop w:val="0"/>
      <w:marBottom w:val="0"/>
      <w:divBdr>
        <w:top w:val="none" w:sz="0" w:space="0" w:color="auto"/>
        <w:left w:val="none" w:sz="0" w:space="0" w:color="auto"/>
        <w:bottom w:val="none" w:sz="0" w:space="0" w:color="auto"/>
        <w:right w:val="none" w:sz="0" w:space="0" w:color="auto"/>
      </w:divBdr>
    </w:div>
    <w:div w:id="1361397871">
      <w:bodyDiv w:val="1"/>
      <w:marLeft w:val="0"/>
      <w:marRight w:val="0"/>
      <w:marTop w:val="0"/>
      <w:marBottom w:val="0"/>
      <w:divBdr>
        <w:top w:val="none" w:sz="0" w:space="0" w:color="auto"/>
        <w:left w:val="none" w:sz="0" w:space="0" w:color="auto"/>
        <w:bottom w:val="none" w:sz="0" w:space="0" w:color="auto"/>
        <w:right w:val="none" w:sz="0" w:space="0" w:color="auto"/>
      </w:divBdr>
    </w:div>
    <w:div w:id="1362783456">
      <w:bodyDiv w:val="1"/>
      <w:marLeft w:val="0"/>
      <w:marRight w:val="0"/>
      <w:marTop w:val="0"/>
      <w:marBottom w:val="0"/>
      <w:divBdr>
        <w:top w:val="none" w:sz="0" w:space="0" w:color="auto"/>
        <w:left w:val="none" w:sz="0" w:space="0" w:color="auto"/>
        <w:bottom w:val="none" w:sz="0" w:space="0" w:color="auto"/>
        <w:right w:val="none" w:sz="0" w:space="0" w:color="auto"/>
      </w:divBdr>
    </w:div>
    <w:div w:id="1415054741">
      <w:bodyDiv w:val="1"/>
      <w:marLeft w:val="0"/>
      <w:marRight w:val="0"/>
      <w:marTop w:val="0"/>
      <w:marBottom w:val="0"/>
      <w:divBdr>
        <w:top w:val="none" w:sz="0" w:space="0" w:color="auto"/>
        <w:left w:val="none" w:sz="0" w:space="0" w:color="auto"/>
        <w:bottom w:val="none" w:sz="0" w:space="0" w:color="auto"/>
        <w:right w:val="none" w:sz="0" w:space="0" w:color="auto"/>
      </w:divBdr>
    </w:div>
    <w:div w:id="1455128335">
      <w:bodyDiv w:val="1"/>
      <w:marLeft w:val="0"/>
      <w:marRight w:val="0"/>
      <w:marTop w:val="0"/>
      <w:marBottom w:val="0"/>
      <w:divBdr>
        <w:top w:val="none" w:sz="0" w:space="0" w:color="auto"/>
        <w:left w:val="none" w:sz="0" w:space="0" w:color="auto"/>
        <w:bottom w:val="none" w:sz="0" w:space="0" w:color="auto"/>
        <w:right w:val="none" w:sz="0" w:space="0" w:color="auto"/>
      </w:divBdr>
    </w:div>
    <w:div w:id="1491751064">
      <w:bodyDiv w:val="1"/>
      <w:marLeft w:val="0"/>
      <w:marRight w:val="0"/>
      <w:marTop w:val="0"/>
      <w:marBottom w:val="0"/>
      <w:divBdr>
        <w:top w:val="none" w:sz="0" w:space="0" w:color="auto"/>
        <w:left w:val="none" w:sz="0" w:space="0" w:color="auto"/>
        <w:bottom w:val="none" w:sz="0" w:space="0" w:color="auto"/>
        <w:right w:val="none" w:sz="0" w:space="0" w:color="auto"/>
      </w:divBdr>
    </w:div>
    <w:div w:id="1500272223">
      <w:bodyDiv w:val="1"/>
      <w:marLeft w:val="0"/>
      <w:marRight w:val="0"/>
      <w:marTop w:val="0"/>
      <w:marBottom w:val="0"/>
      <w:divBdr>
        <w:top w:val="none" w:sz="0" w:space="0" w:color="auto"/>
        <w:left w:val="none" w:sz="0" w:space="0" w:color="auto"/>
        <w:bottom w:val="none" w:sz="0" w:space="0" w:color="auto"/>
        <w:right w:val="none" w:sz="0" w:space="0" w:color="auto"/>
      </w:divBdr>
    </w:div>
    <w:div w:id="1627664554">
      <w:bodyDiv w:val="1"/>
      <w:marLeft w:val="0"/>
      <w:marRight w:val="0"/>
      <w:marTop w:val="0"/>
      <w:marBottom w:val="0"/>
      <w:divBdr>
        <w:top w:val="none" w:sz="0" w:space="0" w:color="auto"/>
        <w:left w:val="none" w:sz="0" w:space="0" w:color="auto"/>
        <w:bottom w:val="none" w:sz="0" w:space="0" w:color="auto"/>
        <w:right w:val="none" w:sz="0" w:space="0" w:color="auto"/>
      </w:divBdr>
    </w:div>
    <w:div w:id="1799182846">
      <w:bodyDiv w:val="1"/>
      <w:marLeft w:val="0"/>
      <w:marRight w:val="0"/>
      <w:marTop w:val="0"/>
      <w:marBottom w:val="0"/>
      <w:divBdr>
        <w:top w:val="none" w:sz="0" w:space="0" w:color="auto"/>
        <w:left w:val="none" w:sz="0" w:space="0" w:color="auto"/>
        <w:bottom w:val="none" w:sz="0" w:space="0" w:color="auto"/>
        <w:right w:val="none" w:sz="0" w:space="0" w:color="auto"/>
      </w:divBdr>
    </w:div>
    <w:div w:id="1866597119">
      <w:bodyDiv w:val="1"/>
      <w:marLeft w:val="0"/>
      <w:marRight w:val="0"/>
      <w:marTop w:val="0"/>
      <w:marBottom w:val="0"/>
      <w:divBdr>
        <w:top w:val="none" w:sz="0" w:space="0" w:color="auto"/>
        <w:left w:val="none" w:sz="0" w:space="0" w:color="auto"/>
        <w:bottom w:val="none" w:sz="0" w:space="0" w:color="auto"/>
        <w:right w:val="none" w:sz="0" w:space="0" w:color="auto"/>
      </w:divBdr>
    </w:div>
    <w:div w:id="1884754220">
      <w:bodyDiv w:val="1"/>
      <w:marLeft w:val="0"/>
      <w:marRight w:val="0"/>
      <w:marTop w:val="0"/>
      <w:marBottom w:val="0"/>
      <w:divBdr>
        <w:top w:val="none" w:sz="0" w:space="0" w:color="auto"/>
        <w:left w:val="none" w:sz="0" w:space="0" w:color="auto"/>
        <w:bottom w:val="none" w:sz="0" w:space="0" w:color="auto"/>
        <w:right w:val="none" w:sz="0" w:space="0" w:color="auto"/>
      </w:divBdr>
    </w:div>
    <w:div w:id="1901941761">
      <w:bodyDiv w:val="1"/>
      <w:marLeft w:val="0"/>
      <w:marRight w:val="0"/>
      <w:marTop w:val="0"/>
      <w:marBottom w:val="0"/>
      <w:divBdr>
        <w:top w:val="none" w:sz="0" w:space="0" w:color="auto"/>
        <w:left w:val="none" w:sz="0" w:space="0" w:color="auto"/>
        <w:bottom w:val="none" w:sz="0" w:space="0" w:color="auto"/>
        <w:right w:val="none" w:sz="0" w:space="0" w:color="auto"/>
      </w:divBdr>
    </w:div>
    <w:div w:id="1919821174">
      <w:bodyDiv w:val="1"/>
      <w:marLeft w:val="0"/>
      <w:marRight w:val="0"/>
      <w:marTop w:val="0"/>
      <w:marBottom w:val="0"/>
      <w:divBdr>
        <w:top w:val="none" w:sz="0" w:space="0" w:color="auto"/>
        <w:left w:val="none" w:sz="0" w:space="0" w:color="auto"/>
        <w:bottom w:val="none" w:sz="0" w:space="0" w:color="auto"/>
        <w:right w:val="none" w:sz="0" w:space="0" w:color="auto"/>
      </w:divBdr>
    </w:div>
    <w:div w:id="1945576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f9b77c0a9ca16248db2a354a9324d57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f83b46afa82d5de6e7294c7773150add"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EA04D0-D1F7-4D79-AED1-FE63121064E7}">
  <ds:schemaRefs>
    <ds:schemaRef ds:uri="http://schemas.microsoft.com/office/2006/metadata/properties"/>
    <ds:schemaRef ds:uri="http://schemas.microsoft.com/office/infopath/2007/PartnerControls"/>
    <ds:schemaRef ds:uri="0b1c8c71-5c14-46ef-9c85-f6af5a95de9b"/>
    <ds:schemaRef ds:uri="c04bd5eb-5da3-4c78-b159-2bc8443a6345"/>
  </ds:schemaRefs>
</ds:datastoreItem>
</file>

<file path=customXml/itemProps2.xml><?xml version="1.0" encoding="utf-8"?>
<ds:datastoreItem xmlns:ds="http://schemas.openxmlformats.org/officeDocument/2006/customXml" ds:itemID="{E5FF045F-601A-4612-B1A1-F2257C416787}">
  <ds:schemaRefs>
    <ds:schemaRef ds:uri="http://schemas.openxmlformats.org/officeDocument/2006/bibliography"/>
  </ds:schemaRefs>
</ds:datastoreItem>
</file>

<file path=customXml/itemProps3.xml><?xml version="1.0" encoding="utf-8"?>
<ds:datastoreItem xmlns:ds="http://schemas.openxmlformats.org/officeDocument/2006/customXml" ds:itemID="{66D634CA-D40F-4846-8535-E8E8C090B57A}">
  <ds:schemaRefs>
    <ds:schemaRef ds:uri="http://schemas.microsoft.com/sharepoint/v3/contenttype/forms"/>
  </ds:schemaRefs>
</ds:datastoreItem>
</file>

<file path=customXml/itemProps4.xml><?xml version="1.0" encoding="utf-8"?>
<ds:datastoreItem xmlns:ds="http://schemas.openxmlformats.org/officeDocument/2006/customXml" ds:itemID="{6B6D3070-EE8B-40E1-B295-269AA45B18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bd5eb-5da3-4c78-b159-2bc8443a6345"/>
    <ds:schemaRef ds:uri="0b1c8c71-5c14-46ef-9c85-f6af5a95de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1</Pages>
  <Words>1246</Words>
  <Characters>7407</Characters>
  <Application>Microsoft Office Word</Application>
  <DocSecurity>0</DocSecurity>
  <Lines>164</Lines>
  <Paragraphs>58</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121</cp:revision>
  <cp:lastPrinted>2023-02-01T16:46:00Z</cp:lastPrinted>
  <dcterms:created xsi:type="dcterms:W3CDTF">2025-12-03T20:42:00Z</dcterms:created>
  <dcterms:modified xsi:type="dcterms:W3CDTF">2026-02-12T20:55:00Z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MediaServiceImageTags">
    <vt:lpwstr/>
  </property>
  <property fmtid="{D5CDD505-2E9C-101B-9397-08002B2CF9AE}" pid="4" name="docLang">
    <vt:lpwstr>pt</vt:lpwstr>
  </property>
</Properties>
</file>