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BD9B" w14:textId="3772210F" w:rsidR="00A031CF" w:rsidRPr="00222EEE"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222EEE">
        <w:rPr>
          <w:rFonts w:ascii="Times New Roman" w:eastAsia="Times New Roman" w:hAnsi="Times New Roman" w:cs="Times New Roman"/>
          <w:b/>
          <w:sz w:val="24"/>
          <w:szCs w:val="24"/>
          <w:lang w:eastAsia="pt-BR"/>
        </w:rPr>
        <w:t>DIREITO CIVIL E PROCESSUAL CIVIL. EMBARGOS DE DECLARAÇÃO.</w:t>
      </w:r>
      <w:r w:rsidR="00A031CF" w:rsidRPr="00222EEE">
        <w:rPr>
          <w:rFonts w:ascii="Times New Roman" w:eastAsia="Times New Roman" w:hAnsi="Times New Roman" w:cs="Times New Roman"/>
          <w:b/>
          <w:sz w:val="24"/>
          <w:szCs w:val="24"/>
          <w:lang w:eastAsia="pt-BR"/>
        </w:rPr>
        <w:t xml:space="preserve"> </w:t>
      </w:r>
      <w:r w:rsidR="00D84124">
        <w:rPr>
          <w:rFonts w:ascii="Times New Roman" w:eastAsia="Times New Roman" w:hAnsi="Times New Roman" w:cs="Times New Roman"/>
          <w:b/>
          <w:sz w:val="24"/>
          <w:szCs w:val="24"/>
          <w:lang w:eastAsia="pt-BR"/>
        </w:rPr>
        <w:t xml:space="preserve">GRATUIDADE. DEFERIMENTO TÁCITO. </w:t>
      </w:r>
      <w:r w:rsidR="00205BD3" w:rsidRPr="00222EEE">
        <w:rPr>
          <w:rFonts w:ascii="Times New Roman" w:eastAsia="Times New Roman" w:hAnsi="Times New Roman" w:cs="Times New Roman"/>
          <w:b/>
          <w:sz w:val="24"/>
          <w:szCs w:val="24"/>
          <w:lang w:eastAsia="pt-BR"/>
        </w:rPr>
        <w:t>OMISSÃO</w:t>
      </w:r>
      <w:r w:rsidR="00A031CF" w:rsidRPr="00222EEE">
        <w:rPr>
          <w:rFonts w:ascii="Times New Roman" w:eastAsia="Times New Roman" w:hAnsi="Times New Roman" w:cs="Times New Roman"/>
          <w:b/>
          <w:sz w:val="24"/>
          <w:szCs w:val="24"/>
          <w:lang w:eastAsia="pt-BR"/>
        </w:rPr>
        <w:t xml:space="preserve">. </w:t>
      </w:r>
      <w:r w:rsidR="00FA02CA">
        <w:rPr>
          <w:rFonts w:ascii="Times New Roman" w:eastAsia="Times New Roman" w:hAnsi="Times New Roman" w:cs="Times New Roman"/>
          <w:b/>
          <w:sz w:val="24"/>
          <w:szCs w:val="24"/>
          <w:lang w:eastAsia="pt-BR"/>
        </w:rPr>
        <w:t xml:space="preserve">CONTRADIÇÃO. </w:t>
      </w:r>
      <w:r w:rsidR="00A031CF" w:rsidRPr="00222EEE">
        <w:rPr>
          <w:rFonts w:ascii="Times New Roman" w:eastAsia="Times New Roman" w:hAnsi="Times New Roman" w:cs="Times New Roman"/>
          <w:b/>
          <w:sz w:val="24"/>
          <w:szCs w:val="24"/>
          <w:lang w:eastAsia="pt-BR"/>
        </w:rPr>
        <w:t>MERO INCONFORMISMO.</w:t>
      </w:r>
    </w:p>
    <w:p w14:paraId="7D7D0A36" w14:textId="77777777" w:rsidR="005E09DC" w:rsidRPr="00222EEE"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222EEE">
        <w:rPr>
          <w:rFonts w:ascii="Times New Roman" w:eastAsia="Times New Roman" w:hAnsi="Times New Roman" w:cs="Times New Roman"/>
          <w:b/>
          <w:sz w:val="24"/>
          <w:szCs w:val="24"/>
          <w:lang w:eastAsia="pt-BR"/>
        </w:rPr>
        <w:t>I. CASO EM EXAME</w:t>
      </w:r>
    </w:p>
    <w:p w14:paraId="36E7CB22" w14:textId="181FF7E5" w:rsidR="003E6570" w:rsidRPr="00222EEE"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222EEE">
        <w:rPr>
          <w:rFonts w:ascii="Times New Roman" w:eastAsia="Times New Roman" w:hAnsi="Times New Roman" w:cs="Times New Roman"/>
          <w:b/>
          <w:sz w:val="24"/>
          <w:szCs w:val="24"/>
          <w:lang w:eastAsia="pt-BR"/>
        </w:rPr>
        <w:t>Embargos de declaração interpostos contra</w:t>
      </w:r>
      <w:r w:rsidR="0043454B" w:rsidRPr="00222EEE">
        <w:rPr>
          <w:rFonts w:ascii="Times New Roman" w:eastAsia="Times New Roman" w:hAnsi="Times New Roman" w:cs="Times New Roman"/>
          <w:b/>
          <w:sz w:val="24"/>
          <w:szCs w:val="24"/>
          <w:lang w:eastAsia="pt-BR"/>
        </w:rPr>
        <w:t xml:space="preserve"> acórdão que </w:t>
      </w:r>
      <w:r w:rsidR="00BB407D" w:rsidRPr="00222EEE">
        <w:rPr>
          <w:rFonts w:ascii="Times New Roman" w:eastAsia="Times New Roman" w:hAnsi="Times New Roman" w:cs="Times New Roman"/>
          <w:b/>
          <w:sz w:val="24"/>
          <w:szCs w:val="24"/>
          <w:lang w:eastAsia="pt-BR"/>
        </w:rPr>
        <w:t xml:space="preserve">conheceu </w:t>
      </w:r>
      <w:r w:rsidR="00A058C8" w:rsidRPr="00222EEE">
        <w:rPr>
          <w:rFonts w:ascii="Times New Roman" w:eastAsia="Times New Roman" w:hAnsi="Times New Roman" w:cs="Times New Roman"/>
          <w:b/>
          <w:sz w:val="24"/>
          <w:szCs w:val="24"/>
          <w:lang w:eastAsia="pt-BR"/>
        </w:rPr>
        <w:t xml:space="preserve">e </w:t>
      </w:r>
      <w:r w:rsidR="00205BD3" w:rsidRPr="00222EEE">
        <w:rPr>
          <w:rFonts w:ascii="Times New Roman" w:eastAsia="Times New Roman" w:hAnsi="Times New Roman" w:cs="Times New Roman"/>
          <w:b/>
          <w:sz w:val="24"/>
          <w:szCs w:val="24"/>
          <w:lang w:eastAsia="pt-BR"/>
        </w:rPr>
        <w:t>negou provimento ao</w:t>
      </w:r>
      <w:r w:rsidR="00443E9A">
        <w:rPr>
          <w:rFonts w:ascii="Times New Roman" w:eastAsia="Times New Roman" w:hAnsi="Times New Roman" w:cs="Times New Roman"/>
          <w:b/>
          <w:sz w:val="24"/>
          <w:szCs w:val="24"/>
          <w:lang w:eastAsia="pt-BR"/>
        </w:rPr>
        <w:t>s</w:t>
      </w:r>
      <w:r w:rsidR="001A23D6" w:rsidRPr="00222EEE">
        <w:rPr>
          <w:rFonts w:ascii="Times New Roman" w:eastAsia="Times New Roman" w:hAnsi="Times New Roman" w:cs="Times New Roman"/>
          <w:b/>
          <w:sz w:val="24"/>
          <w:szCs w:val="24"/>
          <w:lang w:eastAsia="pt-BR"/>
        </w:rPr>
        <w:t xml:space="preserve"> recurso</w:t>
      </w:r>
      <w:r w:rsidR="00443E9A">
        <w:rPr>
          <w:rFonts w:ascii="Times New Roman" w:eastAsia="Times New Roman" w:hAnsi="Times New Roman" w:cs="Times New Roman"/>
          <w:b/>
          <w:sz w:val="24"/>
          <w:szCs w:val="24"/>
          <w:lang w:eastAsia="pt-BR"/>
        </w:rPr>
        <w:t>s</w:t>
      </w:r>
      <w:r w:rsidR="001A23D6" w:rsidRPr="00222EEE">
        <w:rPr>
          <w:rFonts w:ascii="Times New Roman" w:eastAsia="Times New Roman" w:hAnsi="Times New Roman" w:cs="Times New Roman"/>
          <w:b/>
          <w:sz w:val="24"/>
          <w:szCs w:val="24"/>
          <w:lang w:eastAsia="pt-BR"/>
        </w:rPr>
        <w:t xml:space="preserve"> de </w:t>
      </w:r>
      <w:r w:rsidR="00414189" w:rsidRPr="00222EEE">
        <w:rPr>
          <w:rFonts w:ascii="Times New Roman" w:eastAsia="Times New Roman" w:hAnsi="Times New Roman" w:cs="Times New Roman"/>
          <w:b/>
          <w:sz w:val="24"/>
          <w:szCs w:val="24"/>
          <w:lang w:eastAsia="pt-BR"/>
        </w:rPr>
        <w:t>apelação.</w:t>
      </w:r>
    </w:p>
    <w:p w14:paraId="3FA55D74" w14:textId="77777777" w:rsidR="00765118" w:rsidRPr="00D84124" w:rsidRDefault="005E09DC" w:rsidP="00537320">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II. QUEST</w:t>
      </w:r>
      <w:r w:rsidR="00BA2541" w:rsidRPr="00D84124">
        <w:rPr>
          <w:rFonts w:ascii="Times New Roman" w:eastAsia="Times New Roman" w:hAnsi="Times New Roman" w:cs="Times New Roman"/>
          <w:b/>
          <w:sz w:val="24"/>
          <w:szCs w:val="24"/>
          <w:lang w:eastAsia="pt-BR"/>
        </w:rPr>
        <w:t>ÕES EM DISCUSSÃO</w:t>
      </w:r>
    </w:p>
    <w:p w14:paraId="4E20AA61" w14:textId="22D0142B" w:rsidR="00537320" w:rsidRDefault="00887424" w:rsidP="0053732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 </w:t>
      </w:r>
      <w:r w:rsidR="00537320" w:rsidRPr="00D84124">
        <w:rPr>
          <w:rFonts w:ascii="Times New Roman" w:eastAsia="Times New Roman" w:hAnsi="Times New Roman" w:cs="Times New Roman"/>
          <w:b/>
          <w:sz w:val="24"/>
          <w:szCs w:val="24"/>
          <w:lang w:eastAsia="pt-BR"/>
        </w:rPr>
        <w:t xml:space="preserve">Hipótese de acometimento do julgado por </w:t>
      </w:r>
      <w:r w:rsidR="00205BD3" w:rsidRPr="00D84124">
        <w:rPr>
          <w:rFonts w:ascii="Times New Roman" w:eastAsia="Times New Roman" w:hAnsi="Times New Roman" w:cs="Times New Roman"/>
          <w:b/>
          <w:sz w:val="24"/>
          <w:szCs w:val="24"/>
          <w:lang w:eastAsia="pt-BR"/>
        </w:rPr>
        <w:t>omissão</w:t>
      </w:r>
      <w:r w:rsidR="00443E9A">
        <w:rPr>
          <w:rFonts w:ascii="Times New Roman" w:eastAsia="Times New Roman" w:hAnsi="Times New Roman" w:cs="Times New Roman"/>
          <w:b/>
          <w:sz w:val="24"/>
          <w:szCs w:val="24"/>
          <w:lang w:eastAsia="pt-BR"/>
        </w:rPr>
        <w:t xml:space="preserve"> e contradição.</w:t>
      </w:r>
    </w:p>
    <w:p w14:paraId="09E3441E" w14:textId="77777777" w:rsidR="00887424" w:rsidRPr="00A33BD4" w:rsidRDefault="00887424" w:rsidP="0088742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II.II. Pretensão de imposição </w:t>
      </w:r>
      <w:r w:rsidRPr="006E643E">
        <w:rPr>
          <w:rFonts w:ascii="Times New Roman" w:eastAsia="Times New Roman" w:hAnsi="Times New Roman" w:cs="Times New Roman"/>
          <w:b/>
          <w:sz w:val="24"/>
          <w:szCs w:val="24"/>
          <w:lang w:eastAsia="pt-BR"/>
        </w:rPr>
        <w:t>pela interposição de embargos de declaração com propósito meramente protelatório.</w:t>
      </w:r>
    </w:p>
    <w:p w14:paraId="6212227E" w14:textId="77777777" w:rsidR="00FA02CA" w:rsidRDefault="006C74E5" w:rsidP="00FA02CA">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III. RAZÕES DE DECIDIR</w:t>
      </w:r>
    </w:p>
    <w:p w14:paraId="2143F147" w14:textId="62D33DBF" w:rsidR="00FA02CA" w:rsidRPr="00887424" w:rsidRDefault="00FA02CA" w:rsidP="00FA02CA">
      <w:pPr>
        <w:spacing w:before="240" w:after="240" w:line="360" w:lineRule="auto"/>
        <w:jc w:val="both"/>
        <w:rPr>
          <w:rFonts w:ascii="Times New Roman" w:eastAsia="Times New Roman" w:hAnsi="Times New Roman" w:cs="Times New Roman"/>
          <w:b/>
          <w:sz w:val="24"/>
          <w:szCs w:val="24"/>
          <w:lang w:eastAsia="pt-BR"/>
        </w:rPr>
      </w:pPr>
      <w:r w:rsidRPr="00887424">
        <w:rPr>
          <w:rFonts w:ascii="Times New Roman" w:eastAsia="Times New Roman" w:hAnsi="Times New Roman" w:cs="Times New Roman"/>
          <w:b/>
          <w:sz w:val="24"/>
          <w:szCs w:val="24"/>
          <w:lang w:eastAsia="pt-BR"/>
        </w:rPr>
        <w:t xml:space="preserve">III.I. </w:t>
      </w:r>
      <w:r w:rsidRPr="00887424">
        <w:rPr>
          <w:rFonts w:ascii="Times New Roman" w:eastAsia="Times New Roman" w:hAnsi="Times New Roman" w:cs="Times New Roman"/>
          <w:b/>
          <w:sz w:val="24"/>
          <w:szCs w:val="24"/>
          <w:lang w:eastAsia="pt-BR"/>
        </w:rPr>
        <w:t xml:space="preserve">A ausência </w:t>
      </w:r>
      <w:r w:rsidRPr="00887424">
        <w:rPr>
          <w:rFonts w:ascii="Times New Roman" w:eastAsia="Times New Roman" w:hAnsi="Times New Roman" w:cs="Times New Roman"/>
          <w:b/>
          <w:sz w:val="24"/>
          <w:szCs w:val="24"/>
          <w:lang w:eastAsia="pt-BR"/>
        </w:rPr>
        <w:t xml:space="preserve">de decisão judicial </w:t>
      </w:r>
      <w:r w:rsidRPr="00887424">
        <w:rPr>
          <w:rFonts w:ascii="Times New Roman" w:eastAsia="Times New Roman" w:hAnsi="Times New Roman" w:cs="Times New Roman"/>
          <w:b/>
          <w:sz w:val="24"/>
          <w:szCs w:val="24"/>
          <w:lang w:eastAsia="pt-BR"/>
        </w:rPr>
        <w:t>quanto ao pedido de assistência judiciária gratuita formulado na apelação, aliada ao regular processamento do feito, implica o reconhecimento da concessão tácita do benefício</w:t>
      </w:r>
      <w:r w:rsidRPr="00887424">
        <w:rPr>
          <w:rFonts w:ascii="Times New Roman" w:eastAsia="Times New Roman" w:hAnsi="Times New Roman" w:cs="Times New Roman"/>
          <w:b/>
          <w:sz w:val="24"/>
          <w:szCs w:val="24"/>
          <w:lang w:eastAsia="pt-BR"/>
        </w:rPr>
        <w:t>.</w:t>
      </w:r>
    </w:p>
    <w:p w14:paraId="44958A4A" w14:textId="5973FE91" w:rsidR="009352C1" w:rsidRDefault="00FA02CA" w:rsidP="009352C1">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III.II. </w:t>
      </w:r>
      <w:r w:rsidR="009352C1" w:rsidRPr="00D84124">
        <w:rPr>
          <w:rFonts w:ascii="Times New Roman" w:eastAsia="Times New Roman" w:hAnsi="Times New Roman" w:cs="Times New Roman"/>
          <w:b/>
          <w:sz w:val="24"/>
          <w:szCs w:val="24"/>
          <w:lang w:eastAsia="pt-BR"/>
        </w:rPr>
        <w:t>Os embargos de declaração prestam-se a esclarecer obscuridade, eliminar contradição, suprir omissão ou corrigir erro material, sendo defesa sua utilização como sucedâneo recursal para manifestação de mero inconformismo.</w:t>
      </w:r>
    </w:p>
    <w:p w14:paraId="1EDB6DEF" w14:textId="3EF1C38A" w:rsidR="00887424" w:rsidRDefault="00887424" w:rsidP="00887424">
      <w:pPr>
        <w:spacing w:before="240" w:after="240" w:line="360" w:lineRule="auto"/>
        <w:jc w:val="both"/>
        <w:rPr>
          <w:rFonts w:ascii="Times New Roman" w:eastAsia="Times New Roman" w:hAnsi="Times New Roman" w:cs="Times New Roman"/>
          <w:b/>
          <w:sz w:val="24"/>
          <w:szCs w:val="24"/>
          <w:lang w:eastAsia="pt-BR"/>
        </w:rPr>
      </w:pPr>
      <w:r w:rsidRPr="00A33BD4">
        <w:rPr>
          <w:rFonts w:ascii="Times New Roman" w:eastAsia="Times New Roman" w:hAnsi="Times New Roman" w:cs="Times New Roman"/>
          <w:b/>
          <w:sz w:val="24"/>
          <w:szCs w:val="24"/>
          <w:lang w:eastAsia="pt-BR"/>
        </w:rPr>
        <w:t>III.I</w:t>
      </w:r>
      <w:r>
        <w:rPr>
          <w:rFonts w:ascii="Times New Roman" w:eastAsia="Times New Roman" w:hAnsi="Times New Roman" w:cs="Times New Roman"/>
          <w:b/>
          <w:sz w:val="24"/>
          <w:szCs w:val="24"/>
          <w:lang w:eastAsia="pt-BR"/>
        </w:rPr>
        <w:t>I</w:t>
      </w:r>
      <w:r w:rsidRPr="00A33BD4">
        <w:rPr>
          <w:rFonts w:ascii="Times New Roman" w:eastAsia="Times New Roman" w:hAnsi="Times New Roman" w:cs="Times New Roman"/>
          <w:b/>
          <w:sz w:val="24"/>
          <w:szCs w:val="24"/>
          <w:lang w:eastAsia="pt-BR"/>
        </w:rPr>
        <w:t>I. A simples interposição de embargos de declaração, sem comprovação de intenção de manifesta protelação, não permite imposição da multa correlata.</w:t>
      </w:r>
    </w:p>
    <w:p w14:paraId="32D3CD04" w14:textId="507A8D0A" w:rsidR="005E09DC" w:rsidRPr="00D84124"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IV. SOLUÇÃO DO CASO</w:t>
      </w:r>
    </w:p>
    <w:p w14:paraId="026CEA93" w14:textId="24475861" w:rsidR="005E09DC" w:rsidRPr="00D84124"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 xml:space="preserve">Recurso conhecido e </w:t>
      </w:r>
      <w:r w:rsidR="00FA02CA">
        <w:rPr>
          <w:rFonts w:ascii="Times New Roman" w:eastAsia="Times New Roman" w:hAnsi="Times New Roman" w:cs="Times New Roman"/>
          <w:b/>
          <w:sz w:val="24"/>
          <w:szCs w:val="24"/>
          <w:lang w:eastAsia="pt-BR"/>
        </w:rPr>
        <w:t>parcialmente provido</w:t>
      </w:r>
      <w:r w:rsidRPr="00D84124">
        <w:rPr>
          <w:rFonts w:ascii="Times New Roman" w:eastAsia="Times New Roman" w:hAnsi="Times New Roman" w:cs="Times New Roman"/>
          <w:b/>
          <w:sz w:val="24"/>
          <w:szCs w:val="24"/>
          <w:lang w:eastAsia="pt-BR"/>
        </w:rPr>
        <w:t>.</w:t>
      </w:r>
    </w:p>
    <w:p w14:paraId="276FADE5" w14:textId="77777777" w:rsidR="005E09DC" w:rsidRPr="00D84124" w:rsidRDefault="005E09DC" w:rsidP="005E09DC">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V. JURISPRUDÊNCIA E LEGISLAÇÃO UTILIZADAS</w:t>
      </w:r>
    </w:p>
    <w:p w14:paraId="7CF4DB06" w14:textId="507629BD" w:rsidR="005E09DC" w:rsidRPr="00D84124" w:rsidRDefault="005E09DC" w:rsidP="005E09DC">
      <w:pPr>
        <w:spacing w:before="240" w:after="240" w:line="360" w:lineRule="auto"/>
        <w:jc w:val="both"/>
        <w:rPr>
          <w:rFonts w:ascii="Times New Roman" w:hAnsi="Times New Roman" w:cs="Times New Roman"/>
          <w:b/>
          <w:sz w:val="24"/>
          <w:szCs w:val="24"/>
        </w:rPr>
      </w:pPr>
      <w:r w:rsidRPr="00D84124">
        <w:rPr>
          <w:rFonts w:ascii="Times New Roman" w:eastAsia="Times New Roman" w:hAnsi="Times New Roman" w:cs="Times New Roman"/>
          <w:b/>
          <w:sz w:val="24"/>
          <w:szCs w:val="24"/>
          <w:lang w:eastAsia="pt-BR"/>
        </w:rPr>
        <w:t>V.I. Legislação</w:t>
      </w:r>
    </w:p>
    <w:p w14:paraId="2D314B92" w14:textId="77777777" w:rsidR="00887424" w:rsidRDefault="00887424" w:rsidP="00EA20CD">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CPC:</w:t>
      </w:r>
      <w:r w:rsidRPr="00491A12">
        <w:rPr>
          <w:rFonts w:ascii="Times New Roman" w:eastAsia="Times New Roman" w:hAnsi="Times New Roman" w:cs="Times New Roman"/>
          <w:b/>
          <w:sz w:val="24"/>
          <w:szCs w:val="24"/>
          <w:lang w:eastAsia="pt-BR"/>
        </w:rPr>
        <w:t xml:space="preserve"> art. 1.022</w:t>
      </w:r>
      <w:r>
        <w:rPr>
          <w:rFonts w:ascii="Times New Roman" w:eastAsia="Times New Roman" w:hAnsi="Times New Roman" w:cs="Times New Roman"/>
          <w:b/>
          <w:sz w:val="24"/>
          <w:szCs w:val="24"/>
          <w:lang w:eastAsia="pt-BR"/>
        </w:rPr>
        <w:t>; 1.026, § 2º.</w:t>
      </w:r>
    </w:p>
    <w:p w14:paraId="0ADF4752" w14:textId="77777777" w:rsidR="00887424" w:rsidRDefault="00EA20CD" w:rsidP="00887424">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V.II. Jurisprudência</w:t>
      </w:r>
    </w:p>
    <w:p w14:paraId="4C8C9C60" w14:textId="77777777" w:rsidR="00887424" w:rsidRDefault="00222EEE" w:rsidP="00887424">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STJ. Corte Especial. Relator: Ministro Raul Araújo. AgRg nos EAREsp n. 440.971/RS. Data de julgamento: 3-2-2016. Data de publicação: 17-3-2016</w:t>
      </w:r>
      <w:r w:rsidRPr="00D84124">
        <w:rPr>
          <w:rFonts w:ascii="Times New Roman" w:eastAsia="Times New Roman" w:hAnsi="Times New Roman" w:cs="Times New Roman"/>
          <w:b/>
          <w:sz w:val="24"/>
          <w:szCs w:val="24"/>
          <w:lang w:eastAsia="pt-BR"/>
        </w:rPr>
        <w:t>;</w:t>
      </w:r>
    </w:p>
    <w:p w14:paraId="00BBC48C" w14:textId="77777777" w:rsidR="00887424" w:rsidRDefault="00222EEE" w:rsidP="00887424">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eastAsia="Times New Roman" w:hAnsi="Times New Roman" w:cs="Times New Roman"/>
          <w:b/>
          <w:sz w:val="24"/>
          <w:szCs w:val="24"/>
          <w:lang w:eastAsia="pt-BR"/>
        </w:rPr>
        <w:t>TJPR. 8ª Câmara Cível. Relator: Desembargador Ricardo Augusto Reis de Macedo. 0010971-29.2024.8.16.0019. Ponta Grossa. Data de julgamento: 15-12-2025</w:t>
      </w:r>
      <w:r w:rsidRPr="00D84124">
        <w:rPr>
          <w:rFonts w:ascii="Times New Roman" w:eastAsia="Times New Roman" w:hAnsi="Times New Roman" w:cs="Times New Roman"/>
          <w:b/>
          <w:sz w:val="24"/>
          <w:szCs w:val="24"/>
          <w:lang w:eastAsia="pt-BR"/>
        </w:rPr>
        <w:t>;</w:t>
      </w:r>
    </w:p>
    <w:p w14:paraId="4CABF6D6" w14:textId="77777777" w:rsidR="00887424" w:rsidRDefault="00222EEE" w:rsidP="00887424">
      <w:pPr>
        <w:spacing w:before="240" w:after="240" w:line="360" w:lineRule="auto"/>
        <w:jc w:val="both"/>
        <w:rPr>
          <w:rFonts w:ascii="Times New Roman" w:eastAsia="Times New Roman" w:hAnsi="Times New Roman" w:cs="Times New Roman"/>
          <w:b/>
          <w:sz w:val="24"/>
          <w:szCs w:val="24"/>
          <w:lang w:eastAsia="pt-BR"/>
        </w:rPr>
      </w:pPr>
      <w:r w:rsidRPr="00D84124">
        <w:rPr>
          <w:rFonts w:ascii="Times New Roman" w:hAnsi="Times New Roman" w:cs="Times New Roman"/>
          <w:b/>
          <w:sz w:val="24"/>
          <w:szCs w:val="24"/>
        </w:rPr>
        <w:t>STJ. 1ª Seção. Relator: Ministro Mauro Campbell Marques. EDcl. no AgRg. nos EAREsp. n. 620.940/RS. Data de Julgamento: 14-09-2016. Data de Publicação: 21-09-2016</w:t>
      </w:r>
      <w:r w:rsidR="00887424">
        <w:rPr>
          <w:rFonts w:ascii="Times New Roman" w:hAnsi="Times New Roman" w:cs="Times New Roman"/>
          <w:b/>
          <w:sz w:val="24"/>
          <w:szCs w:val="24"/>
        </w:rPr>
        <w:t>;</w:t>
      </w:r>
    </w:p>
    <w:p w14:paraId="52BBF798" w14:textId="6C0310E4" w:rsidR="00887424" w:rsidRPr="00887424" w:rsidRDefault="00887424" w:rsidP="00887424">
      <w:pPr>
        <w:spacing w:before="240" w:after="240" w:line="360" w:lineRule="auto"/>
        <w:jc w:val="both"/>
        <w:rPr>
          <w:rFonts w:ascii="Times New Roman" w:eastAsia="Times New Roman" w:hAnsi="Times New Roman" w:cs="Times New Roman"/>
          <w:b/>
          <w:sz w:val="24"/>
          <w:szCs w:val="24"/>
          <w:lang w:eastAsia="pt-BR"/>
        </w:rPr>
      </w:pPr>
      <w:r w:rsidRPr="00221563">
        <w:rPr>
          <w:rFonts w:ascii="Times New Roman" w:hAnsi="Times New Roman" w:cs="Times New Roman"/>
          <w:b/>
          <w:sz w:val="24"/>
          <w:szCs w:val="24"/>
        </w:rPr>
        <w:t>STJ. Terceira Turma. Relatora: Ministra Nancy Andrighi. REsp n. 1.423.942/SP. Data de julgamento: 26-9-2017. Data de publica</w:t>
      </w:r>
      <w:r w:rsidRPr="00221563">
        <w:rPr>
          <w:rFonts w:ascii="Times New Roman" w:hAnsi="Times New Roman" w:cs="Times New Roman" w:hint="eastAsia"/>
          <w:b/>
          <w:sz w:val="24"/>
          <w:szCs w:val="24"/>
        </w:rPr>
        <w:t>çã</w:t>
      </w:r>
      <w:r w:rsidRPr="00221563">
        <w:rPr>
          <w:rFonts w:ascii="Times New Roman" w:hAnsi="Times New Roman" w:cs="Times New Roman"/>
          <w:b/>
          <w:sz w:val="24"/>
          <w:szCs w:val="24"/>
        </w:rPr>
        <w:t>o: 29-9-2017</w:t>
      </w:r>
      <w:r>
        <w:rPr>
          <w:rFonts w:ascii="Times New Roman" w:hAnsi="Times New Roman" w:cs="Times New Roman"/>
          <w:b/>
          <w:sz w:val="24"/>
          <w:szCs w:val="24"/>
        </w:rPr>
        <w:t>.</w:t>
      </w:r>
    </w:p>
    <w:p w14:paraId="285CC9D7" w14:textId="77777777" w:rsidR="008C320F" w:rsidRPr="008C320F" w:rsidRDefault="008C320F" w:rsidP="004E1BC4">
      <w:pPr>
        <w:spacing w:before="240" w:after="240" w:line="360" w:lineRule="auto"/>
        <w:jc w:val="both"/>
        <w:rPr>
          <w:rFonts w:ascii="Times New Roman" w:hAnsi="Times New Roman" w:cs="Times New Roman"/>
          <w:b/>
          <w:sz w:val="24"/>
          <w:szCs w:val="24"/>
        </w:rPr>
      </w:pPr>
    </w:p>
    <w:p w14:paraId="241249C2" w14:textId="77777777" w:rsidR="00FB27C5" w:rsidRDefault="00D74F23" w:rsidP="00FB27C5">
      <w:pPr>
        <w:spacing w:before="240" w:after="240" w:line="360" w:lineRule="auto"/>
        <w:ind w:firstLine="709"/>
        <w:jc w:val="both"/>
        <w:rPr>
          <w:rFonts w:ascii="Times New Roman" w:eastAsia="Times New Roman" w:hAnsi="Times New Roman" w:cs="Times New Roman"/>
          <w:b/>
          <w:sz w:val="24"/>
          <w:szCs w:val="24"/>
          <w:lang w:eastAsia="pt-BR"/>
        </w:rPr>
      </w:pPr>
      <w:r w:rsidRPr="00B400E7">
        <w:rPr>
          <w:rFonts w:ascii="Times New Roman" w:eastAsia="Times New Roman" w:hAnsi="Times New Roman" w:cs="Times New Roman"/>
          <w:b/>
          <w:sz w:val="24"/>
          <w:szCs w:val="24"/>
          <w:lang w:eastAsia="pt-BR"/>
        </w:rPr>
        <w:t>I – RELATÓRIO</w:t>
      </w:r>
    </w:p>
    <w:p w14:paraId="5117AF31" w14:textId="38B4C996" w:rsidR="004D6655" w:rsidRDefault="003F76F3" w:rsidP="004D665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r w:rsidRPr="003F76F3">
        <w:rPr>
          <w:rFonts w:ascii="Times New Roman" w:eastAsia="Times New Roman" w:hAnsi="Times New Roman" w:cs="Times New Roman"/>
          <w:bCs/>
          <w:sz w:val="24"/>
          <w:szCs w:val="24"/>
          <w:lang w:eastAsia="pt-BR"/>
        </w:rPr>
        <w:t>Cuida</w:t>
      </w:r>
      <w:r w:rsidR="008C06ED">
        <w:rPr>
          <w:rFonts w:ascii="Times New Roman" w:eastAsia="Times New Roman" w:hAnsi="Times New Roman" w:cs="Times New Roman"/>
          <w:bCs/>
          <w:sz w:val="24"/>
          <w:szCs w:val="24"/>
          <w:lang w:eastAsia="pt-BR"/>
        </w:rPr>
        <w:t xml:space="preserve">m-se </w:t>
      </w:r>
      <w:r w:rsidR="0003365C">
        <w:rPr>
          <w:rFonts w:ascii="Times New Roman" w:eastAsia="Times New Roman" w:hAnsi="Times New Roman" w:cs="Times New Roman"/>
          <w:bCs/>
          <w:sz w:val="24"/>
          <w:szCs w:val="24"/>
          <w:lang w:eastAsia="pt-BR"/>
        </w:rPr>
        <w:t xml:space="preserve">de embargos de declaração interpostos </w:t>
      </w:r>
      <w:r w:rsidR="00546DC1">
        <w:rPr>
          <w:rFonts w:ascii="Times New Roman" w:eastAsia="Times New Roman" w:hAnsi="Times New Roman" w:cs="Times New Roman"/>
          <w:bCs/>
          <w:sz w:val="24"/>
          <w:szCs w:val="24"/>
          <w:lang w:eastAsia="pt-BR"/>
        </w:rPr>
        <w:t xml:space="preserve">por </w:t>
      </w:r>
      <w:r w:rsidR="0003365C">
        <w:rPr>
          <w:rFonts w:ascii="Times New Roman" w:eastAsia="Times New Roman" w:hAnsi="Times New Roman" w:cs="Times New Roman"/>
          <w:bCs/>
          <w:sz w:val="24"/>
          <w:szCs w:val="24"/>
          <w:lang w:eastAsia="pt-BR"/>
        </w:rPr>
        <w:t>Y</w:t>
      </w:r>
      <w:r w:rsidR="00027916">
        <w:rPr>
          <w:rFonts w:ascii="Times New Roman" w:eastAsia="Times New Roman" w:hAnsi="Times New Roman" w:cs="Times New Roman"/>
          <w:bCs/>
          <w:sz w:val="24"/>
          <w:szCs w:val="24"/>
          <w:lang w:eastAsia="pt-BR"/>
        </w:rPr>
        <w:t xml:space="preserve">gor Henrique Alburnio Ferreira em face de Adão Pio da Silva, tendo como objeto </w:t>
      </w:r>
      <w:r w:rsidR="00707AD9">
        <w:rPr>
          <w:rFonts w:ascii="Times New Roman" w:eastAsia="Times New Roman" w:hAnsi="Times New Roman" w:cs="Times New Roman"/>
          <w:bCs/>
          <w:sz w:val="24"/>
          <w:szCs w:val="24"/>
          <w:lang w:eastAsia="pt-BR"/>
        </w:rPr>
        <w:t xml:space="preserve">o v. acórdão </w:t>
      </w:r>
      <w:r w:rsidR="00E338EC">
        <w:rPr>
          <w:rFonts w:ascii="Times New Roman" w:eastAsia="Times New Roman" w:hAnsi="Times New Roman" w:cs="Times New Roman"/>
          <w:bCs/>
          <w:sz w:val="24"/>
          <w:szCs w:val="24"/>
          <w:lang w:eastAsia="pt-BR"/>
        </w:rPr>
        <w:t xml:space="preserve">proferido </w:t>
      </w:r>
      <w:r w:rsidR="003075FC">
        <w:rPr>
          <w:rFonts w:ascii="Times New Roman" w:eastAsia="Times New Roman" w:hAnsi="Times New Roman" w:cs="Times New Roman"/>
          <w:bCs/>
          <w:sz w:val="24"/>
          <w:szCs w:val="24"/>
          <w:lang w:eastAsia="pt-BR"/>
        </w:rPr>
        <w:t>pela 1</w:t>
      </w:r>
      <w:r w:rsidR="000D12AA">
        <w:rPr>
          <w:rFonts w:ascii="Times New Roman" w:eastAsia="Times New Roman" w:hAnsi="Times New Roman" w:cs="Times New Roman"/>
          <w:bCs/>
          <w:sz w:val="24"/>
          <w:szCs w:val="24"/>
          <w:lang w:eastAsia="pt-BR"/>
        </w:rPr>
        <w:t>9</w:t>
      </w:r>
      <w:r w:rsidR="003075FC">
        <w:rPr>
          <w:rFonts w:ascii="Times New Roman" w:eastAsia="Times New Roman" w:hAnsi="Times New Roman" w:cs="Times New Roman"/>
          <w:bCs/>
          <w:sz w:val="24"/>
          <w:szCs w:val="24"/>
          <w:lang w:eastAsia="pt-BR"/>
        </w:rPr>
        <w:t>ª Câmara Cível do Tribunal de Justiça do Estado do Paraná</w:t>
      </w:r>
      <w:r w:rsidR="000E1FC1">
        <w:rPr>
          <w:rFonts w:ascii="Times New Roman" w:eastAsia="Times New Roman" w:hAnsi="Times New Roman" w:cs="Times New Roman"/>
          <w:bCs/>
          <w:sz w:val="24"/>
          <w:szCs w:val="24"/>
          <w:lang w:eastAsia="pt-BR"/>
        </w:rPr>
        <w:t xml:space="preserve">, </w:t>
      </w:r>
      <w:r w:rsidR="00413AFE">
        <w:rPr>
          <w:rFonts w:ascii="Times New Roman" w:eastAsia="Times New Roman" w:hAnsi="Times New Roman" w:cs="Times New Roman"/>
          <w:bCs/>
          <w:sz w:val="24"/>
          <w:szCs w:val="24"/>
          <w:lang w:eastAsia="pt-BR"/>
        </w:rPr>
        <w:t xml:space="preserve">que </w:t>
      </w:r>
      <w:r w:rsidR="00887424">
        <w:rPr>
          <w:rFonts w:ascii="Times New Roman" w:eastAsia="Times New Roman" w:hAnsi="Times New Roman" w:cs="Times New Roman"/>
          <w:bCs/>
          <w:sz w:val="24"/>
          <w:szCs w:val="24"/>
          <w:lang w:eastAsia="pt-BR"/>
        </w:rPr>
        <w:t xml:space="preserve">conheceu e negou provimento aos recursos de apelação interpostos pelas partes </w:t>
      </w:r>
      <w:r w:rsidR="004D12A8">
        <w:rPr>
          <w:rFonts w:ascii="Times New Roman" w:eastAsia="Times New Roman" w:hAnsi="Times New Roman" w:cs="Times New Roman"/>
          <w:bCs/>
          <w:sz w:val="24"/>
          <w:szCs w:val="24"/>
          <w:lang w:eastAsia="pt-BR"/>
        </w:rPr>
        <w:t xml:space="preserve">(evento </w:t>
      </w:r>
      <w:r w:rsidR="00684DC7">
        <w:rPr>
          <w:rFonts w:ascii="Times New Roman" w:eastAsia="Times New Roman" w:hAnsi="Times New Roman" w:cs="Times New Roman"/>
          <w:bCs/>
          <w:sz w:val="24"/>
          <w:szCs w:val="24"/>
          <w:lang w:eastAsia="pt-BR"/>
        </w:rPr>
        <w:t>39.1 –</w:t>
      </w:r>
      <w:r w:rsidR="007B680F">
        <w:rPr>
          <w:rFonts w:ascii="Times New Roman" w:eastAsia="Times New Roman" w:hAnsi="Times New Roman" w:cs="Times New Roman"/>
          <w:bCs/>
          <w:sz w:val="24"/>
          <w:szCs w:val="24"/>
          <w:lang w:eastAsia="pt-BR"/>
        </w:rPr>
        <w:t xml:space="preserve"> AP).</w:t>
      </w:r>
    </w:p>
    <w:p w14:paraId="52BFA878" w14:textId="43380AB0" w:rsidR="006E3CA0" w:rsidRDefault="008C6409" w:rsidP="008C6409">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 xml:space="preserve">Em suas razões, o </w:t>
      </w:r>
      <w:r w:rsidR="00CC0320">
        <w:rPr>
          <w:rFonts w:ascii="Times New Roman" w:eastAsia="Times New Roman" w:hAnsi="Times New Roman" w:cs="Times New Roman"/>
          <w:bCs/>
          <w:sz w:val="24"/>
          <w:szCs w:val="24"/>
          <w:lang w:eastAsia="pt-BR"/>
        </w:rPr>
        <w:t>e</w:t>
      </w:r>
      <w:r w:rsidRPr="002E1589">
        <w:rPr>
          <w:rFonts w:ascii="Times New Roman" w:eastAsia="Times New Roman" w:hAnsi="Times New Roman" w:cs="Times New Roman"/>
          <w:bCs/>
          <w:sz w:val="24"/>
          <w:szCs w:val="24"/>
          <w:lang w:eastAsia="pt-BR"/>
        </w:rPr>
        <w:t>mbargante sustenta</w:t>
      </w:r>
      <w:r w:rsidR="00744398">
        <w:rPr>
          <w:rFonts w:ascii="Times New Roman" w:eastAsia="Times New Roman" w:hAnsi="Times New Roman" w:cs="Times New Roman"/>
          <w:bCs/>
          <w:sz w:val="24"/>
          <w:szCs w:val="24"/>
          <w:lang w:eastAsia="pt-BR"/>
        </w:rPr>
        <w:t>: a) ausência de pronunciamento sobre o pedido de gratuidade da justiça;</w:t>
      </w:r>
      <w:r w:rsidR="00183E96">
        <w:rPr>
          <w:rFonts w:ascii="Times New Roman" w:eastAsia="Times New Roman" w:hAnsi="Times New Roman" w:cs="Times New Roman"/>
          <w:bCs/>
          <w:sz w:val="24"/>
          <w:szCs w:val="24"/>
          <w:lang w:eastAsia="pt-BR"/>
        </w:rPr>
        <w:t xml:space="preserve"> b)</w:t>
      </w:r>
      <w:r w:rsidR="00D15D0A">
        <w:rPr>
          <w:rFonts w:ascii="Times New Roman" w:eastAsia="Times New Roman" w:hAnsi="Times New Roman" w:cs="Times New Roman"/>
          <w:bCs/>
          <w:sz w:val="24"/>
          <w:szCs w:val="24"/>
          <w:lang w:eastAsia="pt-BR"/>
        </w:rPr>
        <w:t xml:space="preserve"> omissão sobre pedido de fixação de prazo razoável para </w:t>
      </w:r>
      <w:r w:rsidR="006E3CA0">
        <w:rPr>
          <w:rFonts w:ascii="Times New Roman" w:eastAsia="Times New Roman" w:hAnsi="Times New Roman" w:cs="Times New Roman"/>
          <w:bCs/>
          <w:sz w:val="24"/>
          <w:szCs w:val="24"/>
          <w:lang w:eastAsia="pt-BR"/>
        </w:rPr>
        <w:t>o cumprimento do comando judicial;</w:t>
      </w:r>
      <w:r w:rsidR="009C7590">
        <w:rPr>
          <w:rFonts w:ascii="Times New Roman" w:eastAsia="Times New Roman" w:hAnsi="Times New Roman" w:cs="Times New Roman"/>
          <w:bCs/>
          <w:sz w:val="24"/>
          <w:szCs w:val="24"/>
          <w:lang w:eastAsia="pt-BR"/>
        </w:rPr>
        <w:t xml:space="preserve"> </w:t>
      </w:r>
      <w:r w:rsidR="006E3CA0">
        <w:rPr>
          <w:rFonts w:ascii="Times New Roman" w:eastAsia="Times New Roman" w:hAnsi="Times New Roman" w:cs="Times New Roman"/>
          <w:bCs/>
          <w:sz w:val="24"/>
          <w:szCs w:val="24"/>
          <w:lang w:eastAsia="pt-BR"/>
        </w:rPr>
        <w:t xml:space="preserve">c) omissão e contradição </w:t>
      </w:r>
      <w:r w:rsidR="009C7590">
        <w:rPr>
          <w:rFonts w:ascii="Times New Roman" w:eastAsia="Times New Roman" w:hAnsi="Times New Roman" w:cs="Times New Roman"/>
          <w:bCs/>
          <w:sz w:val="24"/>
          <w:szCs w:val="24"/>
          <w:lang w:eastAsia="pt-BR"/>
        </w:rPr>
        <w:t>interna no trato da prescrição (evento 1.1).</w:t>
      </w:r>
    </w:p>
    <w:p w14:paraId="15BC50D4" w14:textId="1803D3AB" w:rsidR="008C6409" w:rsidRPr="002E1589" w:rsidRDefault="009C7590" w:rsidP="008C6409">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O</w:t>
      </w:r>
      <w:r w:rsidR="008C6409" w:rsidRPr="002E1589">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e</w:t>
      </w:r>
      <w:r w:rsidR="008C6409" w:rsidRPr="002E1589">
        <w:rPr>
          <w:rFonts w:ascii="Times New Roman" w:eastAsia="Times New Roman" w:hAnsi="Times New Roman" w:cs="Times New Roman"/>
          <w:bCs/>
          <w:sz w:val="24"/>
          <w:szCs w:val="24"/>
          <w:lang w:eastAsia="pt-BR"/>
        </w:rPr>
        <w:t>mbargado apresentou contrarrazões, pugnando pela rejeição dos embargos e pela aplicação de multa por intuito protelatóri</w:t>
      </w:r>
      <w:r>
        <w:rPr>
          <w:rFonts w:ascii="Times New Roman" w:eastAsia="Times New Roman" w:hAnsi="Times New Roman" w:cs="Times New Roman"/>
          <w:bCs/>
          <w:sz w:val="24"/>
          <w:szCs w:val="24"/>
          <w:lang w:eastAsia="pt-BR"/>
        </w:rPr>
        <w:t xml:space="preserve">o (evento </w:t>
      </w:r>
      <w:r w:rsidR="000349DC">
        <w:rPr>
          <w:rFonts w:ascii="Times New Roman" w:eastAsia="Times New Roman" w:hAnsi="Times New Roman" w:cs="Times New Roman"/>
          <w:bCs/>
          <w:sz w:val="24"/>
          <w:szCs w:val="24"/>
          <w:lang w:eastAsia="pt-BR"/>
        </w:rPr>
        <w:t>10.1).</w:t>
      </w:r>
    </w:p>
    <w:p w14:paraId="7475844B" w14:textId="77777777" w:rsidR="008C6409" w:rsidRPr="002E1589" w:rsidRDefault="008C6409" w:rsidP="008C6409">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É o relatório.</w:t>
      </w:r>
    </w:p>
    <w:p w14:paraId="40159762" w14:textId="77777777" w:rsidR="008C6409" w:rsidRDefault="008C6409" w:rsidP="004D6655">
      <w:pPr>
        <w:tabs>
          <w:tab w:val="left" w:pos="6955"/>
        </w:tabs>
        <w:spacing w:before="240" w:after="240" w:line="360" w:lineRule="auto"/>
        <w:ind w:firstLine="709"/>
        <w:jc w:val="both"/>
        <w:rPr>
          <w:rFonts w:ascii="Times New Roman" w:eastAsia="Times New Roman" w:hAnsi="Times New Roman" w:cs="Times New Roman"/>
          <w:bCs/>
          <w:sz w:val="24"/>
          <w:szCs w:val="24"/>
          <w:lang w:eastAsia="pt-BR"/>
        </w:rPr>
      </w:pPr>
    </w:p>
    <w:p w14:paraId="552CAA17" w14:textId="77777777" w:rsidR="003F76F3"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60160">
        <w:rPr>
          <w:rFonts w:ascii="Times New Roman" w:hAnsi="Times New Roman" w:cs="Times New Roman"/>
          <w:b/>
          <w:sz w:val="24"/>
          <w:szCs w:val="24"/>
        </w:rPr>
        <w:t>II – FUNDAMENTAÇÃO</w:t>
      </w:r>
    </w:p>
    <w:p w14:paraId="3C68F9C2" w14:textId="77777777" w:rsidR="00E71385" w:rsidRPr="00C727D6"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sidRPr="00C727D6">
        <w:rPr>
          <w:rFonts w:ascii="Times New Roman" w:eastAsia="Times New Roman" w:hAnsi="Times New Roman" w:cs="Times New Roman"/>
          <w:sz w:val="24"/>
          <w:szCs w:val="24"/>
          <w:lang w:eastAsia="pt-BR"/>
        </w:rPr>
        <w:t xml:space="preserve">II.I </w:t>
      </w:r>
      <w:r>
        <w:rPr>
          <w:rFonts w:ascii="Times New Roman" w:eastAsia="Times New Roman" w:hAnsi="Times New Roman" w:cs="Times New Roman"/>
          <w:sz w:val="24"/>
          <w:szCs w:val="24"/>
          <w:lang w:eastAsia="pt-BR"/>
        </w:rPr>
        <w:t>–</w:t>
      </w:r>
      <w:r w:rsidRPr="00C727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DO JUÍZO DE </w:t>
      </w:r>
      <w:r w:rsidRPr="00C727D6">
        <w:rPr>
          <w:rFonts w:ascii="Times New Roman" w:eastAsia="Times New Roman" w:hAnsi="Times New Roman" w:cs="Times New Roman"/>
          <w:sz w:val="24"/>
          <w:szCs w:val="24"/>
          <w:lang w:eastAsia="pt-BR"/>
        </w:rPr>
        <w:t>ADMISSIBILIDADE</w:t>
      </w:r>
    </w:p>
    <w:p w14:paraId="22426A3C" w14:textId="281E53B4"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w:t>
      </w:r>
      <w:r w:rsidR="00210873">
        <w:rPr>
          <w:rFonts w:ascii="Times New Roman" w:eastAsia="Times New Roman" w:hAnsi="Times New Roman" w:cs="Times New Roman"/>
          <w:sz w:val="24"/>
          <w:szCs w:val="24"/>
          <w:lang w:eastAsia="pt-BR"/>
        </w:rPr>
        <w:t xml:space="preserve"> </w:t>
      </w:r>
      <w:r w:rsidR="00D42387">
        <w:rPr>
          <w:rFonts w:ascii="Times New Roman" w:eastAsia="Times New Roman" w:hAnsi="Times New Roman" w:cs="Times New Roman"/>
          <w:sz w:val="24"/>
          <w:szCs w:val="24"/>
          <w:lang w:eastAsia="pt-BR"/>
        </w:rPr>
        <w:t>o</w:t>
      </w:r>
      <w:r>
        <w:rPr>
          <w:rFonts w:ascii="Times New Roman" w:eastAsia="Times New Roman" w:hAnsi="Times New Roman" w:cs="Times New Roman"/>
          <w:sz w:val="24"/>
          <w:szCs w:val="24"/>
          <w:lang w:eastAsia="pt-BR"/>
        </w:rPr>
        <w:t xml:space="preserve">s pressupostos de admissibilidade recursal, conhecem-se dos embargos de declaração </w:t>
      </w:r>
      <w:r w:rsidR="003835C9">
        <w:rPr>
          <w:rFonts w:ascii="Times New Roman" w:eastAsia="Times New Roman" w:hAnsi="Times New Roman" w:cs="Times New Roman"/>
          <w:sz w:val="24"/>
          <w:szCs w:val="24"/>
          <w:lang w:eastAsia="pt-BR"/>
        </w:rPr>
        <w:t>inter</w:t>
      </w:r>
      <w:r>
        <w:rPr>
          <w:rFonts w:ascii="Times New Roman" w:eastAsia="Times New Roman" w:hAnsi="Times New Roman" w:cs="Times New Roman"/>
          <w:sz w:val="24"/>
          <w:szCs w:val="24"/>
          <w:lang w:eastAsia="pt-BR"/>
        </w:rPr>
        <w:t>postos.</w:t>
      </w:r>
    </w:p>
    <w:p w14:paraId="68F242B5"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
    <w:p w14:paraId="1BA18DE0" w14:textId="0D0C3B44" w:rsidR="00DF497C"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II.II – </w:t>
      </w:r>
      <w:r w:rsidR="00DF497C">
        <w:rPr>
          <w:rFonts w:ascii="Times New Roman" w:eastAsia="Times New Roman" w:hAnsi="Times New Roman" w:cs="Times New Roman"/>
          <w:sz w:val="24"/>
          <w:szCs w:val="24"/>
          <w:lang w:eastAsia="pt-BR"/>
        </w:rPr>
        <w:t>DA GRATUIDADE DA JUSTIÇA</w:t>
      </w:r>
    </w:p>
    <w:p w14:paraId="169CAFB0" w14:textId="4072F406" w:rsidR="008C6409" w:rsidRDefault="008C6409" w:rsidP="008C6409">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Da análise do acórdão embargado, verifica-se que</w:t>
      </w:r>
      <w:r>
        <w:rPr>
          <w:rFonts w:ascii="Times New Roman" w:eastAsia="Times New Roman" w:hAnsi="Times New Roman" w:cs="Times New Roman"/>
          <w:bCs/>
          <w:sz w:val="24"/>
          <w:szCs w:val="24"/>
          <w:lang w:eastAsia="pt-BR"/>
        </w:rPr>
        <w:t xml:space="preserve"> </w:t>
      </w:r>
      <w:r w:rsidRPr="002E1589">
        <w:rPr>
          <w:rFonts w:ascii="Times New Roman" w:eastAsia="Times New Roman" w:hAnsi="Times New Roman" w:cs="Times New Roman"/>
          <w:bCs/>
          <w:sz w:val="24"/>
          <w:szCs w:val="24"/>
          <w:lang w:eastAsia="pt-BR"/>
        </w:rPr>
        <w:t xml:space="preserve">não houve pronunciamento expresso acerca do pedido de concessão dos benefícios da </w:t>
      </w:r>
      <w:r>
        <w:rPr>
          <w:rFonts w:ascii="Times New Roman" w:eastAsia="Times New Roman" w:hAnsi="Times New Roman" w:cs="Times New Roman"/>
          <w:bCs/>
          <w:sz w:val="24"/>
          <w:szCs w:val="24"/>
          <w:lang w:eastAsia="pt-BR"/>
        </w:rPr>
        <w:t>justiça gratuita, aduzido em sede recursal.</w:t>
      </w:r>
    </w:p>
    <w:p w14:paraId="51B93179" w14:textId="7AD331F9" w:rsidR="008C6409" w:rsidRPr="002E1589" w:rsidRDefault="008C6409" w:rsidP="008C6409">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A jurisprudência do Superior Tribunal de Justiça firmou entendimento no sentido de que a ausência de indeferimento expresso e fundamentado acerca do pedido de gratuidade de justiça, com o consequente processamento do recurso, gera a presunção de seu deferimento tácito.</w:t>
      </w:r>
    </w:p>
    <w:p w14:paraId="5926CA08" w14:textId="6BFEF39F" w:rsidR="009836F8" w:rsidRDefault="000F1D93"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bCs/>
          <w:sz w:val="24"/>
          <w:szCs w:val="24"/>
          <w:lang w:eastAsia="pt-BR"/>
        </w:rPr>
        <w:t>Sobre o tema:</w:t>
      </w:r>
    </w:p>
    <w:p w14:paraId="06D4CA79" w14:textId="77777777" w:rsidR="00960A37" w:rsidRDefault="00960A37" w:rsidP="009836F8">
      <w:pPr>
        <w:spacing w:after="240" w:line="360" w:lineRule="auto"/>
        <w:ind w:left="2268"/>
        <w:jc w:val="both"/>
        <w:rPr>
          <w:rFonts w:ascii="Times New Roman" w:eastAsia="Times New Roman" w:hAnsi="Times New Roman" w:cs="Times New Roman"/>
          <w:sz w:val="20"/>
          <w:szCs w:val="20"/>
          <w:lang w:eastAsia="pt-BR"/>
        </w:rPr>
      </w:pPr>
    </w:p>
    <w:p w14:paraId="1C0AC8A9" w14:textId="1D088856" w:rsidR="00793D0C" w:rsidRDefault="00960A37" w:rsidP="009D250A">
      <w:pPr>
        <w:spacing w:after="240" w:line="360" w:lineRule="auto"/>
        <w:ind w:left="2268"/>
        <w:jc w:val="both"/>
        <w:rPr>
          <w:rFonts w:ascii="Times New Roman" w:eastAsia="Times New Roman" w:hAnsi="Times New Roman" w:cs="Times New Roman"/>
          <w:sz w:val="20"/>
          <w:szCs w:val="20"/>
          <w:lang w:eastAsia="pt-BR"/>
        </w:rPr>
      </w:pPr>
      <w:r w:rsidRPr="00960A37">
        <w:rPr>
          <w:rFonts w:ascii="Times New Roman" w:eastAsia="Times New Roman" w:hAnsi="Times New Roman" w:cs="Times New Roman"/>
          <w:sz w:val="20"/>
          <w:szCs w:val="20"/>
          <w:lang w:eastAsia="pt-BR"/>
        </w:rPr>
        <w:t>AGRAVO INTERNO NOS EMBARGOS DE DIVERGÊNCIA. RECURSO JULGADO DESERTO. REFORMA DA DECISÃO. PEDIDO DE ASSISTÊNCIA JUDICIÁRIA GRATUITA FORMULADO NA ORIGEM. AUSÊNCIA DE MANIFESTAÇÃO DO PODER JUDICIÁRIO. DEFERIMENTO TÁCITO. RECONHECIMENTO. AGRAVO PROVIDO.</w:t>
      </w:r>
      <w:r w:rsidR="009D250A">
        <w:rPr>
          <w:rFonts w:ascii="Times New Roman" w:eastAsia="Times New Roman" w:hAnsi="Times New Roman" w:cs="Times New Roman"/>
          <w:sz w:val="20"/>
          <w:szCs w:val="20"/>
          <w:lang w:eastAsia="pt-BR"/>
        </w:rPr>
        <w:t xml:space="preserve"> </w:t>
      </w:r>
      <w:r w:rsidRPr="00960A37">
        <w:rPr>
          <w:rFonts w:ascii="Times New Roman" w:eastAsia="Times New Roman" w:hAnsi="Times New Roman" w:cs="Times New Roman"/>
          <w:sz w:val="20"/>
          <w:szCs w:val="20"/>
          <w:lang w:eastAsia="pt-BR"/>
        </w:rPr>
        <w:t>1. Presume-se o deferimento do pedido de assistência judiciária gratuita não expressamente indeferido por decisão fundamentada, inclusive na instância especial.</w:t>
      </w:r>
      <w:r w:rsidR="009D250A">
        <w:rPr>
          <w:rFonts w:ascii="Times New Roman" w:eastAsia="Times New Roman" w:hAnsi="Times New Roman" w:cs="Times New Roman"/>
          <w:sz w:val="20"/>
          <w:szCs w:val="20"/>
          <w:lang w:eastAsia="pt-BR"/>
        </w:rPr>
        <w:t xml:space="preserve"> </w:t>
      </w:r>
      <w:r w:rsidRPr="00960A37">
        <w:rPr>
          <w:rFonts w:ascii="Times New Roman" w:eastAsia="Times New Roman" w:hAnsi="Times New Roman" w:cs="Times New Roman"/>
          <w:sz w:val="20"/>
          <w:szCs w:val="20"/>
          <w:lang w:eastAsia="pt-BR"/>
        </w:rPr>
        <w:t>2. A ausência de manifestação do Judiciário quanto ao pedido de assistência judiciária gratuita leva à conclusão de seu deferimento tácito, a autorizar a interposição do recurso cabível sem o correspondente preparo.</w:t>
      </w:r>
      <w:r w:rsidR="009D250A">
        <w:rPr>
          <w:rFonts w:ascii="Times New Roman" w:eastAsia="Times New Roman" w:hAnsi="Times New Roman" w:cs="Times New Roman"/>
          <w:sz w:val="20"/>
          <w:szCs w:val="20"/>
          <w:lang w:eastAsia="pt-BR"/>
        </w:rPr>
        <w:t xml:space="preserve"> </w:t>
      </w:r>
      <w:r w:rsidRPr="00960A37">
        <w:rPr>
          <w:rFonts w:ascii="Times New Roman" w:eastAsia="Times New Roman" w:hAnsi="Times New Roman" w:cs="Times New Roman"/>
          <w:sz w:val="20"/>
          <w:szCs w:val="20"/>
          <w:lang w:eastAsia="pt-BR"/>
        </w:rPr>
        <w:t>3. A omissão do julgador atua em favor da garantia constitucional de acesso à jurisdição e de assistência judiciária gratuita, favorecendo-se a parte que requereu o benefício, presumindo-se o deferimento do pedido de justiça gratuita, mesmo em se tratando de pedido apresentado ou considerado somente no curso do processo, inclusive nesta instância extraordinária.</w:t>
      </w:r>
      <w:r w:rsidR="009D250A">
        <w:rPr>
          <w:rFonts w:ascii="Times New Roman" w:eastAsia="Times New Roman" w:hAnsi="Times New Roman" w:cs="Times New Roman"/>
          <w:sz w:val="20"/>
          <w:szCs w:val="20"/>
          <w:lang w:eastAsia="pt-BR"/>
        </w:rPr>
        <w:t xml:space="preserve"> </w:t>
      </w:r>
      <w:r w:rsidRPr="00960A37">
        <w:rPr>
          <w:rFonts w:ascii="Times New Roman" w:eastAsia="Times New Roman" w:hAnsi="Times New Roman" w:cs="Times New Roman"/>
          <w:sz w:val="20"/>
          <w:szCs w:val="20"/>
          <w:lang w:eastAsia="pt-BR"/>
        </w:rPr>
        <w:t>4. Agravo interno provido.</w:t>
      </w:r>
      <w:r w:rsidR="009D250A">
        <w:rPr>
          <w:rFonts w:ascii="Times New Roman" w:eastAsia="Times New Roman" w:hAnsi="Times New Roman" w:cs="Times New Roman"/>
          <w:sz w:val="20"/>
          <w:szCs w:val="20"/>
          <w:lang w:eastAsia="pt-BR"/>
        </w:rPr>
        <w:t xml:space="preserve"> (STJ. Corte Especial. Relator: </w:t>
      </w:r>
      <w:r w:rsidR="00793D0C">
        <w:rPr>
          <w:rFonts w:ascii="Times New Roman" w:eastAsia="Times New Roman" w:hAnsi="Times New Roman" w:cs="Times New Roman"/>
          <w:sz w:val="20"/>
          <w:szCs w:val="20"/>
          <w:lang w:eastAsia="pt-BR"/>
        </w:rPr>
        <w:t xml:space="preserve">Ministro Raul Araújo. </w:t>
      </w:r>
      <w:r w:rsidRPr="00960A37">
        <w:rPr>
          <w:rFonts w:ascii="Times New Roman" w:eastAsia="Times New Roman" w:hAnsi="Times New Roman" w:cs="Times New Roman"/>
          <w:sz w:val="20"/>
          <w:szCs w:val="20"/>
          <w:lang w:eastAsia="pt-BR"/>
        </w:rPr>
        <w:t>AgRg nos EAREsp n. 440.971/RS</w:t>
      </w:r>
      <w:r w:rsidR="00793D0C">
        <w:rPr>
          <w:rFonts w:ascii="Times New Roman" w:eastAsia="Times New Roman" w:hAnsi="Times New Roman" w:cs="Times New Roman"/>
          <w:sz w:val="20"/>
          <w:szCs w:val="20"/>
          <w:lang w:eastAsia="pt-BR"/>
        </w:rPr>
        <w:t>. Data de julgamento: 3-2-2016. Data de publicação: 17-3-2016).</w:t>
      </w:r>
    </w:p>
    <w:p w14:paraId="2989EAD1" w14:textId="77777777" w:rsidR="00960A37" w:rsidRDefault="00960A37" w:rsidP="009836F8">
      <w:pPr>
        <w:spacing w:after="240" w:line="360" w:lineRule="auto"/>
        <w:ind w:left="2268"/>
        <w:jc w:val="both"/>
        <w:rPr>
          <w:rFonts w:ascii="Times New Roman" w:eastAsia="Times New Roman" w:hAnsi="Times New Roman" w:cs="Times New Roman"/>
          <w:sz w:val="20"/>
          <w:szCs w:val="20"/>
          <w:lang w:eastAsia="pt-BR"/>
        </w:rPr>
      </w:pPr>
    </w:p>
    <w:p w14:paraId="5B541CDC" w14:textId="69D2151E" w:rsidR="007358E3" w:rsidRDefault="009836F8" w:rsidP="007358E3">
      <w:pPr>
        <w:spacing w:after="240" w:line="360" w:lineRule="auto"/>
        <w:ind w:left="2268"/>
        <w:jc w:val="both"/>
        <w:rPr>
          <w:rFonts w:ascii="Times New Roman" w:eastAsia="Times New Roman" w:hAnsi="Times New Roman" w:cs="Times New Roman"/>
          <w:sz w:val="20"/>
          <w:szCs w:val="20"/>
          <w:lang w:eastAsia="pt-BR"/>
        </w:rPr>
      </w:pPr>
      <w:r w:rsidRPr="009836F8">
        <w:rPr>
          <w:rFonts w:ascii="Times New Roman" w:eastAsia="Times New Roman" w:hAnsi="Times New Roman" w:cs="Times New Roman"/>
          <w:sz w:val="20"/>
          <w:szCs w:val="20"/>
          <w:lang w:eastAsia="pt-BR"/>
        </w:rPr>
        <w:t>Direito civil e processual civil. Apelação cível. Ação declaratória de inexistência de débito c/c repetição de indébito e danos morais. Descontos indevidos em benefício previdenciário. Ausência de contratação. Responsabilidade civil. Dano moral configurado. Quantum indenizatório fixado em R$ 5.000,00. Inversão do ônus sucumbencial. Recurso conhecido e parcialmente provido. I. Caso em exame</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1. Apelação cível visando a reforma de sentença que declarou a inexistência de contrato de filiação à associação apelada e condenou a ré à restituição em dobro dos valores descontados do benefício previdenciário da autora, mas negou o pedido de indenização por danos morais.</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II. Questão em discussão</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2. Há três questões em discussão: (i) saber se a ausência de apreciação do pedido de gratuidade da justiça implica deferimento tácito; (ii) saber se os descontos indevidos em benefício previdenciário configuram dano moral indenizável; e (iii) saber se os honorários advocatícios fixados na origem devem ser majorados ou arbitrados por equidade.</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III. Razões de decidir</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3. A ausência de pronunciamento judicial quanto ao pedido de gratuidade da justiça importa no seu deferimento tácito, consoante entendimento consolidado pelo Superior Tribunal de Justiça (AgRg nos EAREsp 440.971/RS; AgInt no RMS 60.388/TO; AgInt no AREsp 1.137.758/SP).4. Ausente comprovação de contratação válida entre as partes, correta a declaração de inexistência do vínculo jurídico e a restituição em dobro dos valores descontados.</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5. O desconto indevido em benefício previdenciário, por atingir verba alimentar de pessoa idosa e hipossuficiente, enseja dano moral presumido (in re ipsa), conforme doutrina de Sérgio Cavalieri Filho e jurisprudência desta Corte.</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6. A indenização por dano moral deve atender aos princípios da proporcionalidade e razoabilidade, considerando a gravidade do dano e a função compensatória e pedagógica da condenação.</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7. Mantendo coerência com os parâmetros desta 8ª Câmara Cível, fixa-se o quantum indenizatório em R$ 5.000,00 (cinco mil reais).8. Os juros moratórios incidem à razão de 1% ao mês até 30.08.2024, e, a partir de então, pela taxa SELIC, deduzido o IPCA, conforme arts. 398 e 406, §1º, do Código Civil (redação da Lei 14.905/2024).9. Correção monetária pelo IPCA, a partir da data do arbitramento da indenização (Súmula 362/STJ).10. Com a reforma da sentença, invertem-se os ônus sucumbenciais, fixando-se os honorários advocatícios em 15% sobre o valor da condenação, conforme art. 85, §2º, do CPC.</w:t>
      </w:r>
      <w:r w:rsidR="007358E3">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11. Indevida a fixação da verba honorária por equidade, uma vez que o proveito econômico foi significativamente majorado com este julgamento.</w:t>
      </w:r>
      <w:r w:rsidR="007358E3">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IV. Dispositivo e tese</w:t>
      </w:r>
      <w:r w:rsidR="007358E3">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12. Recurso de apelação conhecido e parcialmente provido para condenar a ré ao pagamento de indenização por danos morais no valor de R$ 5.000,00 (cinco mil reais), inverter os ônus sucumbenciais e fixar os honorários advocatícios devidos à patrona da autora em 15% sobre o valor da condenação.</w:t>
      </w:r>
      <w:r w:rsidR="007358E3">
        <w:rPr>
          <w:rFonts w:ascii="Times New Roman" w:eastAsia="Times New Roman" w:hAnsi="Times New Roman" w:cs="Times New Roman"/>
          <w:sz w:val="20"/>
          <w:szCs w:val="20"/>
          <w:lang w:eastAsia="pt-BR"/>
        </w:rPr>
        <w:t xml:space="preserve"> </w:t>
      </w:r>
      <w:r w:rsidRPr="007358E3">
        <w:rPr>
          <w:rFonts w:ascii="Times New Roman" w:eastAsia="Times New Roman" w:hAnsi="Times New Roman" w:cs="Times New Roman"/>
          <w:b/>
          <w:bCs/>
          <w:sz w:val="20"/>
          <w:szCs w:val="20"/>
          <w:lang w:eastAsia="pt-BR"/>
        </w:rPr>
        <w:t xml:space="preserve">Tese de julgamento: A ausência de apreciação do pedido de gratuidade da justiça implica em seu deferimento tácito. </w:t>
      </w:r>
      <w:r w:rsidRPr="009836F8">
        <w:rPr>
          <w:rFonts w:ascii="Times New Roman" w:eastAsia="Times New Roman" w:hAnsi="Times New Roman" w:cs="Times New Roman"/>
          <w:sz w:val="20"/>
          <w:szCs w:val="20"/>
          <w:lang w:eastAsia="pt-BR"/>
        </w:rPr>
        <w:t>O desconto indevido em benefício previdenciário de natureza alimentar configura dano moral presumido (in re ipsa), ensejando indenização fixada conforme os princípios da proporcionalidade e razoabilidade</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Dispositivos relevantes citados:</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Constituição Federal, art. 93, IX; Código Civil, arts. 389 (parágrafo único), 398 e 406, §1º; Código de Processo Civil, arts. 85, §§1º, 2º e 8º, 98, §3º e §6º, 99, §4º; Lei 14.905/2024; Código de Defesa do Consumidor, art. 17.</w:t>
      </w:r>
      <w:r>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Jurisprudência relevante citada:</w:t>
      </w:r>
      <w:r w:rsidR="00432EA5">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STJ - AgRg nos EAREsp 440.971/RS; STJ - AgInt no RMS 60.388/TO; STJ - AgInt no AREsp 1.137.758/SP; TJPR - 11ª C. Cível - 0016608-64.2024.8.16.0017 - Rel. Desª Joeci Machado Camargo - J. 20.10.2025; TJPR - 8ª C. Cível - 0004444-96.2023.8.16.0148 - Rel. Ana Cláudia Finger - J. 30.06.2025; TJPR - 8ª C. Cível - 0001799-77.2021.8.16.0113 - Rel. Subst. Ademir Ribeiro Richter - J. 25.08.2025; TJPR - 8ª C. Cível - 0009974-52.2025.8.16.0038 - Rel. Desª Themis de Almeida Furquim - J. 06.10.2025; TJPR - 8ª C. Cível - 0002851-17.2024.8.16.0077 - Rel. Des. Luciano Carrasco Falavinha Souza - J. 09.09.2025.</w:t>
      </w:r>
      <w:r w:rsidR="00432EA5">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(TJPR</w:t>
      </w:r>
      <w:r w:rsidR="00432EA5">
        <w:rPr>
          <w:rFonts w:ascii="Times New Roman" w:eastAsia="Times New Roman" w:hAnsi="Times New Roman" w:cs="Times New Roman"/>
          <w:sz w:val="20"/>
          <w:szCs w:val="20"/>
          <w:lang w:eastAsia="pt-BR"/>
        </w:rPr>
        <w:t>. 8ª Câmara Cível. Relator: Desembargador Ricardo Augusto Reis de Macedo.</w:t>
      </w:r>
      <w:r w:rsidR="007358E3">
        <w:rPr>
          <w:rFonts w:ascii="Times New Roman" w:eastAsia="Times New Roman" w:hAnsi="Times New Roman" w:cs="Times New Roman"/>
          <w:sz w:val="20"/>
          <w:szCs w:val="20"/>
          <w:lang w:eastAsia="pt-BR"/>
        </w:rPr>
        <w:t xml:space="preserve"> </w:t>
      </w:r>
      <w:r w:rsidRPr="009836F8">
        <w:rPr>
          <w:rFonts w:ascii="Times New Roman" w:eastAsia="Times New Roman" w:hAnsi="Times New Roman" w:cs="Times New Roman"/>
          <w:sz w:val="20"/>
          <w:szCs w:val="20"/>
          <w:lang w:eastAsia="pt-BR"/>
        </w:rPr>
        <w:t>0010971-29.2024.8.16.0019</w:t>
      </w:r>
      <w:r w:rsidR="007358E3">
        <w:rPr>
          <w:rFonts w:ascii="Times New Roman" w:eastAsia="Times New Roman" w:hAnsi="Times New Roman" w:cs="Times New Roman"/>
          <w:sz w:val="20"/>
          <w:szCs w:val="20"/>
          <w:lang w:eastAsia="pt-BR"/>
        </w:rPr>
        <w:t xml:space="preserve">. </w:t>
      </w:r>
      <w:r w:rsidR="00106A0E">
        <w:rPr>
          <w:rFonts w:ascii="Times New Roman" w:eastAsia="Times New Roman" w:hAnsi="Times New Roman" w:cs="Times New Roman"/>
          <w:sz w:val="20"/>
          <w:szCs w:val="20"/>
          <w:lang w:eastAsia="pt-BR"/>
        </w:rPr>
        <w:t xml:space="preserve">Ponta </w:t>
      </w:r>
      <w:r w:rsidR="004C4EE6">
        <w:rPr>
          <w:rFonts w:ascii="Times New Roman" w:eastAsia="Times New Roman" w:hAnsi="Times New Roman" w:cs="Times New Roman"/>
          <w:sz w:val="20"/>
          <w:szCs w:val="20"/>
          <w:lang w:eastAsia="pt-BR"/>
        </w:rPr>
        <w:t>Grossa. Data de julgamento: 15-12-2025).</w:t>
      </w:r>
    </w:p>
    <w:p w14:paraId="158F21F5" w14:textId="77777777" w:rsidR="000F1D93" w:rsidRDefault="000F1D93" w:rsidP="000F1D93">
      <w:pPr>
        <w:spacing w:before="240" w:after="240" w:line="360" w:lineRule="auto"/>
        <w:ind w:firstLine="709"/>
        <w:jc w:val="both"/>
        <w:rPr>
          <w:rFonts w:ascii="Times New Roman" w:eastAsia="Times New Roman" w:hAnsi="Times New Roman" w:cs="Times New Roman"/>
          <w:bCs/>
          <w:sz w:val="24"/>
          <w:szCs w:val="24"/>
          <w:lang w:eastAsia="pt-BR"/>
        </w:rPr>
      </w:pPr>
    </w:p>
    <w:p w14:paraId="2ED51BCA" w14:textId="6CFBDE61" w:rsidR="000F1D93" w:rsidRPr="002E1589" w:rsidRDefault="000F1D93" w:rsidP="000F1D93">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Não tendo havido determinação para recolhimento de preparo ou indeferimento do pleito no julgamento da apelação, deve-se reconhecer a omissão apenas para declarar que o benefício milita em favor do recorrente.</w:t>
      </w:r>
    </w:p>
    <w:p w14:paraId="652AEB9E" w14:textId="2117CAB8" w:rsidR="008C6409" w:rsidRPr="002E1589" w:rsidRDefault="008C6409" w:rsidP="008C6409">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Portanto, acolhem-se os embargos</w:t>
      </w:r>
      <w:r w:rsidR="000F1D93">
        <w:rPr>
          <w:rFonts w:ascii="Times New Roman" w:eastAsia="Times New Roman" w:hAnsi="Times New Roman" w:cs="Times New Roman"/>
          <w:bCs/>
          <w:sz w:val="24"/>
          <w:szCs w:val="24"/>
          <w:lang w:eastAsia="pt-BR"/>
        </w:rPr>
        <w:t>,</w:t>
      </w:r>
      <w:r w:rsidRPr="002E1589">
        <w:rPr>
          <w:rFonts w:ascii="Times New Roman" w:eastAsia="Times New Roman" w:hAnsi="Times New Roman" w:cs="Times New Roman"/>
          <w:bCs/>
          <w:sz w:val="24"/>
          <w:szCs w:val="24"/>
          <w:lang w:eastAsia="pt-BR"/>
        </w:rPr>
        <w:t xml:space="preserve"> neste ponto</w:t>
      </w:r>
      <w:r w:rsidR="000F1D93">
        <w:rPr>
          <w:rFonts w:ascii="Times New Roman" w:eastAsia="Times New Roman" w:hAnsi="Times New Roman" w:cs="Times New Roman"/>
          <w:bCs/>
          <w:sz w:val="24"/>
          <w:szCs w:val="24"/>
          <w:lang w:eastAsia="pt-BR"/>
        </w:rPr>
        <w:t>,</w:t>
      </w:r>
      <w:r w:rsidRPr="002E1589">
        <w:rPr>
          <w:rFonts w:ascii="Times New Roman" w:eastAsia="Times New Roman" w:hAnsi="Times New Roman" w:cs="Times New Roman"/>
          <w:bCs/>
          <w:sz w:val="24"/>
          <w:szCs w:val="24"/>
          <w:lang w:eastAsia="pt-BR"/>
        </w:rPr>
        <w:t xml:space="preserve"> para suprir a omissão e reconhecer a concessão da gratuidade da justiça ao </w:t>
      </w:r>
      <w:r w:rsidR="00BF3249">
        <w:rPr>
          <w:rFonts w:ascii="Times New Roman" w:eastAsia="Times New Roman" w:hAnsi="Times New Roman" w:cs="Times New Roman"/>
          <w:bCs/>
          <w:sz w:val="24"/>
          <w:szCs w:val="24"/>
          <w:lang w:eastAsia="pt-BR"/>
        </w:rPr>
        <w:t>e</w:t>
      </w:r>
      <w:r w:rsidRPr="002E1589">
        <w:rPr>
          <w:rFonts w:ascii="Times New Roman" w:eastAsia="Times New Roman" w:hAnsi="Times New Roman" w:cs="Times New Roman"/>
          <w:bCs/>
          <w:sz w:val="24"/>
          <w:szCs w:val="24"/>
          <w:lang w:eastAsia="pt-BR"/>
        </w:rPr>
        <w:t>mbargante, com efeitos</w:t>
      </w:r>
      <w:r w:rsidR="000F1D93">
        <w:rPr>
          <w:rFonts w:ascii="Times New Roman" w:eastAsia="Times New Roman" w:hAnsi="Times New Roman" w:cs="Times New Roman"/>
          <w:bCs/>
          <w:sz w:val="24"/>
          <w:szCs w:val="24"/>
          <w:lang w:eastAsia="pt-BR"/>
        </w:rPr>
        <w:t xml:space="preserve"> desde </w:t>
      </w:r>
      <w:r w:rsidR="00AE7E75">
        <w:rPr>
          <w:rFonts w:ascii="Times New Roman" w:eastAsia="Times New Roman" w:hAnsi="Times New Roman" w:cs="Times New Roman"/>
          <w:bCs/>
          <w:sz w:val="24"/>
          <w:szCs w:val="24"/>
          <w:lang w:eastAsia="pt-BR"/>
        </w:rPr>
        <w:t>o requerimento, aduzido na interposição da respectiva apelação.</w:t>
      </w:r>
      <w:r w:rsidR="000169CE">
        <w:rPr>
          <w:rFonts w:ascii="Times New Roman" w:eastAsia="Times New Roman" w:hAnsi="Times New Roman" w:cs="Times New Roman"/>
          <w:bCs/>
          <w:sz w:val="24"/>
          <w:szCs w:val="24"/>
          <w:lang w:eastAsia="pt-BR"/>
        </w:rPr>
        <w:t xml:space="preserve"> </w:t>
      </w:r>
    </w:p>
    <w:p w14:paraId="3DD8B9E3" w14:textId="77777777" w:rsidR="008C6409" w:rsidRDefault="008C6409" w:rsidP="00E71385">
      <w:pPr>
        <w:spacing w:before="240" w:after="240" w:line="360" w:lineRule="auto"/>
        <w:ind w:firstLine="709"/>
        <w:jc w:val="both"/>
        <w:rPr>
          <w:rFonts w:ascii="Times New Roman" w:eastAsia="Times New Roman" w:hAnsi="Times New Roman" w:cs="Times New Roman"/>
          <w:sz w:val="24"/>
          <w:szCs w:val="24"/>
          <w:lang w:eastAsia="pt-BR"/>
        </w:rPr>
      </w:pPr>
    </w:p>
    <w:p w14:paraId="4B251D3A" w14:textId="52FBC942" w:rsidR="006424E1" w:rsidRDefault="008C6409" w:rsidP="008C6409">
      <w:pPr>
        <w:spacing w:before="240" w:after="240" w:line="360" w:lineRule="auto"/>
        <w:ind w:firstLine="709"/>
        <w:jc w:val="both"/>
        <w:rPr>
          <w:rFonts w:ascii="Times New Roman" w:eastAsia="Times New Roman" w:hAnsi="Times New Roman" w:cs="Times New Roman"/>
          <w:sz w:val="24"/>
          <w:szCs w:val="24"/>
          <w:lang w:eastAsia="pt-BR"/>
        </w:rPr>
      </w:pPr>
      <w:r w:rsidRPr="006424E1">
        <w:rPr>
          <w:rFonts w:ascii="Times New Roman" w:eastAsia="Times New Roman" w:hAnsi="Times New Roman" w:cs="Times New Roman"/>
          <w:sz w:val="24"/>
          <w:szCs w:val="24"/>
          <w:lang w:eastAsia="pt-BR"/>
        </w:rPr>
        <w:t>II.I</w:t>
      </w:r>
      <w:r w:rsidR="006424E1">
        <w:rPr>
          <w:rFonts w:ascii="Times New Roman" w:eastAsia="Times New Roman" w:hAnsi="Times New Roman" w:cs="Times New Roman"/>
          <w:sz w:val="24"/>
          <w:szCs w:val="24"/>
          <w:lang w:eastAsia="pt-BR"/>
        </w:rPr>
        <w:t>II – DA PRESCRIÇÃO E DA MODULAÇÃO DOS EFEITOS DA DECISÃO</w:t>
      </w:r>
    </w:p>
    <w:p w14:paraId="3EB4BEA7" w14:textId="5F82DF1E" w:rsidR="00EB246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Do exame do pronunciamento judicial hostilizado, em cotejo com as razões dos embargos, constata-se que a</w:t>
      </w:r>
      <w:r w:rsidR="006424E1">
        <w:rPr>
          <w:rFonts w:ascii="Times New Roman" w:eastAsia="Times New Roman" w:hAnsi="Times New Roman" w:cs="Times New Roman"/>
          <w:sz w:val="24"/>
          <w:szCs w:val="24"/>
          <w:lang w:eastAsia="pt-BR"/>
        </w:rPr>
        <w:t>s</w:t>
      </w:r>
      <w:r>
        <w:rPr>
          <w:rFonts w:ascii="Times New Roman" w:eastAsia="Times New Roman" w:hAnsi="Times New Roman" w:cs="Times New Roman"/>
          <w:sz w:val="24"/>
          <w:szCs w:val="24"/>
          <w:lang w:eastAsia="pt-BR"/>
        </w:rPr>
        <w:t xml:space="preserve"> pretens</w:t>
      </w:r>
      <w:r w:rsidR="006424E1">
        <w:rPr>
          <w:rFonts w:ascii="Times New Roman" w:eastAsia="Times New Roman" w:hAnsi="Times New Roman" w:cs="Times New Roman"/>
          <w:sz w:val="24"/>
          <w:szCs w:val="24"/>
          <w:lang w:eastAsia="pt-BR"/>
        </w:rPr>
        <w:t xml:space="preserve">ões declaratórias </w:t>
      </w:r>
      <w:r w:rsidR="004C6E1F">
        <w:rPr>
          <w:rFonts w:ascii="Times New Roman" w:eastAsia="Times New Roman" w:hAnsi="Times New Roman" w:cs="Times New Roman"/>
          <w:sz w:val="24"/>
          <w:szCs w:val="24"/>
          <w:lang w:eastAsia="pt-BR"/>
        </w:rPr>
        <w:t xml:space="preserve">relacionadas com a prescrição e concessão de prazo para regularização da atividade não possuem </w:t>
      </w:r>
      <w:r w:rsidR="000A46D4">
        <w:rPr>
          <w:rFonts w:ascii="Times New Roman" w:eastAsia="Times New Roman" w:hAnsi="Times New Roman" w:cs="Times New Roman"/>
          <w:sz w:val="24"/>
          <w:szCs w:val="24"/>
          <w:lang w:eastAsia="pt-BR"/>
        </w:rPr>
        <w:t>compatibilidade com o perfil normativo do artigo 1.022 do Código de Processo Civil.</w:t>
      </w:r>
    </w:p>
    <w:p w14:paraId="5B31662E" w14:textId="77777777" w:rsidR="0064639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 do tema:</w:t>
      </w:r>
    </w:p>
    <w:p w14:paraId="1129E428" w14:textId="77777777" w:rsidR="00646399" w:rsidRDefault="00646399" w:rsidP="00646399">
      <w:pPr>
        <w:spacing w:before="240" w:after="240" w:line="360" w:lineRule="auto"/>
        <w:ind w:firstLine="709"/>
        <w:jc w:val="both"/>
        <w:rPr>
          <w:rFonts w:ascii="Times New Roman" w:eastAsia="Times New Roman" w:hAnsi="Times New Roman" w:cs="Times New Roman"/>
          <w:sz w:val="24"/>
          <w:szCs w:val="24"/>
          <w:lang w:eastAsia="pt-BR"/>
        </w:rPr>
      </w:pPr>
    </w:p>
    <w:p w14:paraId="0F228629" w14:textId="0FA0B580" w:rsidR="00646399" w:rsidRDefault="00646399" w:rsidP="00646399">
      <w:pPr>
        <w:spacing w:after="240" w:line="360" w:lineRule="auto"/>
        <w:ind w:left="2268"/>
        <w:jc w:val="both"/>
        <w:rPr>
          <w:rFonts w:ascii="Times New Roman" w:hAnsi="Times New Roman" w:cs="Times New Roman"/>
          <w:sz w:val="20"/>
        </w:rPr>
      </w:pPr>
      <w:r w:rsidRPr="005E3E78">
        <w:rPr>
          <w:rFonts w:ascii="Times New Roman" w:hAnsi="Times New Roman" w:cs="Times New Roman"/>
          <w:sz w:val="20"/>
        </w:rPr>
        <w:t xml:space="preserve">PROCESSUAL CIVIL. ENUNCIADO ADMINISTRATIVO Nº 03/STJ. EMBARGOS DE DECLARAÇÃO. INEXISTÊNCIA DE VÍCIOS NO JULGADO. REDISCUSSÃO DE MATÉRIA JÁ DECIDIDA. IMPOSSIBILIDADE. </w:t>
      </w:r>
      <w:r w:rsidRPr="001F4679">
        <w:rPr>
          <w:rFonts w:ascii="Times New Roman" w:hAnsi="Times New Roman" w:cs="Times New Roman"/>
          <w:b/>
          <w:sz w:val="20"/>
        </w:rPr>
        <w:t xml:space="preserve">1. Os embargos de declaração têm a finalidade simples e única de completar, aclarar ou corrigir uma decisão omissa, obscura ou contraditória. Não são destinados à adequação do decisum ao entendimento da parte embargante, nem ao acolhimento de pretensões que refletem mero inconformismo, e, menos ainda, à rediscussão de questão já resolvida. Precedentes. </w:t>
      </w:r>
      <w:r w:rsidRPr="005E3E78">
        <w:rPr>
          <w:rFonts w:ascii="Times New Roman" w:hAnsi="Times New Roman" w:cs="Times New Roman"/>
          <w:sz w:val="20"/>
        </w:rPr>
        <w:t>2. A análise das razões recursais revela a pretensão da parte em alterar o resultado do decisum, o que é inviável nesta seara recursal. 3. Embargos de declaração r</w:t>
      </w:r>
      <w:r>
        <w:rPr>
          <w:rFonts w:ascii="Times New Roman" w:hAnsi="Times New Roman" w:cs="Times New Roman"/>
          <w:sz w:val="20"/>
        </w:rPr>
        <w:t>ejeitados. (STJ. 1ª Seção. Relator: Ministro Mauro Campbell Marques.</w:t>
      </w:r>
      <w:r w:rsidRPr="005E3E78">
        <w:rPr>
          <w:rFonts w:ascii="Times New Roman" w:hAnsi="Times New Roman" w:cs="Times New Roman"/>
          <w:sz w:val="20"/>
        </w:rPr>
        <w:t xml:space="preserve"> EDcl. no AgRg. nos EAREsp. n. 620.940/RS</w:t>
      </w:r>
      <w:r>
        <w:rPr>
          <w:rFonts w:ascii="Times New Roman" w:hAnsi="Times New Roman" w:cs="Times New Roman"/>
          <w:sz w:val="20"/>
        </w:rPr>
        <w:t>. Data de Julgamento: 14-9-2016. Data de Publicação: 21-9-2016).</w:t>
      </w:r>
    </w:p>
    <w:p w14:paraId="58BE9E48" w14:textId="77777777" w:rsidR="00457F91" w:rsidRDefault="00457F91" w:rsidP="00457F91">
      <w:pPr>
        <w:spacing w:before="240" w:after="240" w:line="360" w:lineRule="auto"/>
        <w:jc w:val="both"/>
        <w:rPr>
          <w:rFonts w:ascii="Times New Roman" w:eastAsia="Times New Roman" w:hAnsi="Times New Roman" w:cs="Times New Roman"/>
          <w:sz w:val="24"/>
          <w:szCs w:val="24"/>
          <w:lang w:eastAsia="pt-BR"/>
        </w:rPr>
      </w:pPr>
    </w:p>
    <w:p w14:paraId="42BAB8C1" w14:textId="703F4719" w:rsidR="00AF2B41" w:rsidRDefault="006F6851" w:rsidP="00C665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Todas as questões jurídicas</w:t>
      </w:r>
      <w:r w:rsidR="00993C75">
        <w:rPr>
          <w:rFonts w:ascii="Times New Roman" w:eastAsia="Times New Roman" w:hAnsi="Times New Roman" w:cs="Times New Roman"/>
          <w:sz w:val="24"/>
          <w:szCs w:val="24"/>
          <w:lang w:eastAsia="pt-BR"/>
        </w:rPr>
        <w:t xml:space="preserve"> suscitadas pelas partes </w:t>
      </w:r>
      <w:r w:rsidR="00AA3F2D">
        <w:rPr>
          <w:rFonts w:ascii="Times New Roman" w:eastAsia="Times New Roman" w:hAnsi="Times New Roman" w:cs="Times New Roman"/>
          <w:sz w:val="24"/>
          <w:szCs w:val="24"/>
          <w:lang w:eastAsia="pt-BR"/>
        </w:rPr>
        <w:t xml:space="preserve">acerca da prescrição </w:t>
      </w:r>
      <w:r w:rsidR="00993C75">
        <w:rPr>
          <w:rFonts w:ascii="Times New Roman" w:eastAsia="Times New Roman" w:hAnsi="Times New Roman" w:cs="Times New Roman"/>
          <w:sz w:val="24"/>
          <w:szCs w:val="24"/>
          <w:lang w:eastAsia="pt-BR"/>
        </w:rPr>
        <w:t xml:space="preserve">foram objeto </w:t>
      </w:r>
      <w:r w:rsidR="00646399">
        <w:rPr>
          <w:rFonts w:ascii="Times New Roman" w:eastAsia="Times New Roman" w:hAnsi="Times New Roman" w:cs="Times New Roman"/>
          <w:sz w:val="24"/>
          <w:szCs w:val="24"/>
          <w:lang w:eastAsia="pt-BR"/>
        </w:rPr>
        <w:t xml:space="preserve">de percuciente análise e a </w:t>
      </w:r>
      <w:r w:rsidR="00406AFA">
        <w:rPr>
          <w:rFonts w:ascii="Times New Roman" w:eastAsia="Times New Roman" w:hAnsi="Times New Roman" w:cs="Times New Roman"/>
          <w:sz w:val="24"/>
          <w:szCs w:val="24"/>
          <w:lang w:eastAsia="pt-BR"/>
        </w:rPr>
        <w:t xml:space="preserve">respectiva </w:t>
      </w:r>
      <w:r w:rsidR="00646399">
        <w:rPr>
          <w:rFonts w:ascii="Times New Roman" w:eastAsia="Times New Roman" w:hAnsi="Times New Roman" w:cs="Times New Roman"/>
          <w:sz w:val="24"/>
          <w:szCs w:val="24"/>
          <w:lang w:eastAsia="pt-BR"/>
        </w:rPr>
        <w:t>decisão, exposta mediante fundamentação plena, sem nenhuma contradição, omissão, obscuridade ou erro material.</w:t>
      </w:r>
    </w:p>
    <w:p w14:paraId="3DE32CCD" w14:textId="10018685" w:rsidR="00AA3F2D" w:rsidRDefault="00AA3F2D" w:rsidP="00C6658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Não houve, outrossim, pedido recursal expresso para modulação dos efeitos da decisão </w:t>
      </w:r>
      <w:r w:rsidR="002D1A3F">
        <w:rPr>
          <w:rFonts w:ascii="Times New Roman" w:eastAsia="Times New Roman" w:hAnsi="Times New Roman" w:cs="Times New Roman"/>
          <w:sz w:val="24"/>
          <w:szCs w:val="24"/>
          <w:lang w:eastAsia="pt-BR"/>
        </w:rPr>
        <w:t>ou concessão de prazo para adequação do recinto destinado ao armazenamento de botijões de gás (</w:t>
      </w:r>
      <w:r w:rsidR="00222EEE">
        <w:rPr>
          <w:rFonts w:ascii="Times New Roman" w:eastAsia="Times New Roman" w:hAnsi="Times New Roman" w:cs="Times New Roman"/>
          <w:sz w:val="24"/>
          <w:szCs w:val="24"/>
          <w:lang w:eastAsia="pt-BR"/>
        </w:rPr>
        <w:t>evento 214.1 – autos de origem).</w:t>
      </w:r>
    </w:p>
    <w:p w14:paraId="03872630" w14:textId="7E0B5C64" w:rsidR="00E86099" w:rsidRDefault="00A058C8" w:rsidP="00B30D6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Constata-se, portanto, </w:t>
      </w:r>
      <w:r w:rsidR="00E86099">
        <w:rPr>
          <w:rFonts w:ascii="Times New Roman" w:eastAsia="Times New Roman" w:hAnsi="Times New Roman" w:cs="Times New Roman"/>
          <w:sz w:val="24"/>
          <w:szCs w:val="24"/>
          <w:lang w:eastAsia="pt-BR"/>
        </w:rPr>
        <w:t>evidente propósito de rediscussão da matéria por via oblíqua, o que excede o estreito perímetro cognitivo dos embargos de declaração.</w:t>
      </w:r>
    </w:p>
    <w:p w14:paraId="4ACF0C2D" w14:textId="6F387C8B" w:rsidR="00E86099" w:rsidRDefault="00A058C8" w:rsidP="00B30D6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Nessas condições, não se excogita o acolhimento do repto.</w:t>
      </w:r>
    </w:p>
    <w:p w14:paraId="6406E859" w14:textId="77777777" w:rsidR="00B26779" w:rsidRDefault="00B26779" w:rsidP="004C0DB6">
      <w:pPr>
        <w:spacing w:before="240" w:after="240" w:line="360" w:lineRule="auto"/>
        <w:ind w:firstLine="709"/>
        <w:jc w:val="both"/>
        <w:rPr>
          <w:rFonts w:ascii="Times New Roman" w:eastAsia="Times New Roman" w:hAnsi="Times New Roman" w:cs="Times New Roman"/>
          <w:sz w:val="24"/>
          <w:szCs w:val="24"/>
          <w:lang w:eastAsia="pt-BR"/>
        </w:rPr>
      </w:pPr>
    </w:p>
    <w:p w14:paraId="226276F4" w14:textId="27692E95" w:rsidR="00887805" w:rsidRPr="00A33BD4" w:rsidRDefault="00887805" w:rsidP="0088780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w:t>
      </w:r>
      <w:r>
        <w:rPr>
          <w:rFonts w:ascii="Times New Roman" w:eastAsia="Times New Roman" w:hAnsi="Times New Roman" w:cs="Times New Roman"/>
          <w:sz w:val="24"/>
          <w:szCs w:val="24"/>
          <w:lang w:eastAsia="pt-BR"/>
        </w:rPr>
        <w:t>V</w:t>
      </w:r>
      <w:r>
        <w:rPr>
          <w:rFonts w:ascii="Times New Roman" w:eastAsia="Times New Roman" w:hAnsi="Times New Roman" w:cs="Times New Roman"/>
          <w:sz w:val="24"/>
          <w:szCs w:val="24"/>
          <w:lang w:eastAsia="pt-BR"/>
        </w:rPr>
        <w:t xml:space="preserve"> –</w:t>
      </w:r>
      <w:r w:rsidRPr="00A33BD4">
        <w:rPr>
          <w:rFonts w:ascii="Times New Roman" w:eastAsia="Times New Roman" w:hAnsi="Times New Roman" w:cs="Times New Roman"/>
          <w:sz w:val="24"/>
          <w:szCs w:val="24"/>
          <w:lang w:eastAsia="pt-BR"/>
        </w:rPr>
        <w:t xml:space="preserve"> DA PENALIDADE PROCESSUAL</w:t>
      </w:r>
    </w:p>
    <w:p w14:paraId="367A2EDB" w14:textId="77777777" w:rsidR="00887805" w:rsidRPr="00A33BD4" w:rsidRDefault="00887805" w:rsidP="00887805">
      <w:pPr>
        <w:spacing w:before="240" w:after="240" w:line="360" w:lineRule="auto"/>
        <w:ind w:firstLine="709"/>
        <w:jc w:val="both"/>
        <w:rPr>
          <w:rFonts w:ascii="Times New Roman" w:eastAsia="Times New Roman" w:hAnsi="Times New Roman" w:cs="Times New Roman"/>
          <w:sz w:val="24"/>
          <w:szCs w:val="24"/>
          <w:lang w:eastAsia="pt-BR"/>
        </w:rPr>
      </w:pPr>
      <w:r w:rsidRPr="00A33BD4">
        <w:rPr>
          <w:rFonts w:ascii="Times New Roman" w:eastAsia="Times New Roman" w:hAnsi="Times New Roman" w:cs="Times New Roman"/>
          <w:sz w:val="24"/>
          <w:szCs w:val="24"/>
          <w:lang w:eastAsia="pt-BR"/>
        </w:rPr>
        <w:t xml:space="preserve">Por fim, contrariamente ao argumentado </w:t>
      </w:r>
      <w:r>
        <w:rPr>
          <w:rFonts w:ascii="Times New Roman" w:eastAsia="Times New Roman" w:hAnsi="Times New Roman" w:cs="Times New Roman"/>
          <w:sz w:val="24"/>
          <w:szCs w:val="24"/>
          <w:lang w:eastAsia="pt-BR"/>
        </w:rPr>
        <w:t>nas contrarrazões</w:t>
      </w:r>
      <w:r w:rsidRPr="00A33BD4">
        <w:rPr>
          <w:rFonts w:ascii="Times New Roman" w:eastAsia="Times New Roman" w:hAnsi="Times New Roman" w:cs="Times New Roman"/>
          <w:sz w:val="24"/>
          <w:szCs w:val="24"/>
          <w:lang w:eastAsia="pt-BR"/>
        </w:rPr>
        <w:t>, o manejo do recurso em questão não ocorreu em excesso ao legítimo exercício das garantias processuais à ampla defesa e ao contraditório.</w:t>
      </w:r>
    </w:p>
    <w:p w14:paraId="08645497" w14:textId="2B463447" w:rsidR="00887805" w:rsidRPr="00A33BD4" w:rsidRDefault="00887805" w:rsidP="00887805">
      <w:pPr>
        <w:spacing w:after="240" w:line="360" w:lineRule="auto"/>
        <w:ind w:firstLine="709"/>
        <w:jc w:val="both"/>
        <w:rPr>
          <w:rFonts w:ascii="Times New Roman" w:hAnsi="Times New Roman" w:cs="Times New Roman"/>
          <w:iCs/>
          <w:sz w:val="24"/>
          <w:szCs w:val="24"/>
        </w:rPr>
      </w:pPr>
      <w:r w:rsidRPr="00A33BD4">
        <w:rPr>
          <w:rFonts w:ascii="Times New Roman" w:hAnsi="Times New Roman" w:cs="Times New Roman"/>
          <w:iCs/>
          <w:sz w:val="24"/>
          <w:szCs w:val="24"/>
        </w:rPr>
        <w:t>Para caracterização da manifesta protelação, categoria instituída no artigo 1.026, § 2</w:t>
      </w:r>
      <w:r w:rsidR="00870256">
        <w:rPr>
          <w:rFonts w:ascii="Times New Roman" w:hAnsi="Times New Roman" w:cs="Times New Roman"/>
          <w:iCs/>
          <w:sz w:val="24"/>
          <w:szCs w:val="24"/>
        </w:rPr>
        <w:t xml:space="preserve"> </w:t>
      </w:r>
      <w:r w:rsidRPr="00A33BD4">
        <w:rPr>
          <w:rFonts w:ascii="Times New Roman" w:hAnsi="Times New Roman" w:cs="Times New Roman"/>
          <w:iCs/>
          <w:sz w:val="24"/>
          <w:szCs w:val="24"/>
        </w:rPr>
        <w:t>º, do Código de Processo Civil, exige-se conduta dolosa da parte em procrastinar injustificadamente o procedimento.</w:t>
      </w:r>
    </w:p>
    <w:p w14:paraId="0C0DCDD8" w14:textId="77777777" w:rsidR="00887805" w:rsidRPr="00A33BD4" w:rsidRDefault="00887805" w:rsidP="00887805">
      <w:pPr>
        <w:spacing w:after="240" w:line="360" w:lineRule="auto"/>
        <w:ind w:firstLine="709"/>
        <w:jc w:val="both"/>
        <w:rPr>
          <w:rFonts w:ascii="Times New Roman" w:hAnsi="Times New Roman" w:cs="Times New Roman"/>
          <w:iCs/>
          <w:sz w:val="24"/>
          <w:szCs w:val="24"/>
        </w:rPr>
      </w:pPr>
      <w:r w:rsidRPr="00A33BD4">
        <w:rPr>
          <w:rFonts w:ascii="Times New Roman" w:hAnsi="Times New Roman" w:cs="Times New Roman"/>
          <w:iCs/>
          <w:sz w:val="24"/>
          <w:szCs w:val="24"/>
        </w:rPr>
        <w:t>O exercício de legítimo direito à ampla defesa e ao contraditório, constitucionalmente previstos, não se subsome ao preceito primário da norma proibitiva.</w:t>
      </w:r>
    </w:p>
    <w:p w14:paraId="089E98A9" w14:textId="77777777" w:rsidR="00887805" w:rsidRPr="00A33BD4" w:rsidRDefault="00887805" w:rsidP="00887805">
      <w:pPr>
        <w:spacing w:after="240" w:line="360" w:lineRule="auto"/>
        <w:ind w:firstLine="709"/>
        <w:jc w:val="both"/>
        <w:rPr>
          <w:rFonts w:ascii="Times New Roman" w:hAnsi="Times New Roman" w:cs="Times New Roman"/>
          <w:iCs/>
          <w:sz w:val="24"/>
          <w:szCs w:val="24"/>
        </w:rPr>
      </w:pPr>
      <w:r w:rsidRPr="00A33BD4">
        <w:rPr>
          <w:rFonts w:ascii="Times New Roman" w:hAnsi="Times New Roman" w:cs="Times New Roman"/>
          <w:iCs/>
          <w:sz w:val="24"/>
          <w:szCs w:val="24"/>
        </w:rPr>
        <w:t>Neste sentido:</w:t>
      </w:r>
    </w:p>
    <w:p w14:paraId="47533FEB" w14:textId="77777777" w:rsidR="00887805" w:rsidRPr="00A33BD4" w:rsidRDefault="00887805" w:rsidP="00887805">
      <w:pPr>
        <w:spacing w:after="240" w:line="360" w:lineRule="auto"/>
        <w:ind w:firstLine="709"/>
        <w:jc w:val="both"/>
        <w:rPr>
          <w:rFonts w:ascii="Times New Roman" w:hAnsi="Times New Roman" w:cs="Times New Roman"/>
          <w:iCs/>
          <w:sz w:val="24"/>
          <w:szCs w:val="24"/>
        </w:rPr>
      </w:pPr>
    </w:p>
    <w:p w14:paraId="5FC800DF" w14:textId="77777777" w:rsidR="00887805" w:rsidRPr="00A33BD4" w:rsidRDefault="00887805" w:rsidP="00887805">
      <w:pPr>
        <w:spacing w:after="240" w:line="360" w:lineRule="auto"/>
        <w:ind w:left="2268"/>
        <w:jc w:val="both"/>
        <w:rPr>
          <w:rFonts w:ascii="Times New Roman" w:hAnsi="Times New Roman" w:cs="Times New Roman"/>
          <w:iCs/>
          <w:sz w:val="20"/>
          <w:szCs w:val="24"/>
        </w:rPr>
      </w:pPr>
      <w:r w:rsidRPr="00A33BD4">
        <w:rPr>
          <w:rFonts w:ascii="Times New Roman" w:hAnsi="Times New Roman" w:cs="Times New Roman"/>
          <w:iCs/>
          <w:sz w:val="20"/>
          <w:szCs w:val="24"/>
        </w:rPr>
        <w:t>CIVIL E PROCESSO CIVIL. AÇÃO DECLARATÓRIA DE INEXISTÊNCIA DE RELAÇÃO JURÍDICA E NULIDADE DE TÍTULOS DE CRÉDITO C/C COMPENSAÇÃO POR DANOS MORAIS. NEGATIVA DE PRESTAÇÃO JURISDICIONAL. AUSÊNCIA. VIOLAÇÃO DE DISPOSITIVO CONSTITUCIONAL E SÚMULA. DESCABIMENTO. PRÉ-QUESTIONAMENTO. AUSÊNCIA. SÚMULA 282/STF. FUNDAMENTO DO ACÓRDÃO NÃO IMPUGNADO. SÚMULA 283/STF. FUNDAMENTAÇÃO DEFICIENTE. SÚMULA 284/STF. LITIGÂNCIA DE MÁ-FÉ. CONDUTA DESLEAL NÃO CARACTERIZADA. PROTESTO INDEVIDO. DUPLICATAS EMITIDAS FRAUDULENTAMENTE. DANOS MORAIS. VALOR ARBITRADO. MAJORAÇÃO. SÚMULA 07/STJ. JUROS DE MORA E CORREÇÃO MONETÁRIA. TERMO INICIAL. SÚMULA 54/STJ. SÚMULA 362/STJ. [...] 6. O exercício legítimo do contraditório e da ampla defesa, com todos os meios e recursos a ela inerentes (art. 5º, LV, da CF/88), não se caracteriza como litigância de má-fé, salvo se ficar comprovada a intenção da parte de obstruir o trâmite regular do processo (dolo), a configurar uma conduta desleal por abuso de direito. 7. Na espécie, não há qualquer referência no acórdão recorrido à eventual atuação desleal da recorrente, senão vinculada à improcedência da pretensão deduzida na cautelar incidental, circunstância que, frise-se, não constitui, por si mesma, resistência injustificada ao andamento do processo. [...] 12. Recursos especiais parcialmente conhecidos e providos em parte. (STJ. Terceira Turma. Relatora: Ministra Nancy Andrighi. REsp n. 1.423.942/SP. Data de julgamento: 26-9-2017. Data de publicação: 29-9-2017).</w:t>
      </w:r>
    </w:p>
    <w:p w14:paraId="16D65770" w14:textId="77777777" w:rsidR="00887805" w:rsidRPr="00A33BD4" w:rsidRDefault="00887805" w:rsidP="00887805">
      <w:pPr>
        <w:spacing w:after="240" w:line="360" w:lineRule="auto"/>
        <w:ind w:firstLine="709"/>
        <w:jc w:val="both"/>
        <w:rPr>
          <w:rFonts w:ascii="Times New Roman" w:hAnsi="Times New Roman" w:cs="Times New Roman"/>
          <w:iCs/>
          <w:sz w:val="24"/>
          <w:szCs w:val="24"/>
          <w:highlight w:val="yellow"/>
        </w:rPr>
      </w:pPr>
    </w:p>
    <w:p w14:paraId="37E510CC" w14:textId="77777777" w:rsidR="00887805" w:rsidRPr="00BD0267" w:rsidRDefault="00887805" w:rsidP="00887805">
      <w:pPr>
        <w:spacing w:before="240" w:after="240" w:line="360" w:lineRule="auto"/>
        <w:ind w:firstLine="709"/>
        <w:jc w:val="both"/>
        <w:rPr>
          <w:rFonts w:ascii="Times New Roman" w:hAnsi="Times New Roman" w:cs="Times New Roman"/>
          <w:iCs/>
          <w:sz w:val="24"/>
          <w:szCs w:val="24"/>
        </w:rPr>
      </w:pPr>
      <w:r w:rsidRPr="00A33BD4">
        <w:rPr>
          <w:rFonts w:ascii="Times New Roman" w:hAnsi="Times New Roman" w:cs="Times New Roman"/>
          <w:iCs/>
          <w:sz w:val="24"/>
          <w:szCs w:val="24"/>
        </w:rPr>
        <w:t>Indefere-se, pois, a pretensão punitiva</w:t>
      </w:r>
      <w:r>
        <w:rPr>
          <w:rFonts w:ascii="Times New Roman" w:hAnsi="Times New Roman" w:cs="Times New Roman"/>
          <w:iCs/>
          <w:sz w:val="24"/>
          <w:szCs w:val="24"/>
        </w:rPr>
        <w:t>.</w:t>
      </w:r>
    </w:p>
    <w:p w14:paraId="69E21C3E" w14:textId="77777777" w:rsidR="00887805" w:rsidRDefault="00887805" w:rsidP="004C0DB6">
      <w:pPr>
        <w:spacing w:before="240" w:after="240" w:line="360" w:lineRule="auto"/>
        <w:ind w:firstLine="709"/>
        <w:jc w:val="both"/>
        <w:rPr>
          <w:rFonts w:ascii="Times New Roman" w:eastAsia="Times New Roman" w:hAnsi="Times New Roman" w:cs="Times New Roman"/>
          <w:sz w:val="24"/>
          <w:szCs w:val="24"/>
          <w:lang w:eastAsia="pt-BR"/>
        </w:rPr>
      </w:pPr>
    </w:p>
    <w:p w14:paraId="21F69BED" w14:textId="092CE180" w:rsidR="00FA0793" w:rsidRDefault="002E4C4B" w:rsidP="00FA079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w:t>
      </w:r>
      <w:r w:rsidR="00222EEE">
        <w:rPr>
          <w:rFonts w:ascii="Times New Roman" w:eastAsia="Times New Roman" w:hAnsi="Times New Roman" w:cs="Times New Roman"/>
          <w:sz w:val="24"/>
          <w:szCs w:val="24"/>
          <w:lang w:eastAsia="pt-BR"/>
        </w:rPr>
        <w:t>V</w:t>
      </w:r>
      <w:r>
        <w:rPr>
          <w:rFonts w:ascii="Times New Roman" w:eastAsia="Times New Roman" w:hAnsi="Times New Roman" w:cs="Times New Roman"/>
          <w:sz w:val="24"/>
          <w:szCs w:val="24"/>
          <w:lang w:eastAsia="pt-BR"/>
        </w:rPr>
        <w:t xml:space="preserve"> </w:t>
      </w:r>
      <w:r w:rsidR="005028C4">
        <w:rPr>
          <w:rFonts w:ascii="Times New Roman" w:eastAsia="Times New Roman" w:hAnsi="Times New Roman" w:cs="Times New Roman"/>
          <w:sz w:val="24"/>
          <w:szCs w:val="24"/>
          <w:lang w:eastAsia="pt-BR"/>
        </w:rPr>
        <w:t>–</w:t>
      </w:r>
      <w:r>
        <w:rPr>
          <w:rFonts w:ascii="Times New Roman" w:eastAsia="Times New Roman" w:hAnsi="Times New Roman" w:cs="Times New Roman"/>
          <w:sz w:val="24"/>
          <w:szCs w:val="24"/>
          <w:lang w:eastAsia="pt-BR"/>
        </w:rPr>
        <w:t xml:space="preserve"> DA CONCLUSÃO</w:t>
      </w:r>
    </w:p>
    <w:p w14:paraId="7DC83DF9" w14:textId="77777777" w:rsidR="00222EEE" w:rsidRDefault="00FA0793" w:rsidP="00FA0793">
      <w:pPr>
        <w:spacing w:before="240" w:after="240" w:line="360" w:lineRule="auto"/>
        <w:ind w:firstLine="709"/>
        <w:jc w:val="both"/>
        <w:rPr>
          <w:rFonts w:ascii="Times New Roman" w:eastAsia="Times New Roman" w:hAnsi="Times New Roman" w:cs="Times New Roman"/>
          <w:bCs/>
          <w:sz w:val="24"/>
          <w:szCs w:val="24"/>
          <w:lang w:eastAsia="pt-BR"/>
        </w:rPr>
      </w:pPr>
      <w:r w:rsidRPr="002E1589">
        <w:rPr>
          <w:rFonts w:ascii="Times New Roman" w:eastAsia="Times New Roman" w:hAnsi="Times New Roman" w:cs="Times New Roman"/>
          <w:bCs/>
          <w:sz w:val="24"/>
          <w:szCs w:val="24"/>
          <w:lang w:eastAsia="pt-BR"/>
        </w:rPr>
        <w:t xml:space="preserve">Pela conjugação das premissas alinhavadas, a solução a ser adotada consiste no </w:t>
      </w:r>
      <w:r w:rsidRPr="002E1589">
        <w:rPr>
          <w:rFonts w:ascii="Times New Roman" w:eastAsia="Times New Roman" w:hAnsi="Times New Roman" w:cs="Times New Roman"/>
          <w:sz w:val="24"/>
          <w:szCs w:val="24"/>
          <w:lang w:eastAsia="pt-BR"/>
        </w:rPr>
        <w:t xml:space="preserve">conhecimento e parcial provimento </w:t>
      </w:r>
      <w:r w:rsidR="00222EEE">
        <w:rPr>
          <w:rFonts w:ascii="Times New Roman" w:eastAsia="Times New Roman" w:hAnsi="Times New Roman" w:cs="Times New Roman"/>
          <w:bCs/>
          <w:sz w:val="24"/>
          <w:szCs w:val="24"/>
          <w:lang w:eastAsia="pt-BR"/>
        </w:rPr>
        <w:t>do recurso.</w:t>
      </w:r>
    </w:p>
    <w:p w14:paraId="2F25F3EC" w14:textId="06C5735E" w:rsidR="007D706F" w:rsidRDefault="00222EEE"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4FC13186" w14:textId="77777777" w:rsidR="00222EEE" w:rsidRDefault="00222EEE" w:rsidP="00E71385">
      <w:pPr>
        <w:spacing w:before="240" w:after="240" w:line="360" w:lineRule="auto"/>
        <w:ind w:firstLine="709"/>
        <w:jc w:val="both"/>
        <w:rPr>
          <w:rFonts w:ascii="Times New Roman" w:eastAsia="Times New Roman" w:hAnsi="Times New Roman" w:cs="Times New Roman"/>
          <w:sz w:val="24"/>
          <w:szCs w:val="24"/>
          <w:lang w:eastAsia="pt-BR"/>
        </w:rPr>
      </w:pPr>
    </w:p>
    <w:p w14:paraId="3CA465AC" w14:textId="38744746" w:rsidR="00822080" w:rsidRPr="008C6409" w:rsidRDefault="00FB27C5" w:rsidP="008C6409">
      <w:pPr>
        <w:spacing w:before="240" w:after="240" w:line="360" w:lineRule="auto"/>
        <w:ind w:firstLine="709"/>
        <w:jc w:val="both"/>
        <w:rPr>
          <w:rFonts w:ascii="Times New Roman" w:hAnsi="Times New Roman" w:cs="Times New Roman"/>
          <w:b/>
          <w:sz w:val="24"/>
          <w:szCs w:val="24"/>
        </w:rPr>
      </w:pPr>
      <w:r w:rsidRPr="002E4C4B">
        <w:rPr>
          <w:rFonts w:ascii="Times New Roman" w:hAnsi="Times New Roman" w:cs="Times New Roman"/>
          <w:b/>
          <w:sz w:val="24"/>
          <w:szCs w:val="24"/>
        </w:rPr>
        <w:t xml:space="preserve">III </w:t>
      </w:r>
      <w:r w:rsidR="003F76F3" w:rsidRPr="002E4C4B">
        <w:rPr>
          <w:rFonts w:ascii="Times New Roman" w:hAnsi="Times New Roman" w:cs="Times New Roman"/>
          <w:b/>
          <w:sz w:val="24"/>
          <w:szCs w:val="24"/>
        </w:rPr>
        <w:t>–</w:t>
      </w:r>
      <w:r w:rsidRPr="002E4C4B">
        <w:rPr>
          <w:rFonts w:ascii="Times New Roman" w:hAnsi="Times New Roman" w:cs="Times New Roman"/>
          <w:b/>
          <w:sz w:val="24"/>
          <w:szCs w:val="24"/>
        </w:rPr>
        <w:t xml:space="preserve"> DECISÃO</w:t>
      </w:r>
    </w:p>
    <w:sectPr w:rsidR="00822080" w:rsidRPr="008C640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4804" w14:textId="77777777" w:rsidR="001A797D" w:rsidRDefault="001A797D" w:rsidP="00647C71">
      <w:pPr>
        <w:spacing w:after="0" w:line="240" w:lineRule="auto"/>
      </w:pPr>
      <w:r>
        <w:separator/>
      </w:r>
    </w:p>
  </w:endnote>
  <w:endnote w:type="continuationSeparator" w:id="0">
    <w:p w14:paraId="5C56368C" w14:textId="77777777" w:rsidR="001A797D" w:rsidRDefault="001A797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4393" w14:textId="77777777" w:rsidR="001A797D" w:rsidRDefault="001A797D" w:rsidP="00647C71">
      <w:pPr>
        <w:spacing w:after="0" w:line="240" w:lineRule="auto"/>
      </w:pPr>
      <w:r>
        <w:separator/>
      </w:r>
    </w:p>
  </w:footnote>
  <w:footnote w:type="continuationSeparator" w:id="0">
    <w:p w14:paraId="4D6DCB1A" w14:textId="77777777" w:rsidR="001A797D" w:rsidRDefault="001A797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DC7"/>
    <w:multiLevelType w:val="multilevel"/>
    <w:tmpl w:val="DF72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2BB61C57"/>
    <w:multiLevelType w:val="multilevel"/>
    <w:tmpl w:val="DF72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302C48D1"/>
    <w:multiLevelType w:val="multilevel"/>
    <w:tmpl w:val="8444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295214825">
    <w:abstractNumId w:val="2"/>
  </w:num>
  <w:num w:numId="2" w16cid:durableId="1809395550">
    <w:abstractNumId w:val="9"/>
  </w:num>
  <w:num w:numId="3" w16cid:durableId="1978492850">
    <w:abstractNumId w:val="8"/>
  </w:num>
  <w:num w:numId="4" w16cid:durableId="1890416001">
    <w:abstractNumId w:val="7"/>
  </w:num>
  <w:num w:numId="5" w16cid:durableId="1044672355">
    <w:abstractNumId w:val="5"/>
  </w:num>
  <w:num w:numId="6" w16cid:durableId="808397163">
    <w:abstractNumId w:val="1"/>
  </w:num>
  <w:num w:numId="7" w16cid:durableId="1224829788">
    <w:abstractNumId w:val="10"/>
  </w:num>
  <w:num w:numId="8" w16cid:durableId="1296644228">
    <w:abstractNumId w:val="11"/>
  </w:num>
  <w:num w:numId="9" w16cid:durableId="90123114">
    <w:abstractNumId w:val="3"/>
  </w:num>
  <w:num w:numId="10" w16cid:durableId="1513184432">
    <w:abstractNumId w:val="6"/>
  </w:num>
  <w:num w:numId="11" w16cid:durableId="378670182">
    <w:abstractNumId w:val="0"/>
  </w:num>
  <w:num w:numId="12" w16cid:durableId="1946883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4016"/>
    <w:rsid w:val="00007C57"/>
    <w:rsid w:val="00010D7D"/>
    <w:rsid w:val="000160BD"/>
    <w:rsid w:val="000167D1"/>
    <w:rsid w:val="000169CE"/>
    <w:rsid w:val="00020043"/>
    <w:rsid w:val="000200F3"/>
    <w:rsid w:val="00022B72"/>
    <w:rsid w:val="00026881"/>
    <w:rsid w:val="00027916"/>
    <w:rsid w:val="000306E0"/>
    <w:rsid w:val="00031211"/>
    <w:rsid w:val="00032A45"/>
    <w:rsid w:val="0003365C"/>
    <w:rsid w:val="000349DC"/>
    <w:rsid w:val="000374DD"/>
    <w:rsid w:val="0004000E"/>
    <w:rsid w:val="00045A03"/>
    <w:rsid w:val="00046137"/>
    <w:rsid w:val="00051782"/>
    <w:rsid w:val="000536CB"/>
    <w:rsid w:val="00054451"/>
    <w:rsid w:val="000574CD"/>
    <w:rsid w:val="000578C0"/>
    <w:rsid w:val="000606BA"/>
    <w:rsid w:val="0006301E"/>
    <w:rsid w:val="0006738E"/>
    <w:rsid w:val="00070921"/>
    <w:rsid w:val="00074A6B"/>
    <w:rsid w:val="000753E6"/>
    <w:rsid w:val="00075CD3"/>
    <w:rsid w:val="000771EB"/>
    <w:rsid w:val="00082633"/>
    <w:rsid w:val="0009029D"/>
    <w:rsid w:val="00090706"/>
    <w:rsid w:val="000943C5"/>
    <w:rsid w:val="000A1580"/>
    <w:rsid w:val="000A1845"/>
    <w:rsid w:val="000A2939"/>
    <w:rsid w:val="000A46D4"/>
    <w:rsid w:val="000A50E5"/>
    <w:rsid w:val="000B0707"/>
    <w:rsid w:val="000B081D"/>
    <w:rsid w:val="000B0F0C"/>
    <w:rsid w:val="000B1A3F"/>
    <w:rsid w:val="000B5F0E"/>
    <w:rsid w:val="000B669D"/>
    <w:rsid w:val="000B6B2B"/>
    <w:rsid w:val="000C15F3"/>
    <w:rsid w:val="000C4101"/>
    <w:rsid w:val="000C4F21"/>
    <w:rsid w:val="000C639F"/>
    <w:rsid w:val="000C6634"/>
    <w:rsid w:val="000C6FB3"/>
    <w:rsid w:val="000D059A"/>
    <w:rsid w:val="000D12AA"/>
    <w:rsid w:val="000D324F"/>
    <w:rsid w:val="000D49BF"/>
    <w:rsid w:val="000D5CD1"/>
    <w:rsid w:val="000D62A2"/>
    <w:rsid w:val="000E1FC1"/>
    <w:rsid w:val="000E2F5C"/>
    <w:rsid w:val="000E3D0A"/>
    <w:rsid w:val="000E6E40"/>
    <w:rsid w:val="000F06C1"/>
    <w:rsid w:val="000F1C40"/>
    <w:rsid w:val="000F1D93"/>
    <w:rsid w:val="000F2C6A"/>
    <w:rsid w:val="00101E92"/>
    <w:rsid w:val="001038D8"/>
    <w:rsid w:val="00106A0E"/>
    <w:rsid w:val="0012073D"/>
    <w:rsid w:val="0012195B"/>
    <w:rsid w:val="0012372F"/>
    <w:rsid w:val="00126791"/>
    <w:rsid w:val="00126C21"/>
    <w:rsid w:val="001302DC"/>
    <w:rsid w:val="00136157"/>
    <w:rsid w:val="00136E48"/>
    <w:rsid w:val="00137B9B"/>
    <w:rsid w:val="001441FD"/>
    <w:rsid w:val="00144B56"/>
    <w:rsid w:val="001505AA"/>
    <w:rsid w:val="00151BE6"/>
    <w:rsid w:val="001539AF"/>
    <w:rsid w:val="00153CFF"/>
    <w:rsid w:val="00156C0C"/>
    <w:rsid w:val="0016094B"/>
    <w:rsid w:val="00160FA5"/>
    <w:rsid w:val="00166E6B"/>
    <w:rsid w:val="00167533"/>
    <w:rsid w:val="00167F69"/>
    <w:rsid w:val="001757B6"/>
    <w:rsid w:val="0018045A"/>
    <w:rsid w:val="00181DD2"/>
    <w:rsid w:val="00183E96"/>
    <w:rsid w:val="001852E6"/>
    <w:rsid w:val="00185B6E"/>
    <w:rsid w:val="00186B58"/>
    <w:rsid w:val="00187157"/>
    <w:rsid w:val="00190005"/>
    <w:rsid w:val="001911F4"/>
    <w:rsid w:val="00191D4B"/>
    <w:rsid w:val="001920B4"/>
    <w:rsid w:val="001A011D"/>
    <w:rsid w:val="001A23D6"/>
    <w:rsid w:val="001A29B1"/>
    <w:rsid w:val="001A468D"/>
    <w:rsid w:val="001A4CA7"/>
    <w:rsid w:val="001A632C"/>
    <w:rsid w:val="001A797D"/>
    <w:rsid w:val="001B3321"/>
    <w:rsid w:val="001B37AD"/>
    <w:rsid w:val="001B4800"/>
    <w:rsid w:val="001B73BB"/>
    <w:rsid w:val="001C239C"/>
    <w:rsid w:val="001C317D"/>
    <w:rsid w:val="001C39D3"/>
    <w:rsid w:val="001C426A"/>
    <w:rsid w:val="001D0BF0"/>
    <w:rsid w:val="001D13E2"/>
    <w:rsid w:val="001D5521"/>
    <w:rsid w:val="001E01CC"/>
    <w:rsid w:val="001E2D26"/>
    <w:rsid w:val="001E5BD5"/>
    <w:rsid w:val="001E61D7"/>
    <w:rsid w:val="001E626B"/>
    <w:rsid w:val="001E6FA2"/>
    <w:rsid w:val="001F0BD9"/>
    <w:rsid w:val="001F26A9"/>
    <w:rsid w:val="001F4679"/>
    <w:rsid w:val="001F5639"/>
    <w:rsid w:val="001F62E9"/>
    <w:rsid w:val="00201354"/>
    <w:rsid w:val="00205BD3"/>
    <w:rsid w:val="00210873"/>
    <w:rsid w:val="0021113B"/>
    <w:rsid w:val="0021140D"/>
    <w:rsid w:val="00211FD6"/>
    <w:rsid w:val="00212A6C"/>
    <w:rsid w:val="00213519"/>
    <w:rsid w:val="0021477B"/>
    <w:rsid w:val="00214D4B"/>
    <w:rsid w:val="00215E32"/>
    <w:rsid w:val="00222CD8"/>
    <w:rsid w:val="00222EEE"/>
    <w:rsid w:val="00223904"/>
    <w:rsid w:val="0022498C"/>
    <w:rsid w:val="00225246"/>
    <w:rsid w:val="00226F44"/>
    <w:rsid w:val="002275AF"/>
    <w:rsid w:val="00227853"/>
    <w:rsid w:val="0023019E"/>
    <w:rsid w:val="002372A2"/>
    <w:rsid w:val="002438A8"/>
    <w:rsid w:val="00250B16"/>
    <w:rsid w:val="00250CAB"/>
    <w:rsid w:val="00251BE7"/>
    <w:rsid w:val="00253657"/>
    <w:rsid w:val="00260675"/>
    <w:rsid w:val="002665C0"/>
    <w:rsid w:val="002703E3"/>
    <w:rsid w:val="00271947"/>
    <w:rsid w:val="0027299B"/>
    <w:rsid w:val="00273C54"/>
    <w:rsid w:val="002752D1"/>
    <w:rsid w:val="00284357"/>
    <w:rsid w:val="002851CC"/>
    <w:rsid w:val="002856EA"/>
    <w:rsid w:val="002879DC"/>
    <w:rsid w:val="00293E14"/>
    <w:rsid w:val="00294EBC"/>
    <w:rsid w:val="002A270B"/>
    <w:rsid w:val="002A4117"/>
    <w:rsid w:val="002A7461"/>
    <w:rsid w:val="002A798A"/>
    <w:rsid w:val="002B370A"/>
    <w:rsid w:val="002B48B3"/>
    <w:rsid w:val="002B7B82"/>
    <w:rsid w:val="002C0F37"/>
    <w:rsid w:val="002C367C"/>
    <w:rsid w:val="002C62E9"/>
    <w:rsid w:val="002D03B9"/>
    <w:rsid w:val="002D1A3F"/>
    <w:rsid w:val="002D2306"/>
    <w:rsid w:val="002D2AC8"/>
    <w:rsid w:val="002D4EB8"/>
    <w:rsid w:val="002D4FAD"/>
    <w:rsid w:val="002D651A"/>
    <w:rsid w:val="002E1565"/>
    <w:rsid w:val="002E1589"/>
    <w:rsid w:val="002E41AA"/>
    <w:rsid w:val="002E433E"/>
    <w:rsid w:val="002E4C4B"/>
    <w:rsid w:val="002E64B7"/>
    <w:rsid w:val="002E7B89"/>
    <w:rsid w:val="002E7C11"/>
    <w:rsid w:val="002F0485"/>
    <w:rsid w:val="002F0F5B"/>
    <w:rsid w:val="002F2DAD"/>
    <w:rsid w:val="002F35CF"/>
    <w:rsid w:val="002F37D9"/>
    <w:rsid w:val="002F52AF"/>
    <w:rsid w:val="002F78A8"/>
    <w:rsid w:val="00304E90"/>
    <w:rsid w:val="00305348"/>
    <w:rsid w:val="00305698"/>
    <w:rsid w:val="003075FC"/>
    <w:rsid w:val="00322256"/>
    <w:rsid w:val="0032286D"/>
    <w:rsid w:val="00323689"/>
    <w:rsid w:val="00326B5A"/>
    <w:rsid w:val="00327618"/>
    <w:rsid w:val="00331431"/>
    <w:rsid w:val="00332DED"/>
    <w:rsid w:val="00332E93"/>
    <w:rsid w:val="00334726"/>
    <w:rsid w:val="00337B87"/>
    <w:rsid w:val="003415A6"/>
    <w:rsid w:val="00341797"/>
    <w:rsid w:val="00344252"/>
    <w:rsid w:val="00346554"/>
    <w:rsid w:val="00351EBD"/>
    <w:rsid w:val="00352D21"/>
    <w:rsid w:val="00352F11"/>
    <w:rsid w:val="00354D9B"/>
    <w:rsid w:val="00360D1A"/>
    <w:rsid w:val="0036114E"/>
    <w:rsid w:val="00361C7B"/>
    <w:rsid w:val="00364B3D"/>
    <w:rsid w:val="00365126"/>
    <w:rsid w:val="00365AAA"/>
    <w:rsid w:val="0036786F"/>
    <w:rsid w:val="00375DC5"/>
    <w:rsid w:val="00376120"/>
    <w:rsid w:val="00377569"/>
    <w:rsid w:val="00380F70"/>
    <w:rsid w:val="00382463"/>
    <w:rsid w:val="003835C9"/>
    <w:rsid w:val="003933EC"/>
    <w:rsid w:val="003A3857"/>
    <w:rsid w:val="003A43F7"/>
    <w:rsid w:val="003A5EEC"/>
    <w:rsid w:val="003B417F"/>
    <w:rsid w:val="003B44F2"/>
    <w:rsid w:val="003B513B"/>
    <w:rsid w:val="003C2E6F"/>
    <w:rsid w:val="003C4068"/>
    <w:rsid w:val="003C7B87"/>
    <w:rsid w:val="003C7E9F"/>
    <w:rsid w:val="003D1E54"/>
    <w:rsid w:val="003E0B11"/>
    <w:rsid w:val="003E2450"/>
    <w:rsid w:val="003E4448"/>
    <w:rsid w:val="003E4A0D"/>
    <w:rsid w:val="003E6570"/>
    <w:rsid w:val="003F0171"/>
    <w:rsid w:val="003F1A2D"/>
    <w:rsid w:val="003F517F"/>
    <w:rsid w:val="003F6DB4"/>
    <w:rsid w:val="003F76F3"/>
    <w:rsid w:val="00402C08"/>
    <w:rsid w:val="00406AFA"/>
    <w:rsid w:val="00406FD8"/>
    <w:rsid w:val="00410366"/>
    <w:rsid w:val="00412E7C"/>
    <w:rsid w:val="00413AFE"/>
    <w:rsid w:val="00414189"/>
    <w:rsid w:val="00414571"/>
    <w:rsid w:val="00415A21"/>
    <w:rsid w:val="004178DE"/>
    <w:rsid w:val="004219AA"/>
    <w:rsid w:val="0042663A"/>
    <w:rsid w:val="00431565"/>
    <w:rsid w:val="004327DF"/>
    <w:rsid w:val="00432EA5"/>
    <w:rsid w:val="0043454B"/>
    <w:rsid w:val="004350B9"/>
    <w:rsid w:val="0043568B"/>
    <w:rsid w:val="004365EC"/>
    <w:rsid w:val="004370D3"/>
    <w:rsid w:val="0043718D"/>
    <w:rsid w:val="004374B0"/>
    <w:rsid w:val="00440350"/>
    <w:rsid w:val="00443E9A"/>
    <w:rsid w:val="00444E6D"/>
    <w:rsid w:val="00444E7B"/>
    <w:rsid w:val="004452B0"/>
    <w:rsid w:val="00447BC0"/>
    <w:rsid w:val="00453CA3"/>
    <w:rsid w:val="00457F91"/>
    <w:rsid w:val="0046475D"/>
    <w:rsid w:val="00467880"/>
    <w:rsid w:val="0046793C"/>
    <w:rsid w:val="00471D31"/>
    <w:rsid w:val="00481F56"/>
    <w:rsid w:val="0048276C"/>
    <w:rsid w:val="0048354C"/>
    <w:rsid w:val="00483D1A"/>
    <w:rsid w:val="00483F6A"/>
    <w:rsid w:val="004848C3"/>
    <w:rsid w:val="00491A12"/>
    <w:rsid w:val="00493D6A"/>
    <w:rsid w:val="00494FF8"/>
    <w:rsid w:val="00497A76"/>
    <w:rsid w:val="004A1054"/>
    <w:rsid w:val="004A155F"/>
    <w:rsid w:val="004A2186"/>
    <w:rsid w:val="004A3F05"/>
    <w:rsid w:val="004A43EE"/>
    <w:rsid w:val="004A7651"/>
    <w:rsid w:val="004B3805"/>
    <w:rsid w:val="004C0C0E"/>
    <w:rsid w:val="004C0DB6"/>
    <w:rsid w:val="004C1629"/>
    <w:rsid w:val="004C3883"/>
    <w:rsid w:val="004C39FC"/>
    <w:rsid w:val="004C3DE0"/>
    <w:rsid w:val="004C4EE6"/>
    <w:rsid w:val="004C5BD8"/>
    <w:rsid w:val="004C6221"/>
    <w:rsid w:val="004C63D5"/>
    <w:rsid w:val="004C6E1F"/>
    <w:rsid w:val="004C6EFE"/>
    <w:rsid w:val="004D12A8"/>
    <w:rsid w:val="004D3620"/>
    <w:rsid w:val="004D40E3"/>
    <w:rsid w:val="004D6655"/>
    <w:rsid w:val="004D66E5"/>
    <w:rsid w:val="004D7A88"/>
    <w:rsid w:val="004E148A"/>
    <w:rsid w:val="004E1BC4"/>
    <w:rsid w:val="004E3311"/>
    <w:rsid w:val="004E388C"/>
    <w:rsid w:val="004E3E92"/>
    <w:rsid w:val="004E4803"/>
    <w:rsid w:val="004E5661"/>
    <w:rsid w:val="004F0B40"/>
    <w:rsid w:val="004F1087"/>
    <w:rsid w:val="004F3F82"/>
    <w:rsid w:val="00500064"/>
    <w:rsid w:val="005028C4"/>
    <w:rsid w:val="00502B69"/>
    <w:rsid w:val="005071BC"/>
    <w:rsid w:val="00515AF4"/>
    <w:rsid w:val="00516221"/>
    <w:rsid w:val="005208DF"/>
    <w:rsid w:val="005215A8"/>
    <w:rsid w:val="00527558"/>
    <w:rsid w:val="00527D32"/>
    <w:rsid w:val="00527F2B"/>
    <w:rsid w:val="005312AE"/>
    <w:rsid w:val="00531EC3"/>
    <w:rsid w:val="00532507"/>
    <w:rsid w:val="00532BB4"/>
    <w:rsid w:val="005336F8"/>
    <w:rsid w:val="0053637D"/>
    <w:rsid w:val="00537320"/>
    <w:rsid w:val="00540C62"/>
    <w:rsid w:val="00540E07"/>
    <w:rsid w:val="00545DA9"/>
    <w:rsid w:val="00546DC1"/>
    <w:rsid w:val="00550DA1"/>
    <w:rsid w:val="0055170F"/>
    <w:rsid w:val="0055181C"/>
    <w:rsid w:val="005537F4"/>
    <w:rsid w:val="00554A51"/>
    <w:rsid w:val="00555B13"/>
    <w:rsid w:val="00557856"/>
    <w:rsid w:val="00563161"/>
    <w:rsid w:val="0056440E"/>
    <w:rsid w:val="005659B7"/>
    <w:rsid w:val="005665F3"/>
    <w:rsid w:val="00570C58"/>
    <w:rsid w:val="00570DAC"/>
    <w:rsid w:val="00570FF5"/>
    <w:rsid w:val="00571AE0"/>
    <w:rsid w:val="00571E51"/>
    <w:rsid w:val="005759B9"/>
    <w:rsid w:val="00577C81"/>
    <w:rsid w:val="0058127A"/>
    <w:rsid w:val="00583AAE"/>
    <w:rsid w:val="00584529"/>
    <w:rsid w:val="00591A5B"/>
    <w:rsid w:val="005940EE"/>
    <w:rsid w:val="005A15C3"/>
    <w:rsid w:val="005A2C1B"/>
    <w:rsid w:val="005C4F6A"/>
    <w:rsid w:val="005D1A25"/>
    <w:rsid w:val="005D255C"/>
    <w:rsid w:val="005D3649"/>
    <w:rsid w:val="005D3C95"/>
    <w:rsid w:val="005D4C96"/>
    <w:rsid w:val="005D737F"/>
    <w:rsid w:val="005E0749"/>
    <w:rsid w:val="005E09DC"/>
    <w:rsid w:val="005E2A5E"/>
    <w:rsid w:val="005E3E78"/>
    <w:rsid w:val="005E5598"/>
    <w:rsid w:val="005E6978"/>
    <w:rsid w:val="005F0055"/>
    <w:rsid w:val="005F40A5"/>
    <w:rsid w:val="005F484B"/>
    <w:rsid w:val="005F61A6"/>
    <w:rsid w:val="006005E6"/>
    <w:rsid w:val="00604394"/>
    <w:rsid w:val="00604421"/>
    <w:rsid w:val="00606772"/>
    <w:rsid w:val="00606B55"/>
    <w:rsid w:val="00611824"/>
    <w:rsid w:val="00612334"/>
    <w:rsid w:val="006143E3"/>
    <w:rsid w:val="006145C8"/>
    <w:rsid w:val="00620786"/>
    <w:rsid w:val="00623937"/>
    <w:rsid w:val="006244B8"/>
    <w:rsid w:val="00624F35"/>
    <w:rsid w:val="006264DC"/>
    <w:rsid w:val="0063022D"/>
    <w:rsid w:val="00631AEE"/>
    <w:rsid w:val="00635393"/>
    <w:rsid w:val="0063576D"/>
    <w:rsid w:val="0063620D"/>
    <w:rsid w:val="006370FF"/>
    <w:rsid w:val="006418BB"/>
    <w:rsid w:val="006424E1"/>
    <w:rsid w:val="00642926"/>
    <w:rsid w:val="006430E0"/>
    <w:rsid w:val="00644AD4"/>
    <w:rsid w:val="00645955"/>
    <w:rsid w:val="00646399"/>
    <w:rsid w:val="00647C71"/>
    <w:rsid w:val="00650B35"/>
    <w:rsid w:val="00651518"/>
    <w:rsid w:val="00661124"/>
    <w:rsid w:val="00661187"/>
    <w:rsid w:val="0066719E"/>
    <w:rsid w:val="00667279"/>
    <w:rsid w:val="006675EA"/>
    <w:rsid w:val="006715E4"/>
    <w:rsid w:val="006744B1"/>
    <w:rsid w:val="00675425"/>
    <w:rsid w:val="00680312"/>
    <w:rsid w:val="00684A0B"/>
    <w:rsid w:val="00684DC7"/>
    <w:rsid w:val="00684EE9"/>
    <w:rsid w:val="0068628D"/>
    <w:rsid w:val="00687C34"/>
    <w:rsid w:val="00695951"/>
    <w:rsid w:val="00696E90"/>
    <w:rsid w:val="00697096"/>
    <w:rsid w:val="006976FF"/>
    <w:rsid w:val="006A0AB5"/>
    <w:rsid w:val="006A1063"/>
    <w:rsid w:val="006A3DA0"/>
    <w:rsid w:val="006A7E71"/>
    <w:rsid w:val="006B640D"/>
    <w:rsid w:val="006B7A87"/>
    <w:rsid w:val="006C20FD"/>
    <w:rsid w:val="006C3524"/>
    <w:rsid w:val="006C74E5"/>
    <w:rsid w:val="006D12EE"/>
    <w:rsid w:val="006D157D"/>
    <w:rsid w:val="006D3611"/>
    <w:rsid w:val="006D6267"/>
    <w:rsid w:val="006E0790"/>
    <w:rsid w:val="006E0A2B"/>
    <w:rsid w:val="006E22BC"/>
    <w:rsid w:val="006E2A57"/>
    <w:rsid w:val="006E3795"/>
    <w:rsid w:val="006E3CA0"/>
    <w:rsid w:val="006E62B6"/>
    <w:rsid w:val="006E7C75"/>
    <w:rsid w:val="006F0765"/>
    <w:rsid w:val="006F0E6E"/>
    <w:rsid w:val="006F2E12"/>
    <w:rsid w:val="006F4507"/>
    <w:rsid w:val="006F4CB9"/>
    <w:rsid w:val="006F506E"/>
    <w:rsid w:val="006F602A"/>
    <w:rsid w:val="006F6629"/>
    <w:rsid w:val="006F6851"/>
    <w:rsid w:val="00707AD9"/>
    <w:rsid w:val="00711A32"/>
    <w:rsid w:val="0071296A"/>
    <w:rsid w:val="00714712"/>
    <w:rsid w:val="00716788"/>
    <w:rsid w:val="007167E9"/>
    <w:rsid w:val="00721BB1"/>
    <w:rsid w:val="00731D9C"/>
    <w:rsid w:val="0073296E"/>
    <w:rsid w:val="00733B04"/>
    <w:rsid w:val="007358E3"/>
    <w:rsid w:val="00737EAA"/>
    <w:rsid w:val="00742C7C"/>
    <w:rsid w:val="00744398"/>
    <w:rsid w:val="00746866"/>
    <w:rsid w:val="00747416"/>
    <w:rsid w:val="00750F91"/>
    <w:rsid w:val="00751982"/>
    <w:rsid w:val="0075231D"/>
    <w:rsid w:val="00754F02"/>
    <w:rsid w:val="00757A34"/>
    <w:rsid w:val="007600A0"/>
    <w:rsid w:val="00762104"/>
    <w:rsid w:val="00763A34"/>
    <w:rsid w:val="00763EFC"/>
    <w:rsid w:val="007641DC"/>
    <w:rsid w:val="00764CCD"/>
    <w:rsid w:val="00765118"/>
    <w:rsid w:val="00766F5A"/>
    <w:rsid w:val="00767CEB"/>
    <w:rsid w:val="00767E9A"/>
    <w:rsid w:val="00770540"/>
    <w:rsid w:val="007723A9"/>
    <w:rsid w:val="00772D99"/>
    <w:rsid w:val="00773912"/>
    <w:rsid w:val="00775668"/>
    <w:rsid w:val="00775A3B"/>
    <w:rsid w:val="00775B86"/>
    <w:rsid w:val="007775DF"/>
    <w:rsid w:val="007839E4"/>
    <w:rsid w:val="00783A13"/>
    <w:rsid w:val="007857DD"/>
    <w:rsid w:val="00786FD9"/>
    <w:rsid w:val="00787E81"/>
    <w:rsid w:val="007901E9"/>
    <w:rsid w:val="00790531"/>
    <w:rsid w:val="00793D0C"/>
    <w:rsid w:val="00793DD6"/>
    <w:rsid w:val="00794062"/>
    <w:rsid w:val="00794F4C"/>
    <w:rsid w:val="007958D6"/>
    <w:rsid w:val="007974A7"/>
    <w:rsid w:val="00797963"/>
    <w:rsid w:val="00797E63"/>
    <w:rsid w:val="007A281D"/>
    <w:rsid w:val="007A2BB1"/>
    <w:rsid w:val="007A6999"/>
    <w:rsid w:val="007B44ED"/>
    <w:rsid w:val="007B463B"/>
    <w:rsid w:val="007B499D"/>
    <w:rsid w:val="007B680F"/>
    <w:rsid w:val="007B696B"/>
    <w:rsid w:val="007C1F7F"/>
    <w:rsid w:val="007C263E"/>
    <w:rsid w:val="007C36A5"/>
    <w:rsid w:val="007C3C5D"/>
    <w:rsid w:val="007C50B3"/>
    <w:rsid w:val="007C7CFA"/>
    <w:rsid w:val="007C7DEF"/>
    <w:rsid w:val="007D0408"/>
    <w:rsid w:val="007D0D16"/>
    <w:rsid w:val="007D17FF"/>
    <w:rsid w:val="007D3FED"/>
    <w:rsid w:val="007D59A6"/>
    <w:rsid w:val="007D706F"/>
    <w:rsid w:val="007D713E"/>
    <w:rsid w:val="007E00E5"/>
    <w:rsid w:val="007E3761"/>
    <w:rsid w:val="007E4AEF"/>
    <w:rsid w:val="007E61B2"/>
    <w:rsid w:val="007F310A"/>
    <w:rsid w:val="007F6A74"/>
    <w:rsid w:val="007F6C8D"/>
    <w:rsid w:val="008008BD"/>
    <w:rsid w:val="00803B89"/>
    <w:rsid w:val="008065DA"/>
    <w:rsid w:val="0082036F"/>
    <w:rsid w:val="008205C3"/>
    <w:rsid w:val="00821DB8"/>
    <w:rsid w:val="00822080"/>
    <w:rsid w:val="008253FD"/>
    <w:rsid w:val="0082604B"/>
    <w:rsid w:val="0083227E"/>
    <w:rsid w:val="00832420"/>
    <w:rsid w:val="0083446D"/>
    <w:rsid w:val="00843609"/>
    <w:rsid w:val="0084373C"/>
    <w:rsid w:val="00846227"/>
    <w:rsid w:val="0085367E"/>
    <w:rsid w:val="00853F49"/>
    <w:rsid w:val="00854F1E"/>
    <w:rsid w:val="00855843"/>
    <w:rsid w:val="00862931"/>
    <w:rsid w:val="00862ADB"/>
    <w:rsid w:val="00870256"/>
    <w:rsid w:val="00872692"/>
    <w:rsid w:val="00873D50"/>
    <w:rsid w:val="00875D56"/>
    <w:rsid w:val="00877694"/>
    <w:rsid w:val="00882E77"/>
    <w:rsid w:val="00883026"/>
    <w:rsid w:val="008833EA"/>
    <w:rsid w:val="008857A8"/>
    <w:rsid w:val="00885AA7"/>
    <w:rsid w:val="00887424"/>
    <w:rsid w:val="00887805"/>
    <w:rsid w:val="00887B65"/>
    <w:rsid w:val="0089026E"/>
    <w:rsid w:val="008910E1"/>
    <w:rsid w:val="00892408"/>
    <w:rsid w:val="0089321B"/>
    <w:rsid w:val="00894F5B"/>
    <w:rsid w:val="00895EF2"/>
    <w:rsid w:val="00895FF5"/>
    <w:rsid w:val="008A2F16"/>
    <w:rsid w:val="008A363C"/>
    <w:rsid w:val="008B0409"/>
    <w:rsid w:val="008B2124"/>
    <w:rsid w:val="008B41FD"/>
    <w:rsid w:val="008B57C8"/>
    <w:rsid w:val="008C06ED"/>
    <w:rsid w:val="008C2594"/>
    <w:rsid w:val="008C320F"/>
    <w:rsid w:val="008C4F5C"/>
    <w:rsid w:val="008C6409"/>
    <w:rsid w:val="008C6AB5"/>
    <w:rsid w:val="008D0E03"/>
    <w:rsid w:val="008D21E1"/>
    <w:rsid w:val="008D727B"/>
    <w:rsid w:val="008D7C20"/>
    <w:rsid w:val="008E30EE"/>
    <w:rsid w:val="008E6ECB"/>
    <w:rsid w:val="008E7B18"/>
    <w:rsid w:val="008F45B7"/>
    <w:rsid w:val="008F791B"/>
    <w:rsid w:val="009011B4"/>
    <w:rsid w:val="0090166F"/>
    <w:rsid w:val="009115F7"/>
    <w:rsid w:val="0091352F"/>
    <w:rsid w:val="00916955"/>
    <w:rsid w:val="00917F33"/>
    <w:rsid w:val="00920F60"/>
    <w:rsid w:val="0092399A"/>
    <w:rsid w:val="00930132"/>
    <w:rsid w:val="00934110"/>
    <w:rsid w:val="009352C1"/>
    <w:rsid w:val="009377B3"/>
    <w:rsid w:val="00941715"/>
    <w:rsid w:val="00944BFD"/>
    <w:rsid w:val="00945CDA"/>
    <w:rsid w:val="0094691F"/>
    <w:rsid w:val="009518A8"/>
    <w:rsid w:val="00953A10"/>
    <w:rsid w:val="00956B72"/>
    <w:rsid w:val="00960A02"/>
    <w:rsid w:val="00960A37"/>
    <w:rsid w:val="00971305"/>
    <w:rsid w:val="009814B2"/>
    <w:rsid w:val="009836F8"/>
    <w:rsid w:val="009869C7"/>
    <w:rsid w:val="00987CDE"/>
    <w:rsid w:val="00993B58"/>
    <w:rsid w:val="00993C75"/>
    <w:rsid w:val="00996120"/>
    <w:rsid w:val="009A0648"/>
    <w:rsid w:val="009A14FE"/>
    <w:rsid w:val="009A36E9"/>
    <w:rsid w:val="009B0B3A"/>
    <w:rsid w:val="009B0C6D"/>
    <w:rsid w:val="009B216A"/>
    <w:rsid w:val="009B2960"/>
    <w:rsid w:val="009B297F"/>
    <w:rsid w:val="009B5894"/>
    <w:rsid w:val="009B6D87"/>
    <w:rsid w:val="009C1118"/>
    <w:rsid w:val="009C7590"/>
    <w:rsid w:val="009C7E28"/>
    <w:rsid w:val="009D111A"/>
    <w:rsid w:val="009D250A"/>
    <w:rsid w:val="009D3B80"/>
    <w:rsid w:val="009D3FBD"/>
    <w:rsid w:val="009D3FDE"/>
    <w:rsid w:val="009D5071"/>
    <w:rsid w:val="009D51F9"/>
    <w:rsid w:val="009D5D7D"/>
    <w:rsid w:val="009D70A0"/>
    <w:rsid w:val="009D73E9"/>
    <w:rsid w:val="009E1777"/>
    <w:rsid w:val="009E435B"/>
    <w:rsid w:val="009E5F1C"/>
    <w:rsid w:val="009F0509"/>
    <w:rsid w:val="009F2607"/>
    <w:rsid w:val="009F2EA5"/>
    <w:rsid w:val="009F6DD9"/>
    <w:rsid w:val="009F7E37"/>
    <w:rsid w:val="00A01B8C"/>
    <w:rsid w:val="00A031CF"/>
    <w:rsid w:val="00A047DF"/>
    <w:rsid w:val="00A058C8"/>
    <w:rsid w:val="00A0696C"/>
    <w:rsid w:val="00A12291"/>
    <w:rsid w:val="00A1339F"/>
    <w:rsid w:val="00A233AA"/>
    <w:rsid w:val="00A233E4"/>
    <w:rsid w:val="00A325A7"/>
    <w:rsid w:val="00A35175"/>
    <w:rsid w:val="00A4583D"/>
    <w:rsid w:val="00A512A6"/>
    <w:rsid w:val="00A52D24"/>
    <w:rsid w:val="00A53437"/>
    <w:rsid w:val="00A5532D"/>
    <w:rsid w:val="00A559CE"/>
    <w:rsid w:val="00A5693D"/>
    <w:rsid w:val="00A6119C"/>
    <w:rsid w:val="00A61A5C"/>
    <w:rsid w:val="00A61BEE"/>
    <w:rsid w:val="00A730B6"/>
    <w:rsid w:val="00A73242"/>
    <w:rsid w:val="00A8064C"/>
    <w:rsid w:val="00A81351"/>
    <w:rsid w:val="00A82B31"/>
    <w:rsid w:val="00A8725B"/>
    <w:rsid w:val="00A91602"/>
    <w:rsid w:val="00A97133"/>
    <w:rsid w:val="00AA12F7"/>
    <w:rsid w:val="00AA3F2D"/>
    <w:rsid w:val="00AC335D"/>
    <w:rsid w:val="00AC7F38"/>
    <w:rsid w:val="00AD2EB3"/>
    <w:rsid w:val="00AD3FF2"/>
    <w:rsid w:val="00AD50D6"/>
    <w:rsid w:val="00AD543A"/>
    <w:rsid w:val="00AE125F"/>
    <w:rsid w:val="00AE29C5"/>
    <w:rsid w:val="00AE36A9"/>
    <w:rsid w:val="00AE4473"/>
    <w:rsid w:val="00AE485D"/>
    <w:rsid w:val="00AE4AB6"/>
    <w:rsid w:val="00AE7E75"/>
    <w:rsid w:val="00AF1FC0"/>
    <w:rsid w:val="00AF2B41"/>
    <w:rsid w:val="00AF3AC7"/>
    <w:rsid w:val="00AF4457"/>
    <w:rsid w:val="00AF506B"/>
    <w:rsid w:val="00AF53C9"/>
    <w:rsid w:val="00AF58A2"/>
    <w:rsid w:val="00AF5D83"/>
    <w:rsid w:val="00B0146A"/>
    <w:rsid w:val="00B02B99"/>
    <w:rsid w:val="00B02D3E"/>
    <w:rsid w:val="00B04D8D"/>
    <w:rsid w:val="00B06674"/>
    <w:rsid w:val="00B074EB"/>
    <w:rsid w:val="00B1115E"/>
    <w:rsid w:val="00B11D12"/>
    <w:rsid w:val="00B20524"/>
    <w:rsid w:val="00B20879"/>
    <w:rsid w:val="00B22B59"/>
    <w:rsid w:val="00B22EF2"/>
    <w:rsid w:val="00B26779"/>
    <w:rsid w:val="00B30D60"/>
    <w:rsid w:val="00B3312B"/>
    <w:rsid w:val="00B3324A"/>
    <w:rsid w:val="00B33CB6"/>
    <w:rsid w:val="00B34A84"/>
    <w:rsid w:val="00B400E7"/>
    <w:rsid w:val="00B41453"/>
    <w:rsid w:val="00B446BC"/>
    <w:rsid w:val="00B46640"/>
    <w:rsid w:val="00B46AF3"/>
    <w:rsid w:val="00B4759A"/>
    <w:rsid w:val="00B54294"/>
    <w:rsid w:val="00B55F52"/>
    <w:rsid w:val="00B638CE"/>
    <w:rsid w:val="00B665C4"/>
    <w:rsid w:val="00B6675D"/>
    <w:rsid w:val="00B70EAC"/>
    <w:rsid w:val="00B72930"/>
    <w:rsid w:val="00B73168"/>
    <w:rsid w:val="00B735CF"/>
    <w:rsid w:val="00B7653B"/>
    <w:rsid w:val="00B81947"/>
    <w:rsid w:val="00B83B63"/>
    <w:rsid w:val="00B84915"/>
    <w:rsid w:val="00B84B87"/>
    <w:rsid w:val="00B90614"/>
    <w:rsid w:val="00B934AD"/>
    <w:rsid w:val="00B94191"/>
    <w:rsid w:val="00B94949"/>
    <w:rsid w:val="00B95B67"/>
    <w:rsid w:val="00BA09A3"/>
    <w:rsid w:val="00BA2541"/>
    <w:rsid w:val="00BA2B66"/>
    <w:rsid w:val="00BA2BD9"/>
    <w:rsid w:val="00BA2C3B"/>
    <w:rsid w:val="00BA3331"/>
    <w:rsid w:val="00BA48FA"/>
    <w:rsid w:val="00BA5626"/>
    <w:rsid w:val="00BA657A"/>
    <w:rsid w:val="00BA65BC"/>
    <w:rsid w:val="00BA7A8F"/>
    <w:rsid w:val="00BB2C36"/>
    <w:rsid w:val="00BB300F"/>
    <w:rsid w:val="00BB3AB5"/>
    <w:rsid w:val="00BB407D"/>
    <w:rsid w:val="00BC04E6"/>
    <w:rsid w:val="00BC4ABE"/>
    <w:rsid w:val="00BC5C92"/>
    <w:rsid w:val="00BC7A8D"/>
    <w:rsid w:val="00BD302E"/>
    <w:rsid w:val="00BD684A"/>
    <w:rsid w:val="00BF033D"/>
    <w:rsid w:val="00BF0BD6"/>
    <w:rsid w:val="00BF3249"/>
    <w:rsid w:val="00BF6DB7"/>
    <w:rsid w:val="00BF7818"/>
    <w:rsid w:val="00C007C7"/>
    <w:rsid w:val="00C01E63"/>
    <w:rsid w:val="00C02481"/>
    <w:rsid w:val="00C029A5"/>
    <w:rsid w:val="00C037C1"/>
    <w:rsid w:val="00C0763E"/>
    <w:rsid w:val="00C112E3"/>
    <w:rsid w:val="00C15E8B"/>
    <w:rsid w:val="00C173E7"/>
    <w:rsid w:val="00C23D94"/>
    <w:rsid w:val="00C306F2"/>
    <w:rsid w:val="00C311EE"/>
    <w:rsid w:val="00C31E33"/>
    <w:rsid w:val="00C3291B"/>
    <w:rsid w:val="00C3476D"/>
    <w:rsid w:val="00C41024"/>
    <w:rsid w:val="00C54689"/>
    <w:rsid w:val="00C54FEF"/>
    <w:rsid w:val="00C625AB"/>
    <w:rsid w:val="00C64FA8"/>
    <w:rsid w:val="00C66586"/>
    <w:rsid w:val="00C727D6"/>
    <w:rsid w:val="00C74795"/>
    <w:rsid w:val="00C758D5"/>
    <w:rsid w:val="00C764F8"/>
    <w:rsid w:val="00C7769A"/>
    <w:rsid w:val="00C85038"/>
    <w:rsid w:val="00C8697E"/>
    <w:rsid w:val="00C86FAB"/>
    <w:rsid w:val="00C8735C"/>
    <w:rsid w:val="00C8769D"/>
    <w:rsid w:val="00C92849"/>
    <w:rsid w:val="00C95F14"/>
    <w:rsid w:val="00C96491"/>
    <w:rsid w:val="00C97D7A"/>
    <w:rsid w:val="00CA57DF"/>
    <w:rsid w:val="00CB0D85"/>
    <w:rsid w:val="00CB1289"/>
    <w:rsid w:val="00CB5438"/>
    <w:rsid w:val="00CB56D1"/>
    <w:rsid w:val="00CB7067"/>
    <w:rsid w:val="00CC0320"/>
    <w:rsid w:val="00CC2F26"/>
    <w:rsid w:val="00CC4098"/>
    <w:rsid w:val="00CC7A13"/>
    <w:rsid w:val="00CC7C6C"/>
    <w:rsid w:val="00CD0631"/>
    <w:rsid w:val="00CD2FC4"/>
    <w:rsid w:val="00CD5654"/>
    <w:rsid w:val="00CE0AD9"/>
    <w:rsid w:val="00CE54B2"/>
    <w:rsid w:val="00CE66FA"/>
    <w:rsid w:val="00CF18A5"/>
    <w:rsid w:val="00D034E0"/>
    <w:rsid w:val="00D04FB0"/>
    <w:rsid w:val="00D073AA"/>
    <w:rsid w:val="00D1549A"/>
    <w:rsid w:val="00D15AC6"/>
    <w:rsid w:val="00D15D0A"/>
    <w:rsid w:val="00D20344"/>
    <w:rsid w:val="00D20BDA"/>
    <w:rsid w:val="00D24947"/>
    <w:rsid w:val="00D25D9A"/>
    <w:rsid w:val="00D25F6B"/>
    <w:rsid w:val="00D2637C"/>
    <w:rsid w:val="00D27A9A"/>
    <w:rsid w:val="00D30244"/>
    <w:rsid w:val="00D317F9"/>
    <w:rsid w:val="00D3271F"/>
    <w:rsid w:val="00D40F96"/>
    <w:rsid w:val="00D41A1B"/>
    <w:rsid w:val="00D41A55"/>
    <w:rsid w:val="00D42387"/>
    <w:rsid w:val="00D43548"/>
    <w:rsid w:val="00D44EA3"/>
    <w:rsid w:val="00D47C54"/>
    <w:rsid w:val="00D51523"/>
    <w:rsid w:val="00D5205E"/>
    <w:rsid w:val="00D523B2"/>
    <w:rsid w:val="00D62B7D"/>
    <w:rsid w:val="00D741E5"/>
    <w:rsid w:val="00D74F23"/>
    <w:rsid w:val="00D753D8"/>
    <w:rsid w:val="00D76B5C"/>
    <w:rsid w:val="00D810F5"/>
    <w:rsid w:val="00D814D3"/>
    <w:rsid w:val="00D84124"/>
    <w:rsid w:val="00D8742E"/>
    <w:rsid w:val="00DA0577"/>
    <w:rsid w:val="00DA18EF"/>
    <w:rsid w:val="00DA4BD2"/>
    <w:rsid w:val="00DA5BFF"/>
    <w:rsid w:val="00DA60E3"/>
    <w:rsid w:val="00DA68FC"/>
    <w:rsid w:val="00DA6FF8"/>
    <w:rsid w:val="00DC0E99"/>
    <w:rsid w:val="00DC404F"/>
    <w:rsid w:val="00DC4EC1"/>
    <w:rsid w:val="00DC60DE"/>
    <w:rsid w:val="00DC6E53"/>
    <w:rsid w:val="00DC71AC"/>
    <w:rsid w:val="00DC74E2"/>
    <w:rsid w:val="00DD2AE3"/>
    <w:rsid w:val="00DD43DD"/>
    <w:rsid w:val="00DE0043"/>
    <w:rsid w:val="00DE0ADC"/>
    <w:rsid w:val="00DE1212"/>
    <w:rsid w:val="00DE22AE"/>
    <w:rsid w:val="00DE2739"/>
    <w:rsid w:val="00DF2733"/>
    <w:rsid w:val="00DF497C"/>
    <w:rsid w:val="00DF4F7C"/>
    <w:rsid w:val="00DF5C71"/>
    <w:rsid w:val="00DF5FEB"/>
    <w:rsid w:val="00E01FC2"/>
    <w:rsid w:val="00E04001"/>
    <w:rsid w:val="00E05B05"/>
    <w:rsid w:val="00E109CB"/>
    <w:rsid w:val="00E13163"/>
    <w:rsid w:val="00E17110"/>
    <w:rsid w:val="00E21F0E"/>
    <w:rsid w:val="00E236B0"/>
    <w:rsid w:val="00E260E2"/>
    <w:rsid w:val="00E30AF2"/>
    <w:rsid w:val="00E31A6A"/>
    <w:rsid w:val="00E32EC6"/>
    <w:rsid w:val="00E338EC"/>
    <w:rsid w:val="00E37986"/>
    <w:rsid w:val="00E40C65"/>
    <w:rsid w:val="00E41DC6"/>
    <w:rsid w:val="00E43BF9"/>
    <w:rsid w:val="00E4497C"/>
    <w:rsid w:val="00E46924"/>
    <w:rsid w:val="00E46F5F"/>
    <w:rsid w:val="00E544D7"/>
    <w:rsid w:val="00E61DDD"/>
    <w:rsid w:val="00E6695D"/>
    <w:rsid w:val="00E70EA8"/>
    <w:rsid w:val="00E71385"/>
    <w:rsid w:val="00E72A00"/>
    <w:rsid w:val="00E73437"/>
    <w:rsid w:val="00E747A8"/>
    <w:rsid w:val="00E74DCB"/>
    <w:rsid w:val="00E80104"/>
    <w:rsid w:val="00E80A67"/>
    <w:rsid w:val="00E8589C"/>
    <w:rsid w:val="00E85AD6"/>
    <w:rsid w:val="00E86068"/>
    <w:rsid w:val="00E86099"/>
    <w:rsid w:val="00E86E75"/>
    <w:rsid w:val="00E92164"/>
    <w:rsid w:val="00EA20CD"/>
    <w:rsid w:val="00EA2756"/>
    <w:rsid w:val="00EA2D26"/>
    <w:rsid w:val="00EA3061"/>
    <w:rsid w:val="00EA4C29"/>
    <w:rsid w:val="00EA4F00"/>
    <w:rsid w:val="00EA7C3E"/>
    <w:rsid w:val="00EB10E5"/>
    <w:rsid w:val="00EB2469"/>
    <w:rsid w:val="00EB4393"/>
    <w:rsid w:val="00EB7B69"/>
    <w:rsid w:val="00EC08E0"/>
    <w:rsid w:val="00EC2C3C"/>
    <w:rsid w:val="00EC7A07"/>
    <w:rsid w:val="00ED366A"/>
    <w:rsid w:val="00ED3EC0"/>
    <w:rsid w:val="00ED3ED7"/>
    <w:rsid w:val="00ED47AD"/>
    <w:rsid w:val="00ED62EB"/>
    <w:rsid w:val="00ED65FE"/>
    <w:rsid w:val="00ED6D6E"/>
    <w:rsid w:val="00ED725B"/>
    <w:rsid w:val="00EE1AF8"/>
    <w:rsid w:val="00EE5184"/>
    <w:rsid w:val="00EE7714"/>
    <w:rsid w:val="00EF419D"/>
    <w:rsid w:val="00F008F7"/>
    <w:rsid w:val="00F010CE"/>
    <w:rsid w:val="00F017B0"/>
    <w:rsid w:val="00F0477B"/>
    <w:rsid w:val="00F14D13"/>
    <w:rsid w:val="00F1798B"/>
    <w:rsid w:val="00F205BE"/>
    <w:rsid w:val="00F2142B"/>
    <w:rsid w:val="00F21F1A"/>
    <w:rsid w:val="00F26895"/>
    <w:rsid w:val="00F3290A"/>
    <w:rsid w:val="00F3291E"/>
    <w:rsid w:val="00F355C7"/>
    <w:rsid w:val="00F4269A"/>
    <w:rsid w:val="00F435D0"/>
    <w:rsid w:val="00F4476F"/>
    <w:rsid w:val="00F46D67"/>
    <w:rsid w:val="00F50730"/>
    <w:rsid w:val="00F5102A"/>
    <w:rsid w:val="00F56BB2"/>
    <w:rsid w:val="00F60064"/>
    <w:rsid w:val="00F60AB3"/>
    <w:rsid w:val="00F65C7F"/>
    <w:rsid w:val="00F70F12"/>
    <w:rsid w:val="00F718E9"/>
    <w:rsid w:val="00F77DED"/>
    <w:rsid w:val="00F8410F"/>
    <w:rsid w:val="00F90C5E"/>
    <w:rsid w:val="00F933D7"/>
    <w:rsid w:val="00F94657"/>
    <w:rsid w:val="00F955E5"/>
    <w:rsid w:val="00F96242"/>
    <w:rsid w:val="00F96504"/>
    <w:rsid w:val="00F96BE3"/>
    <w:rsid w:val="00F971F5"/>
    <w:rsid w:val="00FA02CA"/>
    <w:rsid w:val="00FA0793"/>
    <w:rsid w:val="00FA110F"/>
    <w:rsid w:val="00FB1209"/>
    <w:rsid w:val="00FB27C5"/>
    <w:rsid w:val="00FB3400"/>
    <w:rsid w:val="00FB4645"/>
    <w:rsid w:val="00FB646C"/>
    <w:rsid w:val="00FB6525"/>
    <w:rsid w:val="00FB7312"/>
    <w:rsid w:val="00FC44BF"/>
    <w:rsid w:val="00FC4A1F"/>
    <w:rsid w:val="00FC4AFB"/>
    <w:rsid w:val="00FC6E14"/>
    <w:rsid w:val="00FD06F7"/>
    <w:rsid w:val="00FD1CB4"/>
    <w:rsid w:val="00FD2AF0"/>
    <w:rsid w:val="00FD33DF"/>
    <w:rsid w:val="00FD39B1"/>
    <w:rsid w:val="00FD4C3E"/>
    <w:rsid w:val="00FD5E88"/>
    <w:rsid w:val="00FD6030"/>
    <w:rsid w:val="00FD7BDF"/>
    <w:rsid w:val="00FE0D7F"/>
    <w:rsid w:val="00FE0FE8"/>
    <w:rsid w:val="00FE36A9"/>
    <w:rsid w:val="00FE5CF9"/>
    <w:rsid w:val="00FE5FF3"/>
    <w:rsid w:val="00FF1230"/>
    <w:rsid w:val="00FF4329"/>
    <w:rsid w:val="00FF69AB"/>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 w:type="paragraph" w:styleId="Reviso">
    <w:name w:val="Revision"/>
    <w:hidden/>
    <w:uiPriority w:val="99"/>
    <w:semiHidden/>
    <w:rsid w:val="003835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01935534">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362783456">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4D0-D1F7-4D79-AED1-FE63121064E7}">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6B6D3070-EE8B-40E1-B295-269AA45B1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D634CA-D40F-4846-8535-E8E8C090B57A}">
  <ds:schemaRefs>
    <ds:schemaRef ds:uri="http://schemas.microsoft.com/sharepoint/v3/contenttype/forms"/>
  </ds:schemaRefs>
</ds:datastoreItem>
</file>

<file path=customXml/itemProps4.xml><?xml version="1.0" encoding="utf-8"?>
<ds:datastoreItem xmlns:ds="http://schemas.openxmlformats.org/officeDocument/2006/customXml" ds:itemID="{E5FF045F-601A-4612-B1A1-F2257C416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1969</Words>
  <Characters>11462</Characters>
  <Application>Microsoft Office Word</Application>
  <DocSecurity>0</DocSecurity>
  <Lines>243</Lines>
  <Paragraphs>118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107</cp:revision>
  <cp:lastPrinted>2023-02-01T16:46:00Z</cp:lastPrinted>
  <dcterms:created xsi:type="dcterms:W3CDTF">2025-12-03T20:42:00Z</dcterms:created>
  <dcterms:modified xsi:type="dcterms:W3CDTF">2026-01-27T19:51:00Z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MediaServiceImageTags">
    <vt:lpwstr/>
  </property>
  <property fmtid="{D5CDD505-2E9C-101B-9397-08002B2CF9AE}" pid="4" name="docLang">
    <vt:lpwstr>pt</vt:lpwstr>
  </property>
</Properties>
</file>