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BB54" w14:textId="77777777" w:rsidR="00516C03" w:rsidRDefault="00BC4B1F" w:rsidP="00516C03">
      <w:pPr>
        <w:ind w:firstLine="0"/>
        <w:rPr>
          <w:bCs/>
        </w:rPr>
      </w:pPr>
      <w:r w:rsidRPr="004E7E47">
        <w:rPr>
          <w:bCs/>
        </w:rPr>
        <w:t xml:space="preserve">DIREITO CIVIL E PROCESSUAL CIVIL. </w:t>
      </w:r>
      <w:r w:rsidR="004E7E47">
        <w:rPr>
          <w:bCs/>
        </w:rPr>
        <w:t xml:space="preserve">DIREITO DAS FAMÍLIAS. AGRAVO DE INSTRUMENTO. DIVÓRCIO E PARTILHA. ADMINISTRAÇÃO DE BENS COMUNS. </w:t>
      </w:r>
      <w:r w:rsidR="00516C03">
        <w:rPr>
          <w:bCs/>
        </w:rPr>
        <w:t>RISCO DE DANO INVERSO.</w:t>
      </w:r>
    </w:p>
    <w:p w14:paraId="57B6511F" w14:textId="77777777" w:rsidR="00516C03" w:rsidRDefault="00BC4B1F" w:rsidP="00516C03">
      <w:pPr>
        <w:ind w:firstLine="0"/>
        <w:rPr>
          <w:bCs/>
        </w:rPr>
      </w:pPr>
      <w:r w:rsidRPr="00516C03">
        <w:rPr>
          <w:bCs/>
        </w:rPr>
        <w:t>I. CASO EM EXAME</w:t>
      </w:r>
    </w:p>
    <w:p w14:paraId="2B23F04C" w14:textId="77777777" w:rsidR="00516C03" w:rsidRDefault="00BC4B1F" w:rsidP="00516C03">
      <w:pPr>
        <w:ind w:firstLine="0"/>
        <w:rPr>
          <w:bCs/>
        </w:rPr>
      </w:pPr>
      <w:r w:rsidRPr="00516C03">
        <w:rPr>
          <w:bCs/>
        </w:rPr>
        <w:t>Agravo de instrumento interposto contra decis</w:t>
      </w:r>
      <w:r w:rsidRPr="00516C03">
        <w:rPr>
          <w:rFonts w:hint="eastAsia"/>
          <w:bCs/>
        </w:rPr>
        <w:t>ã</w:t>
      </w:r>
      <w:r w:rsidRPr="00516C03">
        <w:rPr>
          <w:bCs/>
        </w:rPr>
        <w:t>o que, em a</w:t>
      </w:r>
      <w:r w:rsidRPr="00516C03">
        <w:rPr>
          <w:rFonts w:hint="eastAsia"/>
          <w:bCs/>
        </w:rPr>
        <w:t>çã</w:t>
      </w:r>
      <w:r w:rsidRPr="00516C03">
        <w:rPr>
          <w:bCs/>
        </w:rPr>
        <w:t>o de div</w:t>
      </w:r>
      <w:r w:rsidRPr="00516C03">
        <w:rPr>
          <w:rFonts w:hint="eastAsia"/>
          <w:bCs/>
        </w:rPr>
        <w:t>ó</w:t>
      </w:r>
      <w:r w:rsidRPr="00516C03">
        <w:rPr>
          <w:bCs/>
        </w:rPr>
        <w:t>rcio e partilha, determinou o dep</w:t>
      </w:r>
      <w:r w:rsidRPr="00516C03">
        <w:rPr>
          <w:rFonts w:hint="eastAsia"/>
          <w:bCs/>
        </w:rPr>
        <w:t>ó</w:t>
      </w:r>
      <w:r w:rsidRPr="00516C03">
        <w:rPr>
          <w:bCs/>
        </w:rPr>
        <w:t>sito integral de alugu</w:t>
      </w:r>
      <w:r w:rsidRPr="00516C03">
        <w:rPr>
          <w:rFonts w:hint="eastAsia"/>
          <w:bCs/>
        </w:rPr>
        <w:t>é</w:t>
      </w:r>
      <w:r w:rsidRPr="00516C03">
        <w:rPr>
          <w:bCs/>
        </w:rPr>
        <w:t>is de im</w:t>
      </w:r>
      <w:r w:rsidRPr="00516C03">
        <w:rPr>
          <w:rFonts w:hint="eastAsia"/>
          <w:bCs/>
        </w:rPr>
        <w:t>ó</w:t>
      </w:r>
      <w:r w:rsidRPr="00516C03">
        <w:rPr>
          <w:bCs/>
        </w:rPr>
        <w:t>v</w:t>
      </w:r>
      <w:r w:rsidR="00516C03">
        <w:rPr>
          <w:bCs/>
        </w:rPr>
        <w:t xml:space="preserve">eis </w:t>
      </w:r>
      <w:r w:rsidRPr="00516C03">
        <w:rPr>
          <w:bCs/>
        </w:rPr>
        <w:t>comu</w:t>
      </w:r>
      <w:r w:rsidR="00516C03">
        <w:rPr>
          <w:bCs/>
        </w:rPr>
        <w:t>ns</w:t>
      </w:r>
      <w:r w:rsidRPr="00516C03">
        <w:rPr>
          <w:bCs/>
        </w:rPr>
        <w:t xml:space="preserve"> em conta judicial e a habilita</w:t>
      </w:r>
      <w:r w:rsidRPr="00516C03">
        <w:rPr>
          <w:rFonts w:hint="eastAsia"/>
          <w:bCs/>
        </w:rPr>
        <w:t>çã</w:t>
      </w:r>
      <w:r w:rsidRPr="00516C03">
        <w:rPr>
          <w:bCs/>
        </w:rPr>
        <w:t xml:space="preserve">o </w:t>
      </w:r>
      <w:r w:rsidR="00516C03">
        <w:rPr>
          <w:bCs/>
        </w:rPr>
        <w:t>dos locatários para o respectivo pagamento em juízo.</w:t>
      </w:r>
    </w:p>
    <w:p w14:paraId="65840978" w14:textId="77777777" w:rsidR="00BC4B1F" w:rsidRPr="009F3B9B" w:rsidRDefault="00BC4B1F" w:rsidP="00516C03">
      <w:pPr>
        <w:ind w:firstLine="0"/>
        <w:rPr>
          <w:bCs/>
        </w:rPr>
      </w:pPr>
      <w:r w:rsidRPr="009F3B9B">
        <w:rPr>
          <w:bCs/>
        </w:rPr>
        <w:t>II. QUEST</w:t>
      </w:r>
      <w:r w:rsidRPr="009F3B9B">
        <w:rPr>
          <w:rFonts w:hint="eastAsia"/>
          <w:bCs/>
        </w:rPr>
        <w:t>Ã</w:t>
      </w:r>
      <w:r w:rsidRPr="009F3B9B">
        <w:rPr>
          <w:bCs/>
        </w:rPr>
        <w:t>O EM DISCUSS</w:t>
      </w:r>
      <w:r w:rsidRPr="009F3B9B">
        <w:rPr>
          <w:rFonts w:hint="eastAsia"/>
          <w:bCs/>
        </w:rPr>
        <w:t>Ã</w:t>
      </w:r>
      <w:r w:rsidRPr="009F3B9B">
        <w:rPr>
          <w:bCs/>
        </w:rPr>
        <w:t>O</w:t>
      </w:r>
    </w:p>
    <w:p w14:paraId="2E6F0A90" w14:textId="77777777" w:rsidR="00516C03" w:rsidRDefault="00516C03" w:rsidP="00516C03">
      <w:pPr>
        <w:ind w:firstLine="0"/>
        <w:rPr>
          <w:bCs/>
        </w:rPr>
      </w:pPr>
      <w:r>
        <w:rPr>
          <w:bCs/>
        </w:rPr>
        <w:t>II.I. Tempestividade do agravo de instrumento.</w:t>
      </w:r>
    </w:p>
    <w:p w14:paraId="52079BE3" w14:textId="77777777" w:rsidR="00CC7C35" w:rsidRDefault="00516C03" w:rsidP="00CC7C35">
      <w:pPr>
        <w:ind w:firstLine="0"/>
        <w:rPr>
          <w:bCs/>
        </w:rPr>
      </w:pPr>
      <w:r>
        <w:rPr>
          <w:bCs/>
        </w:rPr>
        <w:t>II.II.</w:t>
      </w:r>
      <w:r w:rsidR="00732AB4">
        <w:rPr>
          <w:bCs/>
        </w:rPr>
        <w:t xml:space="preserve"> Ponderação entre transparência e </w:t>
      </w:r>
      <w:proofErr w:type="spellStart"/>
      <w:r w:rsidR="00732AB4">
        <w:rPr>
          <w:bCs/>
        </w:rPr>
        <w:t>operabilidade</w:t>
      </w:r>
      <w:proofErr w:type="spellEnd"/>
      <w:r w:rsidR="00732AB4">
        <w:rPr>
          <w:bCs/>
        </w:rPr>
        <w:t xml:space="preserve"> da administração do patrimônio comum</w:t>
      </w:r>
      <w:r w:rsidR="00CC7C35">
        <w:rPr>
          <w:bCs/>
        </w:rPr>
        <w:t>, para definição da necessidade de eventual intervenção judicial.</w:t>
      </w:r>
    </w:p>
    <w:p w14:paraId="6CCD21F1" w14:textId="68DBC453" w:rsidR="00BC4B1F" w:rsidRPr="009F3B9B" w:rsidRDefault="00BC4B1F" w:rsidP="00CC7C35">
      <w:pPr>
        <w:ind w:firstLine="0"/>
        <w:rPr>
          <w:bCs/>
        </w:rPr>
      </w:pPr>
      <w:r w:rsidRPr="009F3B9B">
        <w:rPr>
          <w:bCs/>
        </w:rPr>
        <w:t>III. RAZ</w:t>
      </w:r>
      <w:r w:rsidRPr="009F3B9B">
        <w:rPr>
          <w:rFonts w:hint="eastAsia"/>
          <w:bCs/>
        </w:rPr>
        <w:t>Õ</w:t>
      </w:r>
      <w:r w:rsidRPr="009F3B9B">
        <w:rPr>
          <w:bCs/>
        </w:rPr>
        <w:t>ES DE DECIDIR</w:t>
      </w:r>
    </w:p>
    <w:p w14:paraId="4561C38F" w14:textId="4495A0EF" w:rsidR="006D0BDF" w:rsidRDefault="006D0BDF" w:rsidP="00CC7C35">
      <w:pPr>
        <w:ind w:firstLine="0"/>
        <w:rPr>
          <w:bCs/>
        </w:rPr>
      </w:pPr>
      <w:r>
        <w:rPr>
          <w:bCs/>
        </w:rPr>
        <w:t>II.I. Presume-se verdadeira a inferência de tempestividade feita pelo sistema</w:t>
      </w:r>
      <w:r w:rsidR="00FC2595">
        <w:rPr>
          <w:bCs/>
        </w:rPr>
        <w:t xml:space="preserve"> do processual eletrônico.</w:t>
      </w:r>
    </w:p>
    <w:p w14:paraId="2E1A5B14" w14:textId="77777777" w:rsidR="0081513F" w:rsidRDefault="00FC2595" w:rsidP="0081513F">
      <w:pPr>
        <w:ind w:firstLine="0"/>
        <w:rPr>
          <w:bCs/>
        </w:rPr>
      </w:pPr>
      <w:r>
        <w:rPr>
          <w:bCs/>
        </w:rPr>
        <w:t>II.II.</w:t>
      </w:r>
      <w:r w:rsidR="00965846">
        <w:rPr>
          <w:bCs/>
        </w:rPr>
        <w:t xml:space="preserve"> Ausente </w:t>
      </w:r>
      <w:r w:rsidR="00E15AAB">
        <w:rPr>
          <w:bCs/>
        </w:rPr>
        <w:t xml:space="preserve">prova de gestão fraudulenta, </w:t>
      </w:r>
      <w:r w:rsidR="00C26627">
        <w:rPr>
          <w:bCs/>
        </w:rPr>
        <w:t>resulta desnecessária a intervenção judicial na administração do patrimônio comum aos ex-cônjuges</w:t>
      </w:r>
      <w:r w:rsidR="004D4177">
        <w:rPr>
          <w:bCs/>
        </w:rPr>
        <w:t>, medida que torna excessivamente morosa a gestão</w:t>
      </w:r>
      <w:r w:rsidR="00A47DE0">
        <w:rPr>
          <w:bCs/>
        </w:rPr>
        <w:t xml:space="preserve"> e dificulta o cumprimento de obrigações legais.</w:t>
      </w:r>
    </w:p>
    <w:p w14:paraId="76C72D87" w14:textId="77777777" w:rsidR="00F504CA" w:rsidRDefault="0081513F" w:rsidP="00F504CA">
      <w:pPr>
        <w:ind w:firstLine="0"/>
        <w:rPr>
          <w:bCs/>
        </w:rPr>
      </w:pPr>
      <w:r>
        <w:rPr>
          <w:bCs/>
        </w:rPr>
        <w:t>II.III.</w:t>
      </w:r>
      <w:r w:rsidR="00BC4B1F" w:rsidRPr="0081513F">
        <w:rPr>
          <w:bCs/>
        </w:rPr>
        <w:t xml:space="preserve"> A inclus</w:t>
      </w:r>
      <w:r w:rsidR="00BC4B1F" w:rsidRPr="0081513F">
        <w:rPr>
          <w:rFonts w:hint="eastAsia"/>
          <w:bCs/>
        </w:rPr>
        <w:t>ã</w:t>
      </w:r>
      <w:r w:rsidR="00BC4B1F" w:rsidRPr="0081513F">
        <w:rPr>
          <w:bCs/>
        </w:rPr>
        <w:t xml:space="preserve">o de </w:t>
      </w:r>
      <w:r>
        <w:rPr>
          <w:bCs/>
        </w:rPr>
        <w:t xml:space="preserve">pessoas estranhas ao processo de divórcio e partilha, a pretexto de resolver </w:t>
      </w:r>
      <w:r w:rsidR="00F95E24">
        <w:rPr>
          <w:bCs/>
        </w:rPr>
        <w:t>controvérsia sobre a gestão dos bens comuns, vulnera o sigilo processual e a privacidade das partes.</w:t>
      </w:r>
    </w:p>
    <w:p w14:paraId="547E8E57" w14:textId="5C896BBC" w:rsidR="00F504CA" w:rsidRDefault="00F504CA" w:rsidP="00F504CA">
      <w:pPr>
        <w:ind w:firstLine="0"/>
        <w:rPr>
          <w:bCs/>
        </w:rPr>
      </w:pPr>
      <w:r>
        <w:rPr>
          <w:bCs/>
        </w:rPr>
        <w:t>II.IV. As divergências sobre os frutos do patrimônio comum e sua gestão excedem o limite cognitivo da partilha, sem prejuízo de sua apuração em processo de exigir contas.</w:t>
      </w:r>
    </w:p>
    <w:p w14:paraId="2B05A0F6" w14:textId="77777777" w:rsidR="00BC4B1F" w:rsidRPr="009F3B9B" w:rsidRDefault="00BC4B1F" w:rsidP="00F504CA">
      <w:pPr>
        <w:ind w:firstLine="0"/>
        <w:rPr>
          <w:bCs/>
        </w:rPr>
      </w:pPr>
      <w:r w:rsidRPr="009F3B9B">
        <w:rPr>
          <w:bCs/>
        </w:rPr>
        <w:t>IV. SOLU</w:t>
      </w:r>
      <w:r w:rsidRPr="009F3B9B">
        <w:rPr>
          <w:rFonts w:hint="eastAsia"/>
          <w:bCs/>
        </w:rPr>
        <w:t>ÇÃ</w:t>
      </w:r>
      <w:r w:rsidRPr="009F3B9B">
        <w:rPr>
          <w:bCs/>
        </w:rPr>
        <w:t>O DO CASO</w:t>
      </w:r>
    </w:p>
    <w:p w14:paraId="60F16A6B" w14:textId="77777777" w:rsidR="00BC4B1F" w:rsidRPr="009F3B9B" w:rsidRDefault="00BC4B1F" w:rsidP="00F504CA">
      <w:pPr>
        <w:ind w:firstLine="0"/>
        <w:rPr>
          <w:bCs/>
        </w:rPr>
      </w:pPr>
      <w:r w:rsidRPr="009F3B9B">
        <w:rPr>
          <w:bCs/>
        </w:rPr>
        <w:t>Recurso conhecido e provido.</w:t>
      </w:r>
    </w:p>
    <w:p w14:paraId="2F970E4C" w14:textId="2E8FE282" w:rsidR="00BC4B1F" w:rsidRPr="009F3B9B" w:rsidRDefault="00BC4B1F" w:rsidP="00F504CA">
      <w:pPr>
        <w:ind w:firstLine="0"/>
        <w:rPr>
          <w:bCs/>
        </w:rPr>
      </w:pPr>
      <w:r w:rsidRPr="009F3B9B">
        <w:rPr>
          <w:bCs/>
        </w:rPr>
        <w:t>V. LEGISLA</w:t>
      </w:r>
      <w:r w:rsidRPr="009F3B9B">
        <w:rPr>
          <w:rFonts w:hint="eastAsia"/>
          <w:bCs/>
        </w:rPr>
        <w:t>ÇÃ</w:t>
      </w:r>
      <w:r w:rsidRPr="009F3B9B">
        <w:rPr>
          <w:bCs/>
        </w:rPr>
        <w:t>O E JURISPRUD</w:t>
      </w:r>
      <w:r w:rsidRPr="009F3B9B">
        <w:rPr>
          <w:rFonts w:hint="eastAsia"/>
          <w:bCs/>
        </w:rPr>
        <w:t>Ê</w:t>
      </w:r>
      <w:r w:rsidRPr="009F3B9B">
        <w:rPr>
          <w:bCs/>
        </w:rPr>
        <w:t>NCIA UTILIZADAS</w:t>
      </w:r>
    </w:p>
    <w:p w14:paraId="568C1029" w14:textId="77777777" w:rsidR="00B76100" w:rsidRDefault="00BC4B1F" w:rsidP="00B76100">
      <w:pPr>
        <w:ind w:firstLine="0"/>
        <w:rPr>
          <w:bCs/>
        </w:rPr>
      </w:pPr>
      <w:r w:rsidRPr="00B76100">
        <w:rPr>
          <w:bCs/>
        </w:rPr>
        <w:t>V.I. LEGISLA</w:t>
      </w:r>
      <w:r w:rsidRPr="00B76100">
        <w:rPr>
          <w:rFonts w:hint="eastAsia"/>
          <w:bCs/>
        </w:rPr>
        <w:t>ÇÃ</w:t>
      </w:r>
      <w:r w:rsidRPr="00B76100">
        <w:rPr>
          <w:bCs/>
        </w:rPr>
        <w:t>O</w:t>
      </w:r>
    </w:p>
    <w:p w14:paraId="5A224DE6" w14:textId="4A1D8026" w:rsidR="009D6B2C" w:rsidRDefault="00B76100" w:rsidP="00B76100">
      <w:pPr>
        <w:ind w:firstLine="0"/>
        <w:rPr>
          <w:bCs/>
        </w:rPr>
      </w:pPr>
      <w:r>
        <w:rPr>
          <w:bCs/>
        </w:rPr>
        <w:lastRenderedPageBreak/>
        <w:t>CC:</w:t>
      </w:r>
      <w:r w:rsidR="005D7C57">
        <w:rPr>
          <w:bCs/>
        </w:rPr>
        <w:t xml:space="preserve"> art. </w:t>
      </w:r>
      <w:r w:rsidR="009D6B2C">
        <w:rPr>
          <w:bCs/>
        </w:rPr>
        <w:t>1.228, § 1º; art. 1.315; art. 1.660.</w:t>
      </w:r>
    </w:p>
    <w:p w14:paraId="1969074D" w14:textId="78A1FB4F" w:rsidR="00B76100" w:rsidRDefault="00B76100" w:rsidP="00B76100">
      <w:pPr>
        <w:ind w:firstLine="0"/>
        <w:rPr>
          <w:bCs/>
        </w:rPr>
      </w:pPr>
      <w:r>
        <w:rPr>
          <w:bCs/>
        </w:rPr>
        <w:t>CPC:</w:t>
      </w:r>
      <w:r w:rsidR="009D6B2C">
        <w:rPr>
          <w:bCs/>
        </w:rPr>
        <w:t xml:space="preserve"> 550.</w:t>
      </w:r>
    </w:p>
    <w:p w14:paraId="40DB7819" w14:textId="5E64B76F" w:rsidR="00E14E16" w:rsidRDefault="00BC4B1F" w:rsidP="00B76100">
      <w:pPr>
        <w:ind w:firstLine="0"/>
        <w:rPr>
          <w:bCs/>
        </w:rPr>
      </w:pPr>
      <w:r w:rsidRPr="00B76100">
        <w:rPr>
          <w:bCs/>
        </w:rPr>
        <w:t>V.II. JURISPRUD</w:t>
      </w:r>
      <w:r w:rsidRPr="00B76100">
        <w:rPr>
          <w:rFonts w:hint="eastAsia"/>
          <w:bCs/>
        </w:rPr>
        <w:t>Ê</w:t>
      </w:r>
      <w:r w:rsidRPr="00B76100">
        <w:rPr>
          <w:bCs/>
        </w:rPr>
        <w:t>NCIA</w:t>
      </w:r>
    </w:p>
    <w:p w14:paraId="3F208B55" w14:textId="3D325325" w:rsidR="00A06418" w:rsidRDefault="00A06418" w:rsidP="00B76100">
      <w:pPr>
        <w:ind w:firstLine="0"/>
        <w:rPr>
          <w:bCs/>
        </w:rPr>
      </w:pPr>
      <w:r w:rsidRPr="00A06418">
        <w:rPr>
          <w:bCs/>
        </w:rPr>
        <w:t xml:space="preserve">STJ. Quarta turma. Relator: Ministro Luis Felipe Salomão. </w:t>
      </w:r>
      <w:proofErr w:type="spellStart"/>
      <w:r w:rsidRPr="00A06418">
        <w:rPr>
          <w:bCs/>
        </w:rPr>
        <w:t>REsp</w:t>
      </w:r>
      <w:proofErr w:type="spellEnd"/>
      <w:r w:rsidRPr="00A06418">
        <w:rPr>
          <w:bCs/>
        </w:rPr>
        <w:t xml:space="preserve"> n. 1.274.639/SP. Data de julgamento 12-9-2017. Data de publicação: 23-10-2017</w:t>
      </w:r>
      <w:r>
        <w:rPr>
          <w:bCs/>
        </w:rPr>
        <w:t>.</w:t>
      </w:r>
    </w:p>
    <w:p w14:paraId="55D5DE23" w14:textId="77777777" w:rsidR="00B76100" w:rsidRPr="00B76100" w:rsidRDefault="00B76100" w:rsidP="00B76100">
      <w:pPr>
        <w:ind w:firstLine="0"/>
        <w:rPr>
          <w:bCs/>
        </w:rPr>
      </w:pPr>
    </w:p>
    <w:p w14:paraId="6C9E37B1" w14:textId="77777777" w:rsidR="00AA28DF" w:rsidRDefault="00AA28DF" w:rsidP="00571CC7">
      <w:pPr>
        <w:ind w:firstLine="708"/>
        <w:rPr>
          <w:b/>
        </w:rPr>
      </w:pPr>
      <w:r>
        <w:rPr>
          <w:b/>
        </w:rPr>
        <w:t>I – RELATÓRIO</w:t>
      </w:r>
    </w:p>
    <w:p w14:paraId="3A46A4E1" w14:textId="517A8135" w:rsidR="00EE3B4D" w:rsidRDefault="622A2370" w:rsidP="00DC21D2">
      <w:pPr>
        <w:ind w:firstLine="708"/>
      </w:pPr>
      <w:r>
        <w:t xml:space="preserve">Trata-se de agravo de instrumento interposto por </w:t>
      </w:r>
      <w:r w:rsidR="7CE0DC84">
        <w:t xml:space="preserve">Nilva Pagnoncelli Tusek em face de Bogdan Tusek, tendo como objeto decisão proferida pelo juízo da </w:t>
      </w:r>
      <w:r>
        <w:t>2ª Vara Descentralizada do Boqueirão</w:t>
      </w:r>
      <w:r w:rsidR="6107E3B2">
        <w:t>, da comarca da região metropolitana de</w:t>
      </w:r>
      <w:r>
        <w:t xml:space="preserve"> Curitib</w:t>
      </w:r>
      <w:r w:rsidR="6107E3B2">
        <w:t xml:space="preserve">a, que determinou o depósito integral em conta judicial dos </w:t>
      </w:r>
      <w:r w:rsidR="3C334B27">
        <w:t>valores</w:t>
      </w:r>
      <w:r w:rsidR="6107E3B2">
        <w:t xml:space="preserve"> provenientes d</w:t>
      </w:r>
      <w:r w:rsidR="785ECEA6">
        <w:t>os aluguéis de imóveis de comuns, bem como a habilitação dos locatários no processo (eventos 386.1 e 444.1 – autos de origem).</w:t>
      </w:r>
    </w:p>
    <w:p w14:paraId="39AD3552" w14:textId="63BBB787" w:rsidR="00C85DE2" w:rsidRDefault="18CFE25F" w:rsidP="00C85DE2">
      <w:pPr>
        <w:ind w:firstLine="708"/>
      </w:pPr>
      <w:r>
        <w:t xml:space="preserve">Eis, em síntese, as razões de inconformismo: a) a </w:t>
      </w:r>
      <w:r w:rsidR="734A07B3">
        <w:t>retenção</w:t>
      </w:r>
      <w:r>
        <w:t xml:space="preserve"> integral dos valores em juízo </w:t>
      </w:r>
      <w:r w:rsidR="068AB76A">
        <w:t>inviabiliza a administração dos imóveis, porque impossibilita o pagamento de tributos e manutenções necessárias; b) não há indícios da má-gestão; c) a habilitação dos locatários vulnera o sigilo processual (evento 1.1).</w:t>
      </w:r>
    </w:p>
    <w:p w14:paraId="07D40DF5" w14:textId="0E34CF13" w:rsidR="00922E95" w:rsidRDefault="00922E95" w:rsidP="00C85DE2">
      <w:pPr>
        <w:ind w:firstLine="708"/>
        <w:rPr>
          <w:bCs/>
        </w:rPr>
      </w:pPr>
      <w:r>
        <w:rPr>
          <w:bCs/>
        </w:rPr>
        <w:t>Deferiu-se o pedido de liminar de atribuição de eficácia suspensiva ao recurso (evento 22.1).</w:t>
      </w:r>
    </w:p>
    <w:p w14:paraId="15F933E6" w14:textId="042EFA8F" w:rsidR="00C85DE2" w:rsidRDefault="00C85DE2" w:rsidP="00C85DE2">
      <w:pPr>
        <w:ind w:firstLine="708"/>
        <w:rPr>
          <w:bCs/>
        </w:rPr>
      </w:pPr>
      <w:r>
        <w:rPr>
          <w:bCs/>
        </w:rPr>
        <w:t>Nas contrarrazões, o agravado sustentou que: a)</w:t>
      </w:r>
      <w:r w:rsidR="00922E95">
        <w:rPr>
          <w:bCs/>
        </w:rPr>
        <w:t xml:space="preserve"> o recurso é intempestivo; b) a ex-esposa não lhe transmite, adequadamente, os frutos dos imóveis, sendo necessária a </w:t>
      </w:r>
      <w:r w:rsidR="000F77A4">
        <w:rPr>
          <w:bCs/>
        </w:rPr>
        <w:t>intervenção</w:t>
      </w:r>
      <w:r w:rsidR="00922E95">
        <w:rPr>
          <w:bCs/>
        </w:rPr>
        <w:t xml:space="preserve"> judicial (evento 27.1).</w:t>
      </w:r>
    </w:p>
    <w:p w14:paraId="4867B0CD" w14:textId="10818002" w:rsidR="007A7424" w:rsidRPr="009F3B9B" w:rsidRDefault="007A7424" w:rsidP="00571CC7">
      <w:pPr>
        <w:ind w:firstLine="708"/>
        <w:rPr>
          <w:bCs/>
        </w:rPr>
      </w:pPr>
      <w:r w:rsidRPr="009F3B9B">
        <w:rPr>
          <w:rFonts w:hint="eastAsia"/>
          <w:bCs/>
        </w:rPr>
        <w:t>É</w:t>
      </w:r>
      <w:r w:rsidRPr="009F3B9B">
        <w:rPr>
          <w:bCs/>
        </w:rPr>
        <w:t xml:space="preserve"> o relat</w:t>
      </w:r>
      <w:r w:rsidRPr="009F3B9B">
        <w:rPr>
          <w:rFonts w:hint="eastAsia"/>
          <w:bCs/>
        </w:rPr>
        <w:t>ó</w:t>
      </w:r>
      <w:r w:rsidRPr="009F3B9B">
        <w:rPr>
          <w:bCs/>
        </w:rPr>
        <w:t>rio.</w:t>
      </w:r>
    </w:p>
    <w:p w14:paraId="71A9F224" w14:textId="77777777" w:rsidR="007A7424" w:rsidRDefault="007A7424" w:rsidP="00571CC7">
      <w:pPr>
        <w:ind w:firstLine="708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327CEB59" w14:textId="77777777" w:rsidR="00B61680" w:rsidRDefault="00AA28DF" w:rsidP="00B61680">
      <w:pPr>
        <w:pStyle w:val="PargrafodaLista"/>
        <w:ind w:left="0"/>
        <w:contextualSpacing w:val="0"/>
      </w:pPr>
      <w:r>
        <w:t>II.I – DO JUÍZO DE ADMISSIBILIDADE</w:t>
      </w:r>
    </w:p>
    <w:p w14:paraId="169EC7CB" w14:textId="77777777" w:rsidR="00043CF2" w:rsidRDefault="008E4DE9" w:rsidP="00043CF2">
      <w:pPr>
        <w:pStyle w:val="PargrafodaLista"/>
        <w:ind w:left="0"/>
        <w:contextualSpacing w:val="0"/>
        <w:rPr>
          <w:bCs/>
        </w:rPr>
      </w:pPr>
      <w:r>
        <w:rPr>
          <w:bCs/>
        </w:rPr>
        <w:lastRenderedPageBreak/>
        <w:t xml:space="preserve">Em que pese a arguição de intempestividade, </w:t>
      </w:r>
      <w:r w:rsidR="00CE4B08">
        <w:rPr>
          <w:bCs/>
        </w:rPr>
        <w:t>colhe-se do sistema processual que o recurso foi interposto no último dia do prazo quinzenal</w:t>
      </w:r>
      <w:r w:rsidR="00557BEC">
        <w:rPr>
          <w:bCs/>
        </w:rPr>
        <w:t xml:space="preserve"> consignado, qual seja, 14-6-2025.</w:t>
      </w:r>
    </w:p>
    <w:p w14:paraId="30A5EAAA" w14:textId="77777777" w:rsidR="00043CF2" w:rsidRDefault="00043CF2" w:rsidP="00B61680">
      <w:pPr>
        <w:pStyle w:val="PargrafodaLista"/>
        <w:ind w:left="0"/>
        <w:contextualSpacing w:val="0"/>
        <w:rPr>
          <w:bCs/>
        </w:rPr>
      </w:pPr>
      <w:r>
        <w:rPr>
          <w:bCs/>
        </w:rPr>
        <w:t>Afasta-se, portanto, a preliminar.</w:t>
      </w:r>
    </w:p>
    <w:p w14:paraId="1841E747" w14:textId="7BACD64B" w:rsidR="00822338" w:rsidRDefault="00822338" w:rsidP="00B61680">
      <w:pPr>
        <w:pStyle w:val="PargrafodaLista"/>
        <w:ind w:left="0"/>
        <w:contextualSpacing w:val="0"/>
        <w:rPr>
          <w:bCs/>
        </w:rPr>
      </w:pPr>
      <w:r w:rsidRPr="00B61680">
        <w:rPr>
          <w:bCs/>
        </w:rPr>
        <w:t>Satisfeitos</w:t>
      </w:r>
      <w:r w:rsidR="00B61680">
        <w:rPr>
          <w:bCs/>
        </w:rPr>
        <w:t>, pois,</w:t>
      </w:r>
      <w:r w:rsidRPr="00B61680">
        <w:rPr>
          <w:bCs/>
        </w:rPr>
        <w:t xml:space="preserve"> os pressupostos de admissibilidade, conhece-se do recurso</w:t>
      </w:r>
      <w:r w:rsidR="00B61680">
        <w:rPr>
          <w:bCs/>
        </w:rPr>
        <w:t>.</w:t>
      </w:r>
    </w:p>
    <w:p w14:paraId="243B0916" w14:textId="77777777" w:rsidR="00B61680" w:rsidRDefault="00B61680" w:rsidP="00B61680">
      <w:pPr>
        <w:pStyle w:val="PargrafodaLista"/>
        <w:ind w:left="0"/>
        <w:contextualSpacing w:val="0"/>
        <w:rPr>
          <w:bCs/>
        </w:rPr>
      </w:pPr>
    </w:p>
    <w:p w14:paraId="7915B00A" w14:textId="710FC50D" w:rsidR="008E4DE9" w:rsidRDefault="00B61680" w:rsidP="008E4DE9">
      <w:pPr>
        <w:pStyle w:val="PargrafodaLista"/>
        <w:ind w:left="0"/>
        <w:contextualSpacing w:val="0"/>
        <w:rPr>
          <w:bCs/>
        </w:rPr>
      </w:pPr>
      <w:r>
        <w:rPr>
          <w:bCs/>
        </w:rPr>
        <w:t>II.II – D</w:t>
      </w:r>
      <w:r w:rsidR="00411D6C">
        <w:rPr>
          <w:bCs/>
        </w:rPr>
        <w:t xml:space="preserve">A ADMINISTRAÇÃO </w:t>
      </w:r>
      <w:r>
        <w:rPr>
          <w:bCs/>
        </w:rPr>
        <w:t>DO PATRIMÔNIO COMUM</w:t>
      </w:r>
    </w:p>
    <w:p w14:paraId="5DBFE6B1" w14:textId="4403993F" w:rsidR="00411D6C" w:rsidRDefault="00A85194" w:rsidP="008E4DE9">
      <w:pPr>
        <w:pStyle w:val="PargrafodaLista"/>
        <w:ind w:left="0"/>
        <w:contextualSpacing w:val="0"/>
      </w:pPr>
      <w:r w:rsidRPr="008E4DE9">
        <w:rPr>
          <w:bCs/>
        </w:rPr>
        <w:t>Cinge-se a controv</w:t>
      </w:r>
      <w:r w:rsidRPr="008E4DE9">
        <w:rPr>
          <w:rFonts w:hint="eastAsia"/>
          <w:bCs/>
        </w:rPr>
        <w:t>é</w:t>
      </w:r>
      <w:r w:rsidRPr="008E4DE9">
        <w:rPr>
          <w:bCs/>
        </w:rPr>
        <w:t>rsia sobre</w:t>
      </w:r>
      <w:r w:rsidR="00411D6C">
        <w:rPr>
          <w:bCs/>
        </w:rPr>
        <w:t xml:space="preserve"> a </w:t>
      </w:r>
      <w:r w:rsidR="008D4E99">
        <w:rPr>
          <w:bCs/>
        </w:rPr>
        <w:t>forma de administração</w:t>
      </w:r>
      <w:r w:rsidR="00411D6C">
        <w:rPr>
          <w:bCs/>
        </w:rPr>
        <w:t xml:space="preserve"> do patrimônio comu</w:t>
      </w:r>
      <w:r w:rsidR="0017203C">
        <w:rPr>
          <w:bCs/>
        </w:rPr>
        <w:t xml:space="preserve">m. </w:t>
      </w:r>
    </w:p>
    <w:p w14:paraId="094F26F4" w14:textId="36F14A6A" w:rsidR="00411D6C" w:rsidRDefault="0017203C" w:rsidP="008E4DE9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As partes são proprietárias, em condomínio, de diversos imóveis </w:t>
      </w:r>
      <w:r w:rsidR="008D4E99">
        <w:rPr>
          <w:bCs/>
        </w:rPr>
        <w:t xml:space="preserve">e os exploram mediante locação. A pedido do agravado, a decisão impugnada estabeleceu que </w:t>
      </w:r>
      <w:r w:rsidR="0007023B">
        <w:rPr>
          <w:bCs/>
        </w:rPr>
        <w:t>os inquilinos devem depositar os alugueres em juízo, para que seja respeitada a partilha</w:t>
      </w:r>
      <w:r w:rsidR="0021580E">
        <w:rPr>
          <w:bCs/>
        </w:rPr>
        <w:t xml:space="preserve"> dos frutos.</w:t>
      </w:r>
    </w:p>
    <w:p w14:paraId="30188629" w14:textId="1F243EF0" w:rsidR="00461F8B" w:rsidRDefault="00461F8B" w:rsidP="00506AF8">
      <w:pPr>
        <w:pStyle w:val="PargrafodaLista"/>
        <w:ind w:left="0"/>
        <w:contextualSpacing w:val="0"/>
        <w:rPr>
          <w:bCs/>
        </w:rPr>
      </w:pPr>
      <w:r>
        <w:rPr>
          <w:bCs/>
        </w:rPr>
        <w:t>Embora seja devida a partilha dos furtos do patrimônio comum</w:t>
      </w:r>
      <w:r w:rsidR="009A2881">
        <w:rPr>
          <w:bCs/>
        </w:rPr>
        <w:t xml:space="preserve"> (CC, art. 1.660, V), sua administração deve observar </w:t>
      </w:r>
      <w:r w:rsidR="00FC5122">
        <w:rPr>
          <w:bCs/>
        </w:rPr>
        <w:t>a</w:t>
      </w:r>
      <w:r w:rsidR="009A2881">
        <w:rPr>
          <w:bCs/>
        </w:rPr>
        <w:t xml:space="preserve"> conservação do patrimônio</w:t>
      </w:r>
      <w:r w:rsidR="00B34386">
        <w:rPr>
          <w:bCs/>
        </w:rPr>
        <w:t xml:space="preserve">, consectário lógico </w:t>
      </w:r>
      <w:r w:rsidR="00FC5122">
        <w:rPr>
          <w:bCs/>
        </w:rPr>
        <w:t>da função social da propriedade</w:t>
      </w:r>
      <w:r w:rsidR="009F7EA9">
        <w:rPr>
          <w:bCs/>
        </w:rPr>
        <w:t xml:space="preserve"> (CC, art. 1.228, § 1º).</w:t>
      </w:r>
    </w:p>
    <w:p w14:paraId="1E3BAFF0" w14:textId="62E7756C" w:rsidR="00427530" w:rsidRDefault="00427530" w:rsidP="00506AF8">
      <w:pPr>
        <w:pStyle w:val="PargrafodaLista"/>
        <w:ind w:left="0"/>
        <w:contextualSpacing w:val="0"/>
        <w:rPr>
          <w:bCs/>
        </w:rPr>
      </w:pPr>
      <w:r>
        <w:rPr>
          <w:bCs/>
        </w:rPr>
        <w:t>No caso, a</w:t>
      </w:r>
      <w:r w:rsidR="00A85194" w:rsidRPr="00506AF8">
        <w:rPr>
          <w:bCs/>
        </w:rPr>
        <w:t xml:space="preserve"> determina</w:t>
      </w:r>
      <w:r w:rsidR="00A85194" w:rsidRPr="00506AF8">
        <w:rPr>
          <w:rFonts w:hint="eastAsia"/>
          <w:bCs/>
        </w:rPr>
        <w:t>çã</w:t>
      </w:r>
      <w:r w:rsidR="00A85194" w:rsidRPr="00506AF8">
        <w:rPr>
          <w:bCs/>
        </w:rPr>
        <w:t>o de dep</w:t>
      </w:r>
      <w:r w:rsidR="00A85194" w:rsidRPr="00506AF8">
        <w:rPr>
          <w:rFonts w:hint="eastAsia"/>
          <w:bCs/>
        </w:rPr>
        <w:t>ó</w:t>
      </w:r>
      <w:r w:rsidR="00A85194" w:rsidRPr="00506AF8">
        <w:rPr>
          <w:bCs/>
        </w:rPr>
        <w:t>sito integral em conta judicial ignora a natureza da gest</w:t>
      </w:r>
      <w:r w:rsidR="00A85194" w:rsidRPr="00506AF8">
        <w:rPr>
          <w:rFonts w:hint="eastAsia"/>
          <w:bCs/>
        </w:rPr>
        <w:t>ã</w:t>
      </w:r>
      <w:r w:rsidR="00A85194" w:rsidRPr="00506AF8">
        <w:rPr>
          <w:bCs/>
        </w:rPr>
        <w:t>o imobili</w:t>
      </w:r>
      <w:r w:rsidR="00A85194" w:rsidRPr="00506AF8">
        <w:rPr>
          <w:rFonts w:hint="eastAsia"/>
          <w:bCs/>
        </w:rPr>
        <w:t>á</w:t>
      </w:r>
      <w:r w:rsidR="00A85194" w:rsidRPr="00506AF8">
        <w:rPr>
          <w:bCs/>
        </w:rPr>
        <w:t>ria</w:t>
      </w:r>
      <w:r>
        <w:rPr>
          <w:bCs/>
        </w:rPr>
        <w:t xml:space="preserve"> e, sobretudo, o conteúdo normativo do princípio da </w:t>
      </w:r>
      <w:proofErr w:type="spellStart"/>
      <w:r>
        <w:rPr>
          <w:bCs/>
        </w:rPr>
        <w:t>operabilidade</w:t>
      </w:r>
      <w:proofErr w:type="spellEnd"/>
      <w:r>
        <w:rPr>
          <w:bCs/>
        </w:rPr>
        <w:t xml:space="preserve">, </w:t>
      </w:r>
      <w:r w:rsidR="00F777C2">
        <w:rPr>
          <w:bCs/>
        </w:rPr>
        <w:t>que impõe soluções jurídicas viáveis</w:t>
      </w:r>
      <w:r w:rsidR="00614C5F">
        <w:rPr>
          <w:bCs/>
        </w:rPr>
        <w:t xml:space="preserve"> e efetivas para a materialização do direito.</w:t>
      </w:r>
    </w:p>
    <w:p w14:paraId="5EA2671F" w14:textId="2061C38F" w:rsidR="00743828" w:rsidRDefault="00743828" w:rsidP="00506AF8">
      <w:pPr>
        <w:pStyle w:val="PargrafodaLista"/>
        <w:ind w:left="0"/>
        <w:contextualSpacing w:val="0"/>
        <w:rPr>
          <w:bCs/>
        </w:rPr>
      </w:pPr>
      <w:r>
        <w:rPr>
          <w:bCs/>
        </w:rPr>
        <w:t>Com</w:t>
      </w:r>
      <w:r w:rsidR="00281BC1">
        <w:rPr>
          <w:bCs/>
        </w:rPr>
        <w:t xml:space="preserve"> efeito, a gestão </w:t>
      </w:r>
      <w:r w:rsidR="0023219F">
        <w:rPr>
          <w:bCs/>
        </w:rPr>
        <w:t xml:space="preserve">dos bens condominiais exige liquidez imediata para o custeio de </w:t>
      </w:r>
      <w:r w:rsidR="00AB7594">
        <w:rPr>
          <w:bCs/>
        </w:rPr>
        <w:t>eventuais despesas inerentes à sua conservação, sazonais e imprevisíveis, e dos tributos correlatos (CC, art. 1.315).</w:t>
      </w:r>
    </w:p>
    <w:p w14:paraId="32AD98D4" w14:textId="4F3832A2" w:rsidR="007143FE" w:rsidRDefault="00A85194" w:rsidP="00C40206">
      <w:pPr>
        <w:pStyle w:val="PargrafodaLista"/>
        <w:ind w:left="0"/>
        <w:contextualSpacing w:val="0"/>
        <w:rPr>
          <w:bCs/>
        </w:rPr>
      </w:pPr>
      <w:r w:rsidRPr="00506AF8">
        <w:rPr>
          <w:bCs/>
        </w:rPr>
        <w:t>N</w:t>
      </w:r>
      <w:r w:rsidRPr="00506AF8">
        <w:rPr>
          <w:rFonts w:hint="eastAsia"/>
          <w:bCs/>
        </w:rPr>
        <w:t>ã</w:t>
      </w:r>
      <w:r w:rsidRPr="00506AF8">
        <w:rPr>
          <w:bCs/>
        </w:rPr>
        <w:t>o havendo prova de gest</w:t>
      </w:r>
      <w:r w:rsidRPr="00506AF8">
        <w:rPr>
          <w:rFonts w:hint="eastAsia"/>
          <w:bCs/>
        </w:rPr>
        <w:t>ã</w:t>
      </w:r>
      <w:r w:rsidRPr="00506AF8">
        <w:rPr>
          <w:bCs/>
        </w:rPr>
        <w:t>o fraudulenta, a pretens</w:t>
      </w:r>
      <w:r w:rsidRPr="00506AF8">
        <w:rPr>
          <w:rFonts w:hint="eastAsia"/>
          <w:bCs/>
        </w:rPr>
        <w:t>ã</w:t>
      </w:r>
      <w:r w:rsidRPr="00506AF8">
        <w:rPr>
          <w:bCs/>
        </w:rPr>
        <w:t xml:space="preserve">o de controle absoluto </w:t>
      </w:r>
      <w:r w:rsidR="0041379E">
        <w:rPr>
          <w:bCs/>
        </w:rPr>
        <w:t>pelo Poder Judiciário deve ser mitigada. Tal cenário imp</w:t>
      </w:r>
      <w:r w:rsidR="0090583C">
        <w:rPr>
          <w:bCs/>
        </w:rPr>
        <w:t xml:space="preserve">licaria </w:t>
      </w:r>
      <w:r w:rsidR="0041379E" w:rsidRPr="00506AF8">
        <w:rPr>
          <w:bCs/>
        </w:rPr>
        <w:t>burocratiza</w:t>
      </w:r>
      <w:r w:rsidR="0041379E" w:rsidRPr="00506AF8">
        <w:rPr>
          <w:rFonts w:hint="eastAsia"/>
          <w:bCs/>
        </w:rPr>
        <w:t>çã</w:t>
      </w:r>
      <w:r w:rsidR="0041379E" w:rsidRPr="00506AF8">
        <w:rPr>
          <w:bCs/>
        </w:rPr>
        <w:t>o excessiva</w:t>
      </w:r>
      <w:r w:rsidR="0090583C">
        <w:rPr>
          <w:bCs/>
        </w:rPr>
        <w:t>, com evidente prejuízo à eficiência da administração dos bens</w:t>
      </w:r>
      <w:r w:rsidR="00BB259F">
        <w:rPr>
          <w:bCs/>
        </w:rPr>
        <w:t>, caracterizando risco de dano inverso consistente da deterioração do patrimônio comum</w:t>
      </w:r>
      <w:r w:rsidR="00960CDA">
        <w:rPr>
          <w:bCs/>
        </w:rPr>
        <w:t>, bem como vulneração do sigilo processual, pela habilitação dos locatários</w:t>
      </w:r>
      <w:r w:rsidR="00EA410A">
        <w:rPr>
          <w:bCs/>
        </w:rPr>
        <w:t>.</w:t>
      </w:r>
    </w:p>
    <w:p w14:paraId="5194AE0B" w14:textId="7848E455" w:rsidR="00E026F9" w:rsidRDefault="00A85194" w:rsidP="00506AF8">
      <w:pPr>
        <w:pStyle w:val="PargrafodaLista"/>
        <w:ind w:left="0"/>
        <w:contextualSpacing w:val="0"/>
        <w:rPr>
          <w:bCs/>
        </w:rPr>
      </w:pPr>
      <w:r w:rsidRPr="00506AF8">
        <w:rPr>
          <w:bCs/>
        </w:rPr>
        <w:lastRenderedPageBreak/>
        <w:t>Assim, a solu</w:t>
      </w:r>
      <w:r w:rsidRPr="00506AF8">
        <w:rPr>
          <w:rFonts w:hint="eastAsia"/>
          <w:bCs/>
        </w:rPr>
        <w:t>çã</w:t>
      </w:r>
      <w:r w:rsidRPr="00506AF8">
        <w:rPr>
          <w:bCs/>
        </w:rPr>
        <w:t>o que melhor harmoniza os interesses</w:t>
      </w:r>
      <w:r w:rsidR="00E026F9">
        <w:rPr>
          <w:bCs/>
        </w:rPr>
        <w:t xml:space="preserve"> dos coproprietários é a manutenção da gestão pela agravante, com o dever jurídico de repassar 50% (cinquenta por cento) do rendimento líquido diretamente ao agravado, mediante depósito em conta bancária</w:t>
      </w:r>
      <w:r w:rsidR="00EC30D4">
        <w:rPr>
          <w:bCs/>
        </w:rPr>
        <w:t xml:space="preserve"> de titularidade deste.</w:t>
      </w:r>
    </w:p>
    <w:p w14:paraId="396288F4" w14:textId="3DBD6B31" w:rsidR="00286623" w:rsidRDefault="00286623" w:rsidP="00506AF8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Ademais, o limite cognitivo da partilha limita-se à definição dos contornos da propriedade de cada um dos cônjuges à razão da dissolução da sociedade conjugal. O escrutínio da gestão deve ser resolvido em procedimento de exigir contas (CPC, art. 550), com cognição direcionada para a apuração de créditos e débitos </w:t>
      </w:r>
      <w:r w:rsidR="0050488A">
        <w:rPr>
          <w:bCs/>
        </w:rPr>
        <w:t>e outros desdobramentos.</w:t>
      </w:r>
    </w:p>
    <w:p w14:paraId="03E173CC" w14:textId="6BDE08BA" w:rsidR="00667AF3" w:rsidRDefault="00667AF3" w:rsidP="00506AF8">
      <w:pPr>
        <w:pStyle w:val="PargrafodaLista"/>
        <w:ind w:left="0"/>
        <w:contextualSpacing w:val="0"/>
        <w:rPr>
          <w:bCs/>
        </w:rPr>
      </w:pPr>
      <w:r>
        <w:rPr>
          <w:bCs/>
        </w:rPr>
        <w:t>Sobre o tema:</w:t>
      </w:r>
    </w:p>
    <w:p w14:paraId="40496BBA" w14:textId="77777777" w:rsidR="00945E51" w:rsidRDefault="00945E51" w:rsidP="00667AF3">
      <w:pPr>
        <w:pStyle w:val="PargrafodaLista"/>
        <w:rPr>
          <w:bCs/>
        </w:rPr>
      </w:pPr>
    </w:p>
    <w:p w14:paraId="0AA3FD33" w14:textId="515C977A" w:rsidR="00667AF3" w:rsidRPr="00945E51" w:rsidRDefault="00667AF3" w:rsidP="000A0BEB">
      <w:pPr>
        <w:pStyle w:val="PargrafodaLista"/>
        <w:ind w:left="2124" w:firstLine="0"/>
        <w:rPr>
          <w:bCs/>
          <w:sz w:val="20"/>
          <w:szCs w:val="20"/>
        </w:rPr>
      </w:pPr>
      <w:r w:rsidRPr="00945E51">
        <w:rPr>
          <w:bCs/>
          <w:sz w:val="20"/>
          <w:szCs w:val="20"/>
        </w:rPr>
        <w:t xml:space="preserve">RECURSO ESPECIAL. AÇÃO DE PRESTAÇÃO DE CONTAS. BENS E DIREITOS EM ESTADO DE </w:t>
      </w:r>
      <w:proofErr w:type="spellStart"/>
      <w:r w:rsidRPr="00945E51">
        <w:rPr>
          <w:bCs/>
          <w:sz w:val="20"/>
          <w:szCs w:val="20"/>
        </w:rPr>
        <w:t>MANCOMUNHÃO</w:t>
      </w:r>
      <w:proofErr w:type="spellEnd"/>
      <w:r w:rsidRPr="00945E51">
        <w:rPr>
          <w:bCs/>
          <w:sz w:val="20"/>
          <w:szCs w:val="20"/>
        </w:rPr>
        <w:t xml:space="preserve"> (ENTRE A SEPARAÇÃO DE FATO E A EFETIVA PARTILHA). PATRIMÔNIO COMUM ADMINISTRADO EXCLUSIVAMENTE POR EX-CÔNJUGE.</w:t>
      </w:r>
      <w:r w:rsidR="000A0BEB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>1. A ação de prestação de contas tem por escopo aclarar o resultado da administração de negócios alheios (apuração da existência de saldo credor ou devedor) e, sob a regência do CPC de 1973, ostentava caráter dúplice quanto à sua propositura, podendo ser deduzida tanto por quem tivesse o dever de prestar contas quanto pelo titular do direito de exigi-las. O Novo CPC, por seu turno, não mais prevê a possibilidade de propositura de ação para prestar contas, mas apenas a instauração de demanda judicial com o objetivo de exigi-las (artigo 550).</w:t>
      </w:r>
      <w:r w:rsidR="000A0BEB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 xml:space="preserve">2. Assim como consagrado </w:t>
      </w:r>
      <w:proofErr w:type="spellStart"/>
      <w:r w:rsidRPr="00945E51">
        <w:rPr>
          <w:bCs/>
          <w:sz w:val="20"/>
          <w:szCs w:val="20"/>
        </w:rPr>
        <w:t>jurisprudencialmente</w:t>
      </w:r>
      <w:proofErr w:type="spellEnd"/>
      <w:r w:rsidRPr="00945E51">
        <w:rPr>
          <w:bCs/>
          <w:sz w:val="20"/>
          <w:szCs w:val="20"/>
        </w:rPr>
        <w:t xml:space="preserve"> sob a égide do CPC de 1973, o Codex de 2015 explicitou o dever do autor de, na petição inicial, especificar, detalhadamente, as razões pelas quais exige as contas, instruindo-a com documentos comprobatórios dessa necessidade, se existirem. São as causas de pedir remota e próxima, as quais devem ser deduzidas, obrigatoriamente, na exordial, a fim de demonstrar a existência de interesse de agir do autor.</w:t>
      </w:r>
      <w:r w:rsidR="000A0BEB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>3. Como de sabença, a administração do patrimônio comum do casal compete a ambos os cônjuges (artigos 1.663 e 1720 do Código Civil).</w:t>
      </w:r>
      <w:r w:rsidR="000A0BEB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 xml:space="preserve">Nada obstante, a partir da separação de fato ou de corpos (marco final do regime de bens), os bens e direitos dos ex-consortes ficam em estado de </w:t>
      </w:r>
      <w:proofErr w:type="spellStart"/>
      <w:r w:rsidRPr="00945E51">
        <w:rPr>
          <w:bCs/>
          <w:sz w:val="20"/>
          <w:szCs w:val="20"/>
        </w:rPr>
        <w:t>mancomunhão</w:t>
      </w:r>
      <w:proofErr w:type="spellEnd"/>
      <w:r w:rsidRPr="00945E51">
        <w:rPr>
          <w:bCs/>
          <w:sz w:val="20"/>
          <w:szCs w:val="20"/>
        </w:rPr>
        <w:t xml:space="preserve"> - conforme salienta doutrina especializada -, formando uma massa juridicamente indivisível, indistintamente pertencente a ambos.</w:t>
      </w:r>
      <w:r w:rsidR="000A0BEB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 xml:space="preserve">4. No presente caso, consoante reconhecido na origem, a separação de fato do casal (que adotara o regime de comunhão universal de bens) ocorreu em janeiro de 2000, tendo sido decretada a separação de corpos em 05.05.2000, no âmbito de ação cautelar intentada pela ex-esposa. </w:t>
      </w:r>
      <w:r w:rsidRPr="00945E51">
        <w:rPr>
          <w:bCs/>
          <w:sz w:val="20"/>
          <w:szCs w:val="20"/>
        </w:rPr>
        <w:lastRenderedPageBreak/>
        <w:t>Posteriormente, foi proposta ação de separação judicial litigiosa que, em 19.04.2001, foi convertida em consensual. A divisão do acervo patrimonial comum, por sua vez, foi objeto de ação própria, ajuizada em maio de 2001, processada sob a forma de inventário. Revela-se, outrossim, incontroverso que os bens e direitos comuns do casal sempre estiveram sob a administração exclusiva do ex-marido, que, em 27.11.2001, veio a assumir o encargo de inventariante do patrimônio.</w:t>
      </w:r>
    </w:p>
    <w:p w14:paraId="4A9F3941" w14:textId="6693B102" w:rsidR="00411CA3" w:rsidRDefault="00667AF3" w:rsidP="00EE70C1">
      <w:pPr>
        <w:pStyle w:val="PargrafodaLista"/>
        <w:ind w:left="2124" w:firstLine="0"/>
        <w:rPr>
          <w:bCs/>
          <w:sz w:val="20"/>
          <w:szCs w:val="20"/>
        </w:rPr>
      </w:pPr>
      <w:r w:rsidRPr="00945E51">
        <w:rPr>
          <w:bCs/>
          <w:sz w:val="20"/>
          <w:szCs w:val="20"/>
        </w:rPr>
        <w:t>5</w:t>
      </w:r>
      <w:r w:rsidRPr="00EE70C1">
        <w:rPr>
          <w:b/>
          <w:sz w:val="20"/>
          <w:szCs w:val="20"/>
        </w:rPr>
        <w:t xml:space="preserve">. Em caráter geral, a jurisprudência desta Corte já consagrou o entendimento de que a prestação de contas é devida por aqueles que administram bens de terceiros, não havendo necessidade de invocação de qualquer motivo para o interessado </w:t>
      </w:r>
      <w:proofErr w:type="spellStart"/>
      <w:r w:rsidRPr="00EE70C1">
        <w:rPr>
          <w:b/>
          <w:sz w:val="20"/>
          <w:szCs w:val="20"/>
        </w:rPr>
        <w:t>tomá-la</w:t>
      </w:r>
      <w:proofErr w:type="spellEnd"/>
      <w:r w:rsidRPr="00EE70C1">
        <w:rPr>
          <w:b/>
          <w:sz w:val="20"/>
          <w:szCs w:val="20"/>
        </w:rPr>
        <w:t>.</w:t>
      </w:r>
      <w:r w:rsidR="00EE70C1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>6. No tocante especificamente à relação decorrente do fim da convivência matrimonial, infere-se que, após a separação de fato ou de corpos, o cônjuge que estiver na posse ou na administração do patrimônio partilhável - seja na condição de administrador provisório, seja na de inventariante - terá o dever de prestar contas ao ex-consorte. Isso porque, uma vez cessada a afeição e a confiança entre os cônjuges, aquele titular de bens ou negócios administrados pelo outro tem o legítimo interesse ao pleno conhecimento da forma como são conduzidos, não se revelando necessária a demonstração de qualquer irregularidade, prejuízo ou crédito em detrimento do gestor.</w:t>
      </w:r>
      <w:r w:rsidR="00EE70C1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>7. Recurso especial provido para restabelecer a sentença de procedência.</w:t>
      </w:r>
      <w:r w:rsidR="00EE70C1">
        <w:rPr>
          <w:bCs/>
          <w:sz w:val="20"/>
          <w:szCs w:val="20"/>
        </w:rPr>
        <w:t xml:space="preserve"> </w:t>
      </w:r>
      <w:r w:rsidRPr="00945E51">
        <w:rPr>
          <w:bCs/>
          <w:sz w:val="20"/>
          <w:szCs w:val="20"/>
        </w:rPr>
        <w:t>(</w:t>
      </w:r>
      <w:r w:rsidR="00EE70C1">
        <w:rPr>
          <w:bCs/>
          <w:sz w:val="20"/>
          <w:szCs w:val="20"/>
        </w:rPr>
        <w:t xml:space="preserve">STJ. Quarta turma. Relator: Ministro Luis Felipe Salomão. </w:t>
      </w:r>
      <w:proofErr w:type="spellStart"/>
      <w:r w:rsidRPr="00945E51">
        <w:rPr>
          <w:bCs/>
          <w:sz w:val="20"/>
          <w:szCs w:val="20"/>
        </w:rPr>
        <w:t>REsp</w:t>
      </w:r>
      <w:proofErr w:type="spellEnd"/>
      <w:r w:rsidRPr="00945E51">
        <w:rPr>
          <w:bCs/>
          <w:sz w:val="20"/>
          <w:szCs w:val="20"/>
        </w:rPr>
        <w:t xml:space="preserve"> n. 1.274.639/SP</w:t>
      </w:r>
      <w:r w:rsidR="00411CA3">
        <w:rPr>
          <w:bCs/>
          <w:sz w:val="20"/>
          <w:szCs w:val="20"/>
        </w:rPr>
        <w:t>. Data de julgamento 12-9-2017. Data de publicação: 23-10-2017).</w:t>
      </w:r>
    </w:p>
    <w:p w14:paraId="671BD07A" w14:textId="77777777" w:rsidR="00411CA3" w:rsidRDefault="00411CA3" w:rsidP="00506AF8">
      <w:pPr>
        <w:pStyle w:val="PargrafodaLista"/>
        <w:ind w:left="0"/>
        <w:contextualSpacing w:val="0"/>
        <w:rPr>
          <w:bCs/>
          <w:sz w:val="20"/>
          <w:szCs w:val="20"/>
        </w:rPr>
      </w:pPr>
    </w:p>
    <w:p w14:paraId="484A8D73" w14:textId="0181AECE" w:rsidR="00A85194" w:rsidRPr="00506AF8" w:rsidRDefault="00EC30D4" w:rsidP="00506AF8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Tal </w:t>
      </w:r>
      <w:r w:rsidR="00A85194" w:rsidRPr="00506AF8">
        <w:rPr>
          <w:bCs/>
        </w:rPr>
        <w:t>medida assegura o direito de mea</w:t>
      </w:r>
      <w:r w:rsidR="00A85194" w:rsidRPr="00506AF8">
        <w:rPr>
          <w:rFonts w:hint="eastAsia"/>
          <w:bCs/>
        </w:rPr>
        <w:t>çã</w:t>
      </w:r>
      <w:r w:rsidR="00A85194" w:rsidRPr="00506AF8">
        <w:rPr>
          <w:bCs/>
        </w:rPr>
        <w:t>o sem paralisar a atividade econ</w:t>
      </w:r>
      <w:r w:rsidR="00A85194" w:rsidRPr="00506AF8">
        <w:rPr>
          <w:rFonts w:hint="eastAsia"/>
          <w:bCs/>
        </w:rPr>
        <w:t>ô</w:t>
      </w:r>
      <w:r w:rsidR="00A85194" w:rsidRPr="00506AF8">
        <w:rPr>
          <w:bCs/>
        </w:rPr>
        <w:t>mica e sem sobrecarregar o aparato judicial com consigna</w:t>
      </w:r>
      <w:r w:rsidR="00A85194" w:rsidRPr="00506AF8">
        <w:rPr>
          <w:rFonts w:hint="eastAsia"/>
          <w:bCs/>
        </w:rPr>
        <w:t>çõ</w:t>
      </w:r>
      <w:r w:rsidR="00A85194" w:rsidRPr="00506AF8">
        <w:rPr>
          <w:bCs/>
        </w:rPr>
        <w:t>es desnecess</w:t>
      </w:r>
      <w:r w:rsidR="00A85194" w:rsidRPr="00506AF8">
        <w:rPr>
          <w:rFonts w:hint="eastAsia"/>
          <w:bCs/>
        </w:rPr>
        <w:t>á</w:t>
      </w:r>
      <w:r w:rsidR="00A85194" w:rsidRPr="00506AF8">
        <w:rPr>
          <w:bCs/>
        </w:rPr>
        <w:t>rias.</w:t>
      </w:r>
    </w:p>
    <w:p w14:paraId="561F6E88" w14:textId="77777777" w:rsidR="0060097A" w:rsidRDefault="0060097A" w:rsidP="00877419">
      <w:pPr>
        <w:pStyle w:val="PargrafodaLista"/>
        <w:ind w:left="0"/>
        <w:contextualSpacing w:val="0"/>
      </w:pPr>
    </w:p>
    <w:p w14:paraId="4F9B449E" w14:textId="12BAFFB5" w:rsidR="00AA28DF" w:rsidRDefault="00506AF8" w:rsidP="00877419">
      <w:pPr>
        <w:pStyle w:val="PargrafodaLista"/>
        <w:ind w:left="0"/>
        <w:contextualSpacing w:val="0"/>
      </w:pPr>
      <w:r>
        <w:t xml:space="preserve">II.III – </w:t>
      </w:r>
      <w:r w:rsidR="00AA28DF">
        <w:t>DA CONCLUSÃO</w:t>
      </w:r>
    </w:p>
    <w:p w14:paraId="12A4456E" w14:textId="3346B7AD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</w:t>
      </w:r>
      <w:r w:rsidR="001F04E3">
        <w:t xml:space="preserve"> em conhecer e dar provimento ao recurso.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04A7D144" w14:textId="48FB7726" w:rsidR="00F11478" w:rsidRPr="00F11478" w:rsidRDefault="00877419" w:rsidP="00877419">
      <w:pPr>
        <w:pStyle w:val="PargrafodaLista"/>
        <w:ind w:left="0"/>
        <w:contextualSpacing w:val="0"/>
        <w:rPr>
          <w:bCs/>
        </w:rPr>
      </w:pPr>
      <w:r>
        <w:rPr>
          <w:b/>
        </w:rPr>
        <w:t xml:space="preserve">III </w:t>
      </w:r>
      <w:r w:rsidR="00372AAB">
        <w:rPr>
          <w:b/>
        </w:rPr>
        <w:t>–</w:t>
      </w:r>
      <w:r>
        <w:rPr>
          <w:b/>
        </w:rPr>
        <w:t xml:space="preserve"> DECISÃO</w:t>
      </w:r>
    </w:p>
    <w:sectPr w:rsidR="00F11478" w:rsidRPr="00F114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07442"/>
    <w:rsid w:val="00043CF2"/>
    <w:rsid w:val="0007023B"/>
    <w:rsid w:val="000A0BEB"/>
    <w:rsid w:val="000F3148"/>
    <w:rsid w:val="000F77A4"/>
    <w:rsid w:val="00146748"/>
    <w:rsid w:val="00165C47"/>
    <w:rsid w:val="0017203C"/>
    <w:rsid w:val="001C2D4C"/>
    <w:rsid w:val="001F04E3"/>
    <w:rsid w:val="001F7724"/>
    <w:rsid w:val="0021580E"/>
    <w:rsid w:val="0023219F"/>
    <w:rsid w:val="00281BC1"/>
    <w:rsid w:val="00286623"/>
    <w:rsid w:val="002F2D38"/>
    <w:rsid w:val="00325591"/>
    <w:rsid w:val="003633BF"/>
    <w:rsid w:val="00372AAB"/>
    <w:rsid w:val="003B6724"/>
    <w:rsid w:val="00400EB4"/>
    <w:rsid w:val="00411CA3"/>
    <w:rsid w:val="00411D6C"/>
    <w:rsid w:val="0041379E"/>
    <w:rsid w:val="00427530"/>
    <w:rsid w:val="0043635D"/>
    <w:rsid w:val="0044058E"/>
    <w:rsid w:val="00461F8B"/>
    <w:rsid w:val="004D4177"/>
    <w:rsid w:val="004E7E47"/>
    <w:rsid w:val="0050488A"/>
    <w:rsid w:val="00506AF8"/>
    <w:rsid w:val="00512D7A"/>
    <w:rsid w:val="00516C03"/>
    <w:rsid w:val="00551893"/>
    <w:rsid w:val="00557BEC"/>
    <w:rsid w:val="00571CC7"/>
    <w:rsid w:val="005B4039"/>
    <w:rsid w:val="005D7C57"/>
    <w:rsid w:val="0060097A"/>
    <w:rsid w:val="00614C5F"/>
    <w:rsid w:val="00631AF2"/>
    <w:rsid w:val="00667AF3"/>
    <w:rsid w:val="00672942"/>
    <w:rsid w:val="006D0BDF"/>
    <w:rsid w:val="007143FE"/>
    <w:rsid w:val="00732AB4"/>
    <w:rsid w:val="00743828"/>
    <w:rsid w:val="00794062"/>
    <w:rsid w:val="007A7424"/>
    <w:rsid w:val="0081513F"/>
    <w:rsid w:val="00822338"/>
    <w:rsid w:val="00877419"/>
    <w:rsid w:val="008D4E99"/>
    <w:rsid w:val="008E0EED"/>
    <w:rsid w:val="008E4DE9"/>
    <w:rsid w:val="0090583C"/>
    <w:rsid w:val="00922E95"/>
    <w:rsid w:val="00945E51"/>
    <w:rsid w:val="00960CDA"/>
    <w:rsid w:val="00965846"/>
    <w:rsid w:val="00971D2E"/>
    <w:rsid w:val="00973737"/>
    <w:rsid w:val="009A2881"/>
    <w:rsid w:val="009D0D3E"/>
    <w:rsid w:val="009D6B2C"/>
    <w:rsid w:val="009F3B9B"/>
    <w:rsid w:val="009F7EA9"/>
    <w:rsid w:val="00A06418"/>
    <w:rsid w:val="00A47DE0"/>
    <w:rsid w:val="00A85194"/>
    <w:rsid w:val="00AA28DF"/>
    <w:rsid w:val="00AA4F32"/>
    <w:rsid w:val="00AB7594"/>
    <w:rsid w:val="00AE47D1"/>
    <w:rsid w:val="00B143A0"/>
    <w:rsid w:val="00B218A6"/>
    <w:rsid w:val="00B34386"/>
    <w:rsid w:val="00B42263"/>
    <w:rsid w:val="00B61680"/>
    <w:rsid w:val="00B76100"/>
    <w:rsid w:val="00BB259F"/>
    <w:rsid w:val="00BC4B1F"/>
    <w:rsid w:val="00BC64BE"/>
    <w:rsid w:val="00BD7FC4"/>
    <w:rsid w:val="00BE7922"/>
    <w:rsid w:val="00C26627"/>
    <w:rsid w:val="00C85DE2"/>
    <w:rsid w:val="00C92B3E"/>
    <w:rsid w:val="00CB6BEC"/>
    <w:rsid w:val="00CC7C35"/>
    <w:rsid w:val="00CE4B08"/>
    <w:rsid w:val="00D37894"/>
    <w:rsid w:val="00D63160"/>
    <w:rsid w:val="00DC21D2"/>
    <w:rsid w:val="00DC37B4"/>
    <w:rsid w:val="00E026F9"/>
    <w:rsid w:val="00E14E16"/>
    <w:rsid w:val="00E15AAB"/>
    <w:rsid w:val="00EA3C6B"/>
    <w:rsid w:val="00EA410A"/>
    <w:rsid w:val="00EB78FF"/>
    <w:rsid w:val="00EC30D4"/>
    <w:rsid w:val="00EE3B4D"/>
    <w:rsid w:val="00EE70C1"/>
    <w:rsid w:val="00F11478"/>
    <w:rsid w:val="00F504CA"/>
    <w:rsid w:val="00F777C2"/>
    <w:rsid w:val="00F95E24"/>
    <w:rsid w:val="00F97E7E"/>
    <w:rsid w:val="00FC2595"/>
    <w:rsid w:val="00FC26A1"/>
    <w:rsid w:val="00FC5122"/>
    <w:rsid w:val="00FE0C12"/>
    <w:rsid w:val="068AB76A"/>
    <w:rsid w:val="080FEDEF"/>
    <w:rsid w:val="13275E4E"/>
    <w:rsid w:val="18A7F17D"/>
    <w:rsid w:val="18CFE25F"/>
    <w:rsid w:val="221C857C"/>
    <w:rsid w:val="361508B2"/>
    <w:rsid w:val="3C334B27"/>
    <w:rsid w:val="4B42032A"/>
    <w:rsid w:val="6107E3B2"/>
    <w:rsid w:val="622A2370"/>
    <w:rsid w:val="72C71959"/>
    <w:rsid w:val="734A07B3"/>
    <w:rsid w:val="785ECEA6"/>
    <w:rsid w:val="7B9887F0"/>
    <w:rsid w:val="7CE0D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11FE1A-DF0B-4563-82F9-A54BBF30FCC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1406</Words>
  <Characters>7593</Characters>
  <Application>Microsoft Office Word</Application>
  <DocSecurity>0</DocSecurity>
  <Lines>63</Lines>
  <Paragraphs>17</Paragraphs>
  <ScaleCrop>false</ScaleCrop>
  <Company>Tribunal de Justiça do Estado do Paraná</Company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57</cp:revision>
  <cp:lastPrinted>2025-07-11T18:35:00Z</cp:lastPrinted>
  <dcterms:created xsi:type="dcterms:W3CDTF">2026-01-21T11:37:00Z</dcterms:created>
  <dcterms:modified xsi:type="dcterms:W3CDTF">2026-01-28T14:28:00Z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