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74DD2" w14:textId="23B8CA8C" w:rsidR="00446273" w:rsidRDefault="00446273" w:rsidP="00446273">
      <w:pPr>
        <w:suppressAutoHyphens w:val="0"/>
        <w:overflowPunct/>
        <w:autoSpaceDN w:val="0"/>
        <w:adjustRightInd w:val="0"/>
        <w:spacing w:after="240" w:line="360" w:lineRule="auto"/>
        <w:jc w:val="both"/>
        <w:textAlignment w:val="auto"/>
        <w:rPr>
          <w:rFonts w:eastAsiaTheme="minorHAnsi"/>
          <w:b/>
          <w:bCs/>
          <w:sz w:val="24"/>
          <w:szCs w:val="24"/>
          <w:lang w:eastAsia="en-US"/>
        </w:rPr>
      </w:pPr>
      <w:r w:rsidRPr="00446273">
        <w:rPr>
          <w:rFonts w:eastAsiaTheme="minorHAnsi"/>
          <w:b/>
          <w:bCs/>
          <w:sz w:val="24"/>
          <w:szCs w:val="24"/>
          <w:lang w:eastAsia="en-US"/>
        </w:rPr>
        <w:t>DIREITO PROCESSUAL CIVIL. AGRAVO INTERNO.</w:t>
      </w:r>
      <w:r>
        <w:rPr>
          <w:rFonts w:eastAsiaTheme="minorHAnsi"/>
          <w:b/>
          <w:bCs/>
          <w:sz w:val="24"/>
          <w:szCs w:val="24"/>
          <w:lang w:eastAsia="en-US"/>
        </w:rPr>
        <w:t xml:space="preserve"> </w:t>
      </w:r>
      <w:r w:rsidR="004017B0">
        <w:rPr>
          <w:rFonts w:eastAsiaTheme="minorHAnsi"/>
          <w:b/>
          <w:bCs/>
          <w:sz w:val="24"/>
          <w:szCs w:val="24"/>
          <w:lang w:eastAsia="en-US"/>
        </w:rPr>
        <w:t>RECLAMAÇÃO. INTERESSE PROCESSUAL.</w:t>
      </w:r>
    </w:p>
    <w:p w14:paraId="2B4D33D4" w14:textId="77777777" w:rsidR="00446273" w:rsidRPr="00446273" w:rsidRDefault="00446273" w:rsidP="00446273">
      <w:pPr>
        <w:suppressAutoHyphens w:val="0"/>
        <w:overflowPunct/>
        <w:autoSpaceDN w:val="0"/>
        <w:adjustRightInd w:val="0"/>
        <w:spacing w:after="240" w:line="360" w:lineRule="auto"/>
        <w:jc w:val="both"/>
        <w:textAlignment w:val="auto"/>
        <w:rPr>
          <w:rFonts w:eastAsiaTheme="minorHAnsi"/>
          <w:b/>
          <w:bCs/>
          <w:sz w:val="24"/>
          <w:szCs w:val="24"/>
          <w:lang w:eastAsia="en-US"/>
        </w:rPr>
      </w:pPr>
      <w:r w:rsidRPr="00446273">
        <w:rPr>
          <w:rFonts w:eastAsiaTheme="minorHAnsi"/>
          <w:b/>
          <w:bCs/>
          <w:sz w:val="24"/>
          <w:szCs w:val="24"/>
          <w:lang w:eastAsia="en-US"/>
        </w:rPr>
        <w:t>I. CASO EM EXAME</w:t>
      </w:r>
    </w:p>
    <w:p w14:paraId="655A71EF" w14:textId="684C03C1" w:rsidR="00320C1E" w:rsidRDefault="00446273" w:rsidP="00446273">
      <w:pPr>
        <w:suppressAutoHyphens w:val="0"/>
        <w:overflowPunct/>
        <w:autoSpaceDN w:val="0"/>
        <w:adjustRightInd w:val="0"/>
        <w:spacing w:after="240" w:line="360" w:lineRule="auto"/>
        <w:jc w:val="both"/>
        <w:textAlignment w:val="auto"/>
        <w:rPr>
          <w:rFonts w:eastAsiaTheme="minorHAnsi"/>
          <w:b/>
          <w:bCs/>
          <w:sz w:val="24"/>
          <w:szCs w:val="24"/>
          <w:lang w:eastAsia="en-US"/>
        </w:rPr>
      </w:pPr>
      <w:r w:rsidRPr="00446273">
        <w:rPr>
          <w:rFonts w:eastAsiaTheme="minorHAnsi"/>
          <w:b/>
          <w:bCs/>
          <w:sz w:val="24"/>
          <w:szCs w:val="24"/>
          <w:lang w:eastAsia="en-US"/>
        </w:rPr>
        <w:t>Agravo interno</w:t>
      </w:r>
      <w:r>
        <w:rPr>
          <w:rFonts w:eastAsiaTheme="minorHAnsi"/>
          <w:b/>
          <w:bCs/>
          <w:sz w:val="24"/>
          <w:szCs w:val="24"/>
          <w:lang w:eastAsia="en-US"/>
        </w:rPr>
        <w:t xml:space="preserve"> interposto contra decisão monocrática que </w:t>
      </w:r>
      <w:proofErr w:type="spellStart"/>
      <w:r w:rsidR="004017B0">
        <w:rPr>
          <w:rFonts w:eastAsiaTheme="minorHAnsi"/>
          <w:b/>
          <w:bCs/>
          <w:sz w:val="24"/>
          <w:szCs w:val="24"/>
          <w:lang w:eastAsia="en-US"/>
        </w:rPr>
        <w:t>inadmitiu</w:t>
      </w:r>
      <w:proofErr w:type="spellEnd"/>
      <w:r w:rsidR="004017B0">
        <w:rPr>
          <w:rFonts w:eastAsiaTheme="minorHAnsi"/>
          <w:b/>
          <w:bCs/>
          <w:sz w:val="24"/>
          <w:szCs w:val="24"/>
          <w:lang w:eastAsia="en-US"/>
        </w:rPr>
        <w:t xml:space="preserve"> reclamação </w:t>
      </w:r>
      <w:r w:rsidR="00345833">
        <w:rPr>
          <w:rFonts w:eastAsiaTheme="minorHAnsi"/>
          <w:b/>
          <w:bCs/>
          <w:sz w:val="24"/>
          <w:szCs w:val="24"/>
          <w:lang w:eastAsia="en-US"/>
        </w:rPr>
        <w:t>cível por ausência de interesse processual.</w:t>
      </w:r>
    </w:p>
    <w:p w14:paraId="209D47F7" w14:textId="77777777" w:rsidR="00446273" w:rsidRDefault="00446273" w:rsidP="00446273">
      <w:pPr>
        <w:suppressAutoHyphens w:val="0"/>
        <w:overflowPunct/>
        <w:autoSpaceDN w:val="0"/>
        <w:adjustRightInd w:val="0"/>
        <w:spacing w:after="240" w:line="360" w:lineRule="auto"/>
        <w:jc w:val="both"/>
        <w:textAlignment w:val="auto"/>
        <w:rPr>
          <w:rFonts w:eastAsiaTheme="minorHAnsi"/>
          <w:b/>
          <w:bCs/>
          <w:sz w:val="24"/>
          <w:szCs w:val="24"/>
          <w:lang w:eastAsia="en-US"/>
        </w:rPr>
      </w:pPr>
      <w:r w:rsidRPr="00446273">
        <w:rPr>
          <w:rFonts w:eastAsiaTheme="minorHAnsi"/>
          <w:b/>
          <w:bCs/>
          <w:sz w:val="24"/>
          <w:szCs w:val="24"/>
          <w:lang w:eastAsia="en-US"/>
        </w:rPr>
        <w:t>II. QUESTÃO EM DISCUSSÃO</w:t>
      </w:r>
    </w:p>
    <w:p w14:paraId="700A9A10" w14:textId="73B6703A" w:rsidR="00345833" w:rsidRPr="00446273" w:rsidRDefault="00345833" w:rsidP="00446273">
      <w:pPr>
        <w:suppressAutoHyphens w:val="0"/>
        <w:overflowPunct/>
        <w:autoSpaceDN w:val="0"/>
        <w:adjustRightInd w:val="0"/>
        <w:spacing w:after="240" w:line="360" w:lineRule="auto"/>
        <w:jc w:val="both"/>
        <w:textAlignment w:val="auto"/>
        <w:rPr>
          <w:rFonts w:eastAsiaTheme="minorHAnsi"/>
          <w:b/>
          <w:bCs/>
          <w:sz w:val="24"/>
          <w:szCs w:val="24"/>
          <w:lang w:eastAsia="en-US"/>
        </w:rPr>
      </w:pPr>
      <w:r>
        <w:rPr>
          <w:rFonts w:eastAsiaTheme="minorHAnsi"/>
          <w:b/>
          <w:bCs/>
          <w:sz w:val="24"/>
          <w:szCs w:val="24"/>
          <w:lang w:eastAsia="en-US"/>
        </w:rPr>
        <w:t xml:space="preserve">Cabimento da reclamação, com objeto de adequar decisão </w:t>
      </w:r>
      <w:r w:rsidR="00FF4E00">
        <w:rPr>
          <w:rFonts w:eastAsiaTheme="minorHAnsi"/>
          <w:b/>
          <w:bCs/>
          <w:sz w:val="24"/>
          <w:szCs w:val="24"/>
          <w:lang w:eastAsia="en-US"/>
        </w:rPr>
        <w:t xml:space="preserve">de turma recursal </w:t>
      </w:r>
      <w:r w:rsidR="002C4F68">
        <w:rPr>
          <w:rFonts w:eastAsiaTheme="minorHAnsi"/>
          <w:b/>
          <w:bCs/>
          <w:sz w:val="24"/>
          <w:szCs w:val="24"/>
          <w:lang w:eastAsia="en-US"/>
        </w:rPr>
        <w:t>à</w:t>
      </w:r>
      <w:r w:rsidR="00FF4E00">
        <w:rPr>
          <w:rFonts w:eastAsiaTheme="minorHAnsi"/>
          <w:b/>
          <w:bCs/>
          <w:sz w:val="24"/>
          <w:szCs w:val="24"/>
          <w:lang w:eastAsia="en-US"/>
        </w:rPr>
        <w:t xml:space="preserve"> jurisprudência do Superior Tribunal de Justiça.</w:t>
      </w:r>
    </w:p>
    <w:p w14:paraId="6B34851D" w14:textId="30D36608" w:rsidR="00870E05" w:rsidRDefault="001F0CA4" w:rsidP="00446273">
      <w:pPr>
        <w:suppressAutoHyphens w:val="0"/>
        <w:overflowPunct/>
        <w:autoSpaceDN w:val="0"/>
        <w:adjustRightInd w:val="0"/>
        <w:spacing w:after="240" w:line="360" w:lineRule="auto"/>
        <w:jc w:val="both"/>
        <w:textAlignment w:val="auto"/>
        <w:rPr>
          <w:rFonts w:eastAsiaTheme="minorHAnsi"/>
          <w:b/>
          <w:bCs/>
          <w:sz w:val="24"/>
          <w:szCs w:val="24"/>
          <w:lang w:eastAsia="en-US"/>
        </w:rPr>
      </w:pPr>
      <w:r>
        <w:rPr>
          <w:rFonts w:eastAsiaTheme="minorHAnsi"/>
          <w:b/>
          <w:bCs/>
          <w:sz w:val="24"/>
          <w:szCs w:val="24"/>
          <w:lang w:eastAsia="en-US"/>
        </w:rPr>
        <w:t>III. RAZÕES DE DECIDIR</w:t>
      </w:r>
    </w:p>
    <w:p w14:paraId="7BE62E13" w14:textId="772F5966" w:rsidR="00AB6BF4" w:rsidRDefault="001F0CA4" w:rsidP="00446273">
      <w:pPr>
        <w:suppressAutoHyphens w:val="0"/>
        <w:overflowPunct/>
        <w:autoSpaceDN w:val="0"/>
        <w:adjustRightInd w:val="0"/>
        <w:spacing w:after="240" w:line="360" w:lineRule="auto"/>
        <w:jc w:val="both"/>
        <w:textAlignment w:val="auto"/>
        <w:rPr>
          <w:rFonts w:eastAsiaTheme="minorHAnsi"/>
          <w:b/>
          <w:bCs/>
          <w:sz w:val="24"/>
          <w:szCs w:val="24"/>
          <w:lang w:eastAsia="en-US"/>
        </w:rPr>
      </w:pPr>
      <w:r>
        <w:rPr>
          <w:rFonts w:eastAsiaTheme="minorHAnsi"/>
          <w:b/>
          <w:bCs/>
          <w:sz w:val="24"/>
          <w:szCs w:val="24"/>
          <w:lang w:eastAsia="en-US"/>
        </w:rPr>
        <w:t xml:space="preserve">III.I. </w:t>
      </w:r>
      <w:r w:rsidR="00AB6BF4" w:rsidRPr="00AB6BF4">
        <w:rPr>
          <w:rFonts w:eastAsiaTheme="minorHAnsi"/>
          <w:b/>
          <w:bCs/>
          <w:sz w:val="24"/>
          <w:szCs w:val="24"/>
          <w:lang w:eastAsia="en-US"/>
        </w:rPr>
        <w:t>A garantia da autoridade</w:t>
      </w:r>
      <w:r w:rsidR="00AB6BF4">
        <w:rPr>
          <w:rFonts w:eastAsiaTheme="minorHAnsi"/>
          <w:b/>
          <w:bCs/>
          <w:sz w:val="24"/>
          <w:szCs w:val="24"/>
          <w:lang w:eastAsia="en-US"/>
        </w:rPr>
        <w:t xml:space="preserve"> de decisão do tribunal</w:t>
      </w:r>
      <w:r w:rsidR="00CA4245">
        <w:rPr>
          <w:rFonts w:eastAsiaTheme="minorHAnsi"/>
          <w:b/>
          <w:bCs/>
          <w:sz w:val="24"/>
          <w:szCs w:val="24"/>
          <w:lang w:eastAsia="en-US"/>
        </w:rPr>
        <w:t xml:space="preserve">, como hipótese de cabimento da reclamação, refere-se à proteção de um comando específico, desrespeitado por órgão </w:t>
      </w:r>
      <w:r w:rsidR="00535815">
        <w:rPr>
          <w:rFonts w:eastAsiaTheme="minorHAnsi"/>
          <w:b/>
          <w:bCs/>
          <w:sz w:val="24"/>
          <w:szCs w:val="24"/>
          <w:lang w:eastAsia="en-US"/>
        </w:rPr>
        <w:t>inferior ou outra autoridade.</w:t>
      </w:r>
    </w:p>
    <w:p w14:paraId="244E8894" w14:textId="21132997" w:rsidR="00320C1E" w:rsidRDefault="00025601" w:rsidP="00446273">
      <w:pPr>
        <w:suppressAutoHyphens w:val="0"/>
        <w:overflowPunct/>
        <w:autoSpaceDN w:val="0"/>
        <w:adjustRightInd w:val="0"/>
        <w:spacing w:after="240" w:line="360" w:lineRule="auto"/>
        <w:jc w:val="both"/>
        <w:textAlignment w:val="auto"/>
        <w:rPr>
          <w:rFonts w:eastAsiaTheme="minorHAnsi"/>
          <w:b/>
          <w:bCs/>
          <w:sz w:val="24"/>
          <w:szCs w:val="24"/>
          <w:lang w:eastAsia="en-US"/>
        </w:rPr>
      </w:pPr>
      <w:r>
        <w:rPr>
          <w:rFonts w:eastAsiaTheme="minorHAnsi"/>
          <w:b/>
          <w:bCs/>
          <w:sz w:val="24"/>
          <w:szCs w:val="24"/>
          <w:lang w:eastAsia="en-US"/>
        </w:rPr>
        <w:t xml:space="preserve">III.II. </w:t>
      </w:r>
      <w:r w:rsidR="00E90BFD">
        <w:rPr>
          <w:rFonts w:eastAsiaTheme="minorHAnsi"/>
          <w:b/>
          <w:bCs/>
          <w:sz w:val="24"/>
          <w:szCs w:val="24"/>
          <w:lang w:eastAsia="en-US"/>
        </w:rPr>
        <w:t xml:space="preserve">A mera divergência de orientação jurisprudencial, lastrada em precedente não </w:t>
      </w:r>
      <w:r w:rsidR="00870E05">
        <w:rPr>
          <w:rFonts w:eastAsiaTheme="minorHAnsi"/>
          <w:b/>
          <w:bCs/>
          <w:sz w:val="24"/>
          <w:szCs w:val="24"/>
          <w:lang w:eastAsia="en-US"/>
        </w:rPr>
        <w:t>vinculante, não permite o uso da reclamação.</w:t>
      </w:r>
    </w:p>
    <w:p w14:paraId="2FAD6CDA" w14:textId="36D85556" w:rsidR="00446273" w:rsidRPr="00446273" w:rsidRDefault="00446273" w:rsidP="00446273">
      <w:pPr>
        <w:suppressAutoHyphens w:val="0"/>
        <w:overflowPunct/>
        <w:autoSpaceDN w:val="0"/>
        <w:adjustRightInd w:val="0"/>
        <w:spacing w:after="240" w:line="360" w:lineRule="auto"/>
        <w:jc w:val="both"/>
        <w:textAlignment w:val="auto"/>
        <w:rPr>
          <w:rFonts w:eastAsiaTheme="minorHAnsi"/>
          <w:b/>
          <w:bCs/>
          <w:sz w:val="24"/>
          <w:szCs w:val="24"/>
          <w:lang w:eastAsia="en-US"/>
        </w:rPr>
      </w:pPr>
      <w:r w:rsidRPr="00446273">
        <w:rPr>
          <w:rFonts w:eastAsiaTheme="minorHAnsi"/>
          <w:b/>
          <w:bCs/>
          <w:sz w:val="24"/>
          <w:szCs w:val="24"/>
          <w:lang w:eastAsia="en-US"/>
        </w:rPr>
        <w:t>IV. SOLUÇÃO DO CASO</w:t>
      </w:r>
    </w:p>
    <w:p w14:paraId="2B35AC22" w14:textId="4E5CD3FE" w:rsidR="00446273" w:rsidRPr="00446273" w:rsidRDefault="00320C1E" w:rsidP="00446273">
      <w:pPr>
        <w:suppressAutoHyphens w:val="0"/>
        <w:overflowPunct/>
        <w:autoSpaceDN w:val="0"/>
        <w:adjustRightInd w:val="0"/>
        <w:spacing w:after="240" w:line="360" w:lineRule="auto"/>
        <w:jc w:val="both"/>
        <w:textAlignment w:val="auto"/>
        <w:rPr>
          <w:rFonts w:eastAsiaTheme="minorHAnsi"/>
          <w:b/>
          <w:bCs/>
          <w:sz w:val="24"/>
          <w:szCs w:val="24"/>
          <w:lang w:eastAsia="en-US"/>
        </w:rPr>
      </w:pPr>
      <w:r>
        <w:rPr>
          <w:rFonts w:eastAsiaTheme="minorHAnsi"/>
          <w:b/>
          <w:bCs/>
          <w:sz w:val="24"/>
          <w:szCs w:val="24"/>
          <w:lang w:eastAsia="en-US"/>
        </w:rPr>
        <w:t>Recurso conhecido e desprovido.</w:t>
      </w:r>
    </w:p>
    <w:p w14:paraId="45194C06" w14:textId="6D8EDFE0" w:rsidR="00446273" w:rsidRPr="00446273" w:rsidRDefault="00446273" w:rsidP="00446273">
      <w:pPr>
        <w:suppressAutoHyphens w:val="0"/>
        <w:overflowPunct/>
        <w:autoSpaceDN w:val="0"/>
        <w:adjustRightInd w:val="0"/>
        <w:spacing w:after="240" w:line="360" w:lineRule="auto"/>
        <w:jc w:val="both"/>
        <w:textAlignment w:val="auto"/>
        <w:rPr>
          <w:rFonts w:eastAsiaTheme="minorHAnsi"/>
          <w:b/>
          <w:bCs/>
          <w:sz w:val="24"/>
          <w:szCs w:val="24"/>
          <w:lang w:eastAsia="en-US"/>
        </w:rPr>
      </w:pPr>
      <w:r w:rsidRPr="00446273">
        <w:rPr>
          <w:rFonts w:eastAsiaTheme="minorHAnsi"/>
          <w:b/>
          <w:bCs/>
          <w:sz w:val="24"/>
          <w:szCs w:val="24"/>
          <w:lang w:eastAsia="en-US"/>
        </w:rPr>
        <w:t xml:space="preserve">V. LEGISLAÇÃO </w:t>
      </w:r>
      <w:r w:rsidR="00D121E3">
        <w:rPr>
          <w:rFonts w:eastAsiaTheme="minorHAnsi"/>
          <w:b/>
          <w:bCs/>
          <w:sz w:val="24"/>
          <w:szCs w:val="24"/>
          <w:lang w:eastAsia="en-US"/>
        </w:rPr>
        <w:t xml:space="preserve">E JURISPRUDÊNCIA </w:t>
      </w:r>
      <w:r w:rsidRPr="00446273">
        <w:rPr>
          <w:rFonts w:eastAsiaTheme="minorHAnsi"/>
          <w:b/>
          <w:bCs/>
          <w:sz w:val="24"/>
          <w:szCs w:val="24"/>
          <w:lang w:eastAsia="en-US"/>
        </w:rPr>
        <w:t>UTILIZADA</w:t>
      </w:r>
      <w:r w:rsidR="00D121E3">
        <w:rPr>
          <w:rFonts w:eastAsiaTheme="minorHAnsi"/>
          <w:b/>
          <w:bCs/>
          <w:sz w:val="24"/>
          <w:szCs w:val="24"/>
          <w:lang w:eastAsia="en-US"/>
        </w:rPr>
        <w:t>S</w:t>
      </w:r>
    </w:p>
    <w:p w14:paraId="53722546" w14:textId="77777777" w:rsidR="00D121E3" w:rsidRDefault="00D121E3" w:rsidP="00446273">
      <w:pPr>
        <w:suppressAutoHyphens w:val="0"/>
        <w:overflowPunct/>
        <w:autoSpaceDN w:val="0"/>
        <w:adjustRightInd w:val="0"/>
        <w:spacing w:after="240" w:line="360" w:lineRule="auto"/>
        <w:jc w:val="both"/>
        <w:textAlignment w:val="auto"/>
        <w:rPr>
          <w:rFonts w:eastAsiaTheme="minorHAnsi"/>
          <w:b/>
          <w:bCs/>
          <w:sz w:val="24"/>
          <w:szCs w:val="24"/>
          <w:lang w:eastAsia="en-US"/>
        </w:rPr>
      </w:pPr>
      <w:r>
        <w:rPr>
          <w:rFonts w:eastAsiaTheme="minorHAnsi"/>
          <w:b/>
          <w:bCs/>
          <w:sz w:val="24"/>
          <w:szCs w:val="24"/>
          <w:lang w:eastAsia="en-US"/>
        </w:rPr>
        <w:t xml:space="preserve">V.I. </w:t>
      </w:r>
      <w:r w:rsidR="00446273" w:rsidRPr="00446273">
        <w:rPr>
          <w:rFonts w:eastAsiaTheme="minorHAnsi"/>
          <w:b/>
          <w:bCs/>
          <w:sz w:val="24"/>
          <w:szCs w:val="24"/>
          <w:lang w:eastAsia="en-US"/>
        </w:rPr>
        <w:t>Legislação</w:t>
      </w:r>
    </w:p>
    <w:p w14:paraId="644217D5" w14:textId="5C052154" w:rsidR="00446273" w:rsidRDefault="00446273" w:rsidP="00446273">
      <w:pPr>
        <w:suppressAutoHyphens w:val="0"/>
        <w:overflowPunct/>
        <w:autoSpaceDN w:val="0"/>
        <w:adjustRightInd w:val="0"/>
        <w:spacing w:after="240" w:line="360" w:lineRule="auto"/>
        <w:jc w:val="both"/>
        <w:textAlignment w:val="auto"/>
        <w:rPr>
          <w:rFonts w:eastAsiaTheme="minorHAnsi"/>
          <w:b/>
          <w:bCs/>
          <w:sz w:val="24"/>
          <w:szCs w:val="24"/>
          <w:lang w:eastAsia="en-US"/>
        </w:rPr>
      </w:pPr>
      <w:r>
        <w:rPr>
          <w:rFonts w:eastAsiaTheme="minorHAnsi"/>
          <w:b/>
          <w:bCs/>
          <w:sz w:val="24"/>
          <w:szCs w:val="24"/>
          <w:lang w:eastAsia="en-US"/>
        </w:rPr>
        <w:t>CPC</w:t>
      </w:r>
      <w:r w:rsidR="00220F14">
        <w:rPr>
          <w:rFonts w:eastAsiaTheme="minorHAnsi"/>
          <w:b/>
          <w:bCs/>
          <w:sz w:val="24"/>
          <w:szCs w:val="24"/>
          <w:lang w:eastAsia="en-US"/>
        </w:rPr>
        <w:t>:</w:t>
      </w:r>
      <w:r w:rsidR="00025601">
        <w:rPr>
          <w:rFonts w:eastAsiaTheme="minorHAnsi"/>
          <w:b/>
          <w:bCs/>
          <w:sz w:val="24"/>
          <w:szCs w:val="24"/>
          <w:lang w:eastAsia="en-US"/>
        </w:rPr>
        <w:t xml:space="preserve"> art. 988.</w:t>
      </w:r>
    </w:p>
    <w:p w14:paraId="36FB726D" w14:textId="5A81C4AB" w:rsidR="00220F14" w:rsidRDefault="00220F14" w:rsidP="00446273">
      <w:pPr>
        <w:suppressAutoHyphens w:val="0"/>
        <w:overflowPunct/>
        <w:autoSpaceDN w:val="0"/>
        <w:adjustRightInd w:val="0"/>
        <w:spacing w:after="240" w:line="360" w:lineRule="auto"/>
        <w:jc w:val="both"/>
        <w:textAlignment w:val="auto"/>
        <w:rPr>
          <w:rFonts w:eastAsiaTheme="minorHAnsi"/>
          <w:b/>
          <w:bCs/>
          <w:sz w:val="24"/>
          <w:szCs w:val="24"/>
          <w:lang w:eastAsia="en-US"/>
        </w:rPr>
      </w:pPr>
      <w:r>
        <w:rPr>
          <w:rFonts w:eastAsiaTheme="minorHAnsi"/>
          <w:b/>
          <w:bCs/>
          <w:sz w:val="24"/>
          <w:szCs w:val="24"/>
          <w:lang w:eastAsia="en-US"/>
        </w:rPr>
        <w:t>V.II. Jurisprudência</w:t>
      </w:r>
    </w:p>
    <w:p w14:paraId="7122E67A" w14:textId="4BDC682F" w:rsidR="002B21EF" w:rsidRDefault="002B21EF" w:rsidP="00446273">
      <w:pPr>
        <w:suppressAutoHyphens w:val="0"/>
        <w:overflowPunct/>
        <w:autoSpaceDN w:val="0"/>
        <w:adjustRightInd w:val="0"/>
        <w:spacing w:after="240" w:line="360" w:lineRule="auto"/>
        <w:jc w:val="both"/>
        <w:textAlignment w:val="auto"/>
        <w:rPr>
          <w:rFonts w:eastAsiaTheme="minorHAnsi"/>
          <w:b/>
          <w:bCs/>
          <w:sz w:val="24"/>
          <w:szCs w:val="24"/>
          <w:lang w:eastAsia="en-US"/>
        </w:rPr>
      </w:pPr>
      <w:r w:rsidRPr="000C55BF">
        <w:rPr>
          <w:rFonts w:eastAsiaTheme="minorHAnsi"/>
          <w:b/>
          <w:bCs/>
          <w:sz w:val="24"/>
          <w:szCs w:val="24"/>
          <w:lang w:eastAsia="en-US"/>
        </w:rPr>
        <w:t>TJPR. 10ª Câmara Cível. Relatora: Desembargadora Substituta Elizabeth de Fátima Nogueira Calmon de Passos. Agravo interno. 0012716-04.2024.8.16.0000. São José dos Pinhais. Data de julgamento: 15-7-2024</w:t>
      </w:r>
      <w:r>
        <w:rPr>
          <w:rFonts w:eastAsiaTheme="minorHAnsi"/>
          <w:b/>
          <w:bCs/>
          <w:sz w:val="24"/>
          <w:szCs w:val="24"/>
          <w:lang w:eastAsia="en-US"/>
        </w:rPr>
        <w:t>.</w:t>
      </w:r>
    </w:p>
    <w:p w14:paraId="4CC906C1" w14:textId="77777777" w:rsidR="00446273" w:rsidRDefault="00446273" w:rsidP="007C1295">
      <w:pPr>
        <w:suppressAutoHyphens w:val="0"/>
        <w:overflowPunct/>
        <w:autoSpaceDN w:val="0"/>
        <w:adjustRightInd w:val="0"/>
        <w:spacing w:after="240" w:line="360" w:lineRule="auto"/>
        <w:ind w:firstLine="709"/>
        <w:jc w:val="both"/>
        <w:textAlignment w:val="auto"/>
        <w:rPr>
          <w:rFonts w:eastAsiaTheme="minorHAnsi"/>
          <w:b/>
          <w:bCs/>
          <w:sz w:val="24"/>
          <w:szCs w:val="24"/>
          <w:lang w:eastAsia="en-US"/>
        </w:rPr>
      </w:pPr>
    </w:p>
    <w:p w14:paraId="690FEF65" w14:textId="5699290F" w:rsidR="007C1295" w:rsidRDefault="007C1295" w:rsidP="007C1295">
      <w:pPr>
        <w:suppressAutoHyphens w:val="0"/>
        <w:overflowPunct/>
        <w:autoSpaceDN w:val="0"/>
        <w:adjustRightInd w:val="0"/>
        <w:spacing w:after="240" w:line="360" w:lineRule="auto"/>
        <w:ind w:firstLine="709"/>
        <w:jc w:val="both"/>
        <w:textAlignment w:val="auto"/>
        <w:rPr>
          <w:rFonts w:eastAsiaTheme="minorHAnsi"/>
          <w:b/>
          <w:bCs/>
          <w:sz w:val="24"/>
          <w:szCs w:val="24"/>
          <w:lang w:eastAsia="en-US"/>
        </w:rPr>
      </w:pPr>
      <w:r>
        <w:rPr>
          <w:rFonts w:eastAsiaTheme="minorHAnsi"/>
          <w:b/>
          <w:bCs/>
          <w:sz w:val="24"/>
          <w:szCs w:val="24"/>
          <w:lang w:eastAsia="en-US"/>
        </w:rPr>
        <w:lastRenderedPageBreak/>
        <w:t>I – RELATÓRIO</w:t>
      </w:r>
    </w:p>
    <w:p w14:paraId="6CFBC0DC" w14:textId="1939A481" w:rsidR="00FE249D" w:rsidRDefault="006C41DC" w:rsidP="00723B96">
      <w:pPr>
        <w:spacing w:after="240" w:line="360" w:lineRule="auto"/>
        <w:ind w:firstLine="709"/>
        <w:jc w:val="both"/>
        <w:rPr>
          <w:rFonts w:eastAsiaTheme="minorHAnsi"/>
          <w:sz w:val="24"/>
          <w:szCs w:val="24"/>
          <w:lang w:eastAsia="en-US"/>
        </w:rPr>
      </w:pPr>
      <w:r>
        <w:rPr>
          <w:rFonts w:eastAsiaTheme="minorHAnsi"/>
          <w:sz w:val="24"/>
          <w:szCs w:val="24"/>
          <w:lang w:eastAsia="en-US"/>
        </w:rPr>
        <w:t xml:space="preserve">Cuida-se de agravo interno interposto por </w:t>
      </w:r>
      <w:r w:rsidR="00723B96">
        <w:rPr>
          <w:rFonts w:eastAsiaTheme="minorHAnsi"/>
          <w:sz w:val="24"/>
          <w:szCs w:val="24"/>
          <w:lang w:eastAsia="en-US"/>
        </w:rPr>
        <w:t>Antônio de Matos Oliveira em face de Uber</w:t>
      </w:r>
      <w:r w:rsidR="00FE249D">
        <w:rPr>
          <w:rFonts w:eastAsiaTheme="minorHAnsi"/>
          <w:sz w:val="24"/>
          <w:szCs w:val="24"/>
          <w:lang w:eastAsia="en-US"/>
        </w:rPr>
        <w:t xml:space="preserve"> do Brasil Tecnologia Ltda.</w:t>
      </w:r>
      <w:r w:rsidR="00B745CF">
        <w:rPr>
          <w:rFonts w:eastAsiaTheme="minorHAnsi"/>
          <w:sz w:val="24"/>
          <w:szCs w:val="24"/>
          <w:lang w:eastAsia="en-US"/>
        </w:rPr>
        <w:t xml:space="preserve">, tendo como objeto decisão unipessoal proferida pela </w:t>
      </w:r>
      <w:r w:rsidR="00FE249D">
        <w:rPr>
          <w:rFonts w:eastAsiaTheme="minorHAnsi"/>
          <w:sz w:val="24"/>
          <w:szCs w:val="24"/>
          <w:lang w:eastAsia="en-US"/>
        </w:rPr>
        <w:t xml:space="preserve">8ª Seção </w:t>
      </w:r>
      <w:r w:rsidR="00080804">
        <w:rPr>
          <w:rFonts w:eastAsiaTheme="minorHAnsi"/>
          <w:sz w:val="24"/>
          <w:szCs w:val="24"/>
          <w:lang w:eastAsia="en-US"/>
        </w:rPr>
        <w:t xml:space="preserve">Cível do Tribunal de Justiça do Estado do Paraná, que </w:t>
      </w:r>
      <w:r w:rsidR="00AA7548">
        <w:rPr>
          <w:rFonts w:eastAsiaTheme="minorHAnsi"/>
          <w:sz w:val="24"/>
          <w:szCs w:val="24"/>
          <w:lang w:eastAsia="en-US"/>
        </w:rPr>
        <w:t>não admitiu rec</w:t>
      </w:r>
      <w:r w:rsidR="00C27FC6">
        <w:rPr>
          <w:rFonts w:eastAsiaTheme="minorHAnsi"/>
          <w:sz w:val="24"/>
          <w:szCs w:val="24"/>
          <w:lang w:eastAsia="en-US"/>
        </w:rPr>
        <w:t xml:space="preserve">lamação cível (evento 9.1 – </w:t>
      </w:r>
      <w:proofErr w:type="spellStart"/>
      <w:r w:rsidR="00C27FC6">
        <w:rPr>
          <w:rFonts w:eastAsiaTheme="minorHAnsi"/>
          <w:sz w:val="24"/>
          <w:szCs w:val="24"/>
          <w:lang w:eastAsia="en-US"/>
        </w:rPr>
        <w:t>Rcl</w:t>
      </w:r>
      <w:proofErr w:type="spellEnd"/>
      <w:r w:rsidR="00C27FC6">
        <w:rPr>
          <w:rFonts w:eastAsiaTheme="minorHAnsi"/>
          <w:sz w:val="24"/>
          <w:szCs w:val="24"/>
          <w:lang w:eastAsia="en-US"/>
        </w:rPr>
        <w:t>).</w:t>
      </w:r>
    </w:p>
    <w:p w14:paraId="1E972F54" w14:textId="54EF8D5A" w:rsidR="00DD43BE" w:rsidRDefault="00DD43BE" w:rsidP="00723B96">
      <w:pPr>
        <w:spacing w:after="240" w:line="360" w:lineRule="auto"/>
        <w:ind w:firstLine="709"/>
        <w:jc w:val="both"/>
        <w:rPr>
          <w:rFonts w:eastAsiaTheme="minorHAnsi"/>
          <w:sz w:val="24"/>
          <w:szCs w:val="24"/>
          <w:lang w:eastAsia="en-US"/>
        </w:rPr>
      </w:pPr>
      <w:r>
        <w:rPr>
          <w:rFonts w:eastAsiaTheme="minorHAnsi"/>
          <w:sz w:val="24"/>
          <w:szCs w:val="24"/>
          <w:lang w:eastAsia="en-US"/>
        </w:rPr>
        <w:t xml:space="preserve">Sustenta o agravante, em síntese, que a reclamação é instrumento processual </w:t>
      </w:r>
      <w:r w:rsidR="00BC797C">
        <w:rPr>
          <w:rFonts w:eastAsiaTheme="minorHAnsi"/>
          <w:sz w:val="24"/>
          <w:szCs w:val="24"/>
          <w:lang w:eastAsia="en-US"/>
        </w:rPr>
        <w:t>adequado para garantir a autoridade das decisões da Corte Superior, violada pela prolação de decisão contrária</w:t>
      </w:r>
      <w:r w:rsidR="00E94724">
        <w:rPr>
          <w:rFonts w:eastAsiaTheme="minorHAnsi"/>
          <w:sz w:val="24"/>
          <w:szCs w:val="24"/>
          <w:lang w:eastAsia="en-US"/>
        </w:rPr>
        <w:t xml:space="preserve"> </w:t>
      </w:r>
      <w:r w:rsidR="00FC0CE6">
        <w:rPr>
          <w:rFonts w:eastAsiaTheme="minorHAnsi"/>
          <w:sz w:val="24"/>
          <w:szCs w:val="24"/>
          <w:lang w:eastAsia="en-US"/>
        </w:rPr>
        <w:t>a precedente daquele Tribunal</w:t>
      </w:r>
      <w:r w:rsidR="00BC797C">
        <w:rPr>
          <w:rFonts w:eastAsiaTheme="minorHAnsi"/>
          <w:sz w:val="24"/>
          <w:szCs w:val="24"/>
          <w:lang w:eastAsia="en-US"/>
        </w:rPr>
        <w:t xml:space="preserve">, no âmbito dos </w:t>
      </w:r>
      <w:r w:rsidR="00FC0CE6">
        <w:rPr>
          <w:rFonts w:eastAsiaTheme="minorHAnsi"/>
          <w:sz w:val="24"/>
          <w:szCs w:val="24"/>
          <w:lang w:eastAsia="en-US"/>
        </w:rPr>
        <w:t>J</w:t>
      </w:r>
      <w:r w:rsidR="00BC797C">
        <w:rPr>
          <w:rFonts w:eastAsiaTheme="minorHAnsi"/>
          <w:sz w:val="24"/>
          <w:szCs w:val="24"/>
          <w:lang w:eastAsia="en-US"/>
        </w:rPr>
        <w:t xml:space="preserve">uizados </w:t>
      </w:r>
      <w:r w:rsidR="00FC0CE6">
        <w:rPr>
          <w:rFonts w:eastAsiaTheme="minorHAnsi"/>
          <w:sz w:val="24"/>
          <w:szCs w:val="24"/>
          <w:lang w:eastAsia="en-US"/>
        </w:rPr>
        <w:t>E</w:t>
      </w:r>
      <w:r w:rsidR="00BC797C">
        <w:rPr>
          <w:rFonts w:eastAsiaTheme="minorHAnsi"/>
          <w:sz w:val="24"/>
          <w:szCs w:val="24"/>
          <w:lang w:eastAsia="en-US"/>
        </w:rPr>
        <w:t>speciais</w:t>
      </w:r>
      <w:r w:rsidR="00255C14">
        <w:rPr>
          <w:rFonts w:eastAsiaTheme="minorHAnsi"/>
          <w:sz w:val="24"/>
          <w:szCs w:val="24"/>
          <w:lang w:eastAsia="en-US"/>
        </w:rPr>
        <w:t xml:space="preserve"> (evento 1.1).</w:t>
      </w:r>
    </w:p>
    <w:p w14:paraId="26E48B50" w14:textId="2CF74E14" w:rsidR="002B21EF" w:rsidRDefault="00D621C8" w:rsidP="007C1295">
      <w:pPr>
        <w:spacing w:after="240" w:line="360" w:lineRule="auto"/>
        <w:ind w:firstLine="709"/>
        <w:jc w:val="both"/>
        <w:rPr>
          <w:rFonts w:eastAsiaTheme="minorHAnsi"/>
          <w:sz w:val="24"/>
          <w:szCs w:val="24"/>
          <w:lang w:eastAsia="en-US"/>
        </w:rPr>
      </w:pPr>
      <w:r>
        <w:rPr>
          <w:rFonts w:eastAsiaTheme="minorHAnsi"/>
          <w:sz w:val="24"/>
          <w:szCs w:val="24"/>
          <w:lang w:eastAsia="en-US"/>
        </w:rPr>
        <w:t>Nas contrarrazões, a parte agravada se manifestou pelo desprovimento do recurso (evento 12.1).</w:t>
      </w:r>
    </w:p>
    <w:p w14:paraId="22BD59C0" w14:textId="42942766" w:rsidR="004864FF" w:rsidRDefault="0080753B" w:rsidP="007C1295">
      <w:pPr>
        <w:spacing w:after="240" w:line="360" w:lineRule="auto"/>
        <w:ind w:firstLine="709"/>
        <w:jc w:val="both"/>
        <w:rPr>
          <w:rFonts w:eastAsiaTheme="minorHAnsi"/>
          <w:sz w:val="24"/>
          <w:szCs w:val="24"/>
          <w:lang w:eastAsia="en-US"/>
        </w:rPr>
      </w:pPr>
      <w:r>
        <w:rPr>
          <w:rFonts w:eastAsiaTheme="minorHAnsi"/>
          <w:sz w:val="24"/>
          <w:szCs w:val="24"/>
          <w:lang w:eastAsia="en-US"/>
        </w:rPr>
        <w:t>É o necessário relato.</w:t>
      </w:r>
    </w:p>
    <w:p w14:paraId="5528F03E" w14:textId="77777777" w:rsidR="004864FF" w:rsidRDefault="004864FF" w:rsidP="007C1295">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p>
    <w:p w14:paraId="1E955E08" w14:textId="77777777" w:rsidR="007C1295" w:rsidRPr="007C1295" w:rsidRDefault="007C1295" w:rsidP="007C1295">
      <w:pPr>
        <w:suppressAutoHyphens w:val="0"/>
        <w:overflowPunct/>
        <w:autoSpaceDN w:val="0"/>
        <w:adjustRightInd w:val="0"/>
        <w:spacing w:after="240" w:line="360" w:lineRule="auto"/>
        <w:ind w:firstLine="709"/>
        <w:jc w:val="both"/>
        <w:textAlignment w:val="auto"/>
        <w:rPr>
          <w:rFonts w:eastAsiaTheme="minorHAnsi"/>
          <w:b/>
          <w:sz w:val="24"/>
          <w:szCs w:val="24"/>
          <w:lang w:eastAsia="en-US"/>
        </w:rPr>
      </w:pPr>
      <w:r w:rsidRPr="007C1295">
        <w:rPr>
          <w:rFonts w:eastAsiaTheme="minorHAnsi"/>
          <w:b/>
          <w:sz w:val="24"/>
          <w:szCs w:val="24"/>
          <w:lang w:eastAsia="en-US"/>
        </w:rPr>
        <w:t>II – FUNDAMENTAÇÃO</w:t>
      </w:r>
    </w:p>
    <w:p w14:paraId="5AEB3F51" w14:textId="1EAEA585" w:rsidR="00B40E92" w:rsidRDefault="00317948" w:rsidP="007C1295">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r>
        <w:rPr>
          <w:rFonts w:eastAsiaTheme="minorHAnsi"/>
          <w:sz w:val="24"/>
          <w:szCs w:val="24"/>
          <w:lang w:eastAsia="en-US"/>
        </w:rPr>
        <w:t xml:space="preserve">II.I – </w:t>
      </w:r>
      <w:r w:rsidR="003044CA">
        <w:rPr>
          <w:rFonts w:eastAsiaTheme="minorHAnsi"/>
          <w:sz w:val="24"/>
          <w:szCs w:val="24"/>
          <w:lang w:eastAsia="en-US"/>
        </w:rPr>
        <w:t>DA ADMISSIBILIDADE RECURSAL</w:t>
      </w:r>
    </w:p>
    <w:p w14:paraId="4BA6471D" w14:textId="715FF73B" w:rsidR="000F6C9C" w:rsidRDefault="004238DC" w:rsidP="000F6C9C">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r>
        <w:rPr>
          <w:rFonts w:eastAsiaTheme="minorHAnsi"/>
          <w:sz w:val="24"/>
          <w:szCs w:val="24"/>
          <w:lang w:eastAsia="en-US"/>
        </w:rPr>
        <w:t>S</w:t>
      </w:r>
      <w:r w:rsidR="000F6C9C">
        <w:rPr>
          <w:rFonts w:eastAsiaTheme="minorHAnsi"/>
          <w:sz w:val="24"/>
          <w:szCs w:val="24"/>
          <w:lang w:eastAsia="en-US"/>
        </w:rPr>
        <w:t>atisfeitos os pressupostos de admissibilidade recursal, conhece-se do agravo interno.</w:t>
      </w:r>
    </w:p>
    <w:p w14:paraId="0DE8EE34" w14:textId="77777777" w:rsidR="00132CD6" w:rsidRDefault="00132CD6" w:rsidP="007C1295">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p>
    <w:p w14:paraId="5FEC64E3" w14:textId="7BDC0296" w:rsidR="00446273" w:rsidRDefault="00317948" w:rsidP="001D481F">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r>
        <w:rPr>
          <w:rFonts w:eastAsiaTheme="minorHAnsi"/>
          <w:sz w:val="24"/>
          <w:szCs w:val="24"/>
          <w:lang w:eastAsia="en-US"/>
        </w:rPr>
        <w:t xml:space="preserve">II.II – </w:t>
      </w:r>
      <w:r w:rsidR="00C7188A">
        <w:rPr>
          <w:rFonts w:eastAsiaTheme="minorHAnsi"/>
          <w:sz w:val="24"/>
          <w:szCs w:val="24"/>
          <w:lang w:eastAsia="en-US"/>
        </w:rPr>
        <w:t>DO IN</w:t>
      </w:r>
      <w:r w:rsidR="00D32B67">
        <w:rPr>
          <w:rFonts w:eastAsiaTheme="minorHAnsi"/>
          <w:sz w:val="24"/>
          <w:szCs w:val="24"/>
          <w:lang w:eastAsia="en-US"/>
        </w:rPr>
        <w:t>TERESSE PROCESSUAL</w:t>
      </w:r>
    </w:p>
    <w:p w14:paraId="1BA2E21F" w14:textId="2F51F1A9" w:rsidR="00DD07F6" w:rsidRDefault="000C55BF" w:rsidP="000C55BF">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r w:rsidRPr="000C55BF">
        <w:rPr>
          <w:rFonts w:eastAsiaTheme="minorHAnsi"/>
          <w:sz w:val="24"/>
          <w:szCs w:val="24"/>
          <w:lang w:eastAsia="en-US"/>
        </w:rPr>
        <w:t xml:space="preserve">Cinge-se a controvérsia recursal </w:t>
      </w:r>
      <w:r w:rsidR="00E5246E">
        <w:rPr>
          <w:rFonts w:eastAsiaTheme="minorHAnsi"/>
          <w:sz w:val="24"/>
          <w:szCs w:val="24"/>
          <w:lang w:eastAsia="en-US"/>
        </w:rPr>
        <w:t xml:space="preserve">ao reexame de decisão de inadmissão de reclamação cível, ajuizada pelo </w:t>
      </w:r>
      <w:r w:rsidR="00D34836">
        <w:rPr>
          <w:rFonts w:eastAsiaTheme="minorHAnsi"/>
          <w:sz w:val="24"/>
          <w:szCs w:val="24"/>
          <w:lang w:eastAsia="en-US"/>
        </w:rPr>
        <w:t xml:space="preserve">agravante Antônio de Matos Oliveira, com o objeto de </w:t>
      </w:r>
      <w:r w:rsidR="00CA02FC">
        <w:rPr>
          <w:rFonts w:eastAsiaTheme="minorHAnsi"/>
          <w:sz w:val="24"/>
          <w:szCs w:val="24"/>
          <w:lang w:eastAsia="en-US"/>
        </w:rPr>
        <w:t xml:space="preserve">reformar acórdão proferido pela </w:t>
      </w:r>
      <w:r w:rsidR="000D756B">
        <w:rPr>
          <w:rFonts w:eastAsiaTheme="minorHAnsi"/>
          <w:sz w:val="24"/>
          <w:szCs w:val="24"/>
          <w:lang w:eastAsia="en-US"/>
        </w:rPr>
        <w:t xml:space="preserve">1ª Turma Recursal dos </w:t>
      </w:r>
      <w:r w:rsidR="002D5BAF">
        <w:rPr>
          <w:rFonts w:eastAsiaTheme="minorHAnsi"/>
          <w:sz w:val="24"/>
          <w:szCs w:val="24"/>
          <w:lang w:eastAsia="en-US"/>
        </w:rPr>
        <w:t>Juizados Especiais.</w:t>
      </w:r>
    </w:p>
    <w:p w14:paraId="025C6EDC" w14:textId="77777777" w:rsidR="00BA2861" w:rsidRDefault="003167A5" w:rsidP="002C4F68">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r>
        <w:rPr>
          <w:rFonts w:eastAsiaTheme="minorHAnsi"/>
          <w:sz w:val="24"/>
          <w:szCs w:val="24"/>
          <w:lang w:eastAsia="en-US"/>
        </w:rPr>
        <w:t xml:space="preserve">O </w:t>
      </w:r>
      <w:r w:rsidR="001D660C" w:rsidRPr="001D660C">
        <w:rPr>
          <w:rFonts w:eastAsiaTheme="minorHAnsi"/>
          <w:sz w:val="24"/>
          <w:szCs w:val="24"/>
          <w:lang w:eastAsia="en-US"/>
        </w:rPr>
        <w:t>instituto da reclamação, no atual sistema processual</w:t>
      </w:r>
      <w:r w:rsidR="00183216">
        <w:rPr>
          <w:rFonts w:eastAsiaTheme="minorHAnsi"/>
          <w:sz w:val="24"/>
          <w:szCs w:val="24"/>
          <w:lang w:eastAsia="en-US"/>
        </w:rPr>
        <w:t xml:space="preserve"> brasileiro, está vocacionado à preservação da</w:t>
      </w:r>
      <w:r w:rsidR="00D548A8">
        <w:rPr>
          <w:rFonts w:eastAsiaTheme="minorHAnsi"/>
          <w:sz w:val="24"/>
          <w:szCs w:val="24"/>
          <w:lang w:eastAsia="en-US"/>
        </w:rPr>
        <w:t xml:space="preserve"> competência</w:t>
      </w:r>
      <w:r w:rsidR="004F79D5">
        <w:rPr>
          <w:rFonts w:eastAsiaTheme="minorHAnsi"/>
          <w:sz w:val="24"/>
          <w:szCs w:val="24"/>
          <w:lang w:eastAsia="en-US"/>
        </w:rPr>
        <w:t xml:space="preserve"> e garantia da</w:t>
      </w:r>
      <w:r w:rsidR="00183216">
        <w:rPr>
          <w:rFonts w:eastAsiaTheme="minorHAnsi"/>
          <w:sz w:val="24"/>
          <w:szCs w:val="24"/>
          <w:lang w:eastAsia="en-US"/>
        </w:rPr>
        <w:t xml:space="preserve"> autoridade </w:t>
      </w:r>
      <w:r w:rsidR="00A852D3">
        <w:rPr>
          <w:rFonts w:eastAsiaTheme="minorHAnsi"/>
          <w:sz w:val="24"/>
          <w:szCs w:val="24"/>
          <w:lang w:eastAsia="en-US"/>
        </w:rPr>
        <w:t>das decisões dos Tribunais, bem como à garantia da observância de precedentes qualificados</w:t>
      </w:r>
      <w:r w:rsidR="004F79D5">
        <w:rPr>
          <w:rFonts w:eastAsiaTheme="minorHAnsi"/>
          <w:sz w:val="24"/>
          <w:szCs w:val="24"/>
          <w:lang w:eastAsia="en-US"/>
        </w:rPr>
        <w:t xml:space="preserve"> (CPC, art. 988).</w:t>
      </w:r>
    </w:p>
    <w:p w14:paraId="348E4F81" w14:textId="5A4A42D0" w:rsidR="00467B4D" w:rsidRDefault="00C71A42" w:rsidP="00467B4D">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r>
        <w:rPr>
          <w:rFonts w:eastAsiaTheme="minorHAnsi"/>
          <w:sz w:val="24"/>
          <w:szCs w:val="24"/>
          <w:lang w:eastAsia="en-US"/>
        </w:rPr>
        <w:t>A</w:t>
      </w:r>
      <w:r w:rsidR="00BA2861" w:rsidRPr="00BA2861">
        <w:rPr>
          <w:rFonts w:eastAsiaTheme="minorHAnsi"/>
          <w:sz w:val="24"/>
          <w:szCs w:val="24"/>
          <w:lang w:eastAsia="en-US"/>
        </w:rPr>
        <w:t xml:space="preserve">s razões do agravo interno não demonstram </w:t>
      </w:r>
      <w:r w:rsidR="00A6214E">
        <w:rPr>
          <w:rFonts w:eastAsiaTheme="minorHAnsi"/>
          <w:sz w:val="24"/>
          <w:szCs w:val="24"/>
          <w:lang w:eastAsia="en-US"/>
        </w:rPr>
        <w:t>a implementação de nenhuma das sobreditas hipóteses.</w:t>
      </w:r>
      <w:r w:rsidR="00BA2861" w:rsidRPr="00BA2861">
        <w:rPr>
          <w:rFonts w:eastAsiaTheme="minorHAnsi"/>
          <w:sz w:val="24"/>
          <w:szCs w:val="24"/>
          <w:lang w:eastAsia="en-US"/>
        </w:rPr>
        <w:t xml:space="preserve"> O recorrente fundamenta sua pretensão em </w:t>
      </w:r>
      <w:r w:rsidR="00467B4D">
        <w:rPr>
          <w:rFonts w:eastAsiaTheme="minorHAnsi"/>
          <w:sz w:val="24"/>
          <w:szCs w:val="24"/>
          <w:lang w:eastAsia="en-US"/>
        </w:rPr>
        <w:t>precedente que não possui eficácia vincu</w:t>
      </w:r>
      <w:r w:rsidR="00C80D5E">
        <w:rPr>
          <w:rFonts w:eastAsiaTheme="minorHAnsi"/>
          <w:sz w:val="24"/>
          <w:szCs w:val="24"/>
          <w:lang w:eastAsia="en-US"/>
        </w:rPr>
        <w:t xml:space="preserve">lante e não possui eficácia direta </w:t>
      </w:r>
      <w:r w:rsidR="00005C3E">
        <w:rPr>
          <w:rFonts w:eastAsiaTheme="minorHAnsi"/>
          <w:sz w:val="24"/>
          <w:szCs w:val="24"/>
          <w:lang w:eastAsia="en-US"/>
        </w:rPr>
        <w:t>quanto ao</w:t>
      </w:r>
      <w:r>
        <w:rPr>
          <w:rFonts w:eastAsiaTheme="minorHAnsi"/>
          <w:sz w:val="24"/>
          <w:szCs w:val="24"/>
          <w:lang w:eastAsia="en-US"/>
        </w:rPr>
        <w:t xml:space="preserve"> caso em análise.</w:t>
      </w:r>
    </w:p>
    <w:p w14:paraId="168DD5FE" w14:textId="5EE40C42" w:rsidR="00BA2861" w:rsidRPr="00BA2861" w:rsidRDefault="002347B2" w:rsidP="00A32364">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r>
        <w:rPr>
          <w:rFonts w:eastAsiaTheme="minorHAnsi"/>
          <w:sz w:val="24"/>
          <w:szCs w:val="24"/>
          <w:lang w:eastAsia="en-US"/>
        </w:rPr>
        <w:lastRenderedPageBreak/>
        <w:t>O</w:t>
      </w:r>
      <w:r w:rsidR="00BA2861" w:rsidRPr="00BA2861">
        <w:rPr>
          <w:rFonts w:eastAsiaTheme="minorHAnsi"/>
          <w:sz w:val="24"/>
          <w:szCs w:val="24"/>
          <w:lang w:eastAsia="en-US"/>
        </w:rPr>
        <w:t xml:space="preserve"> conceito de autoridade das decisões do tribunal não se confunde com a manutenção de uma orientação jurisprudencial</w:t>
      </w:r>
      <w:r>
        <w:rPr>
          <w:rFonts w:eastAsiaTheme="minorHAnsi"/>
          <w:sz w:val="24"/>
          <w:szCs w:val="24"/>
          <w:lang w:eastAsia="en-US"/>
        </w:rPr>
        <w:t xml:space="preserve">. </w:t>
      </w:r>
      <w:r w:rsidR="00A32364" w:rsidRPr="00A32364">
        <w:rPr>
          <w:rFonts w:eastAsiaTheme="minorHAnsi"/>
          <w:sz w:val="24"/>
          <w:szCs w:val="24"/>
          <w:lang w:eastAsia="en-US"/>
        </w:rPr>
        <w:t>A garantia da autoridade refere-se à proteção de um comando específico e concreto exarado pelo Tribunal que esteja sendo desrespeitado por um órgão inferior ou por outra autoridade. Ela visa assegurar que aquilo que foi decidido em um caso determinado seja efetivamente cumprido.</w:t>
      </w:r>
    </w:p>
    <w:p w14:paraId="79A61405" w14:textId="6DF2155A" w:rsidR="00B71C77" w:rsidRDefault="00BA2861" w:rsidP="00DC2AFB">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r w:rsidRPr="00BA2861">
        <w:rPr>
          <w:rFonts w:eastAsiaTheme="minorHAnsi"/>
          <w:sz w:val="24"/>
          <w:szCs w:val="24"/>
          <w:lang w:eastAsia="en-US"/>
        </w:rPr>
        <w:t>Dessa forma, como o agravante não logrou demonstrar a existência de aderência estrita entre o ato reclamado e um precedente qualificado</w:t>
      </w:r>
      <w:r w:rsidR="00005C3E">
        <w:rPr>
          <w:rFonts w:eastAsiaTheme="minorHAnsi"/>
          <w:sz w:val="24"/>
          <w:szCs w:val="24"/>
          <w:lang w:eastAsia="en-US"/>
        </w:rPr>
        <w:t>,</w:t>
      </w:r>
      <w:r w:rsidR="00A32364">
        <w:rPr>
          <w:rFonts w:eastAsiaTheme="minorHAnsi"/>
          <w:sz w:val="24"/>
          <w:szCs w:val="24"/>
          <w:lang w:eastAsia="en-US"/>
        </w:rPr>
        <w:t xml:space="preserve"> ou violaç</w:t>
      </w:r>
      <w:r w:rsidR="00DC2AFB">
        <w:rPr>
          <w:rFonts w:eastAsiaTheme="minorHAnsi"/>
          <w:sz w:val="24"/>
          <w:szCs w:val="24"/>
          <w:lang w:eastAsia="en-US"/>
        </w:rPr>
        <w:t xml:space="preserve">ão de comando judicial específico, a petição inicial revela-se </w:t>
      </w:r>
      <w:r w:rsidRPr="00BA2861">
        <w:rPr>
          <w:rFonts w:eastAsiaTheme="minorHAnsi"/>
          <w:sz w:val="24"/>
          <w:szCs w:val="24"/>
          <w:lang w:eastAsia="en-US"/>
        </w:rPr>
        <w:t>inepta por falta de interesse processual</w:t>
      </w:r>
      <w:r w:rsidR="00DC2AFB">
        <w:rPr>
          <w:rFonts w:eastAsiaTheme="minorHAnsi"/>
          <w:sz w:val="24"/>
          <w:szCs w:val="24"/>
          <w:lang w:eastAsia="en-US"/>
        </w:rPr>
        <w:t>.</w:t>
      </w:r>
    </w:p>
    <w:p w14:paraId="453F79B0" w14:textId="7D3C998B" w:rsidR="000C55BF" w:rsidRPr="000C55BF" w:rsidRDefault="001D660C" w:rsidP="00C7188A">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r w:rsidRPr="001D660C">
        <w:rPr>
          <w:rFonts w:eastAsiaTheme="minorHAnsi"/>
          <w:sz w:val="24"/>
          <w:szCs w:val="24"/>
          <w:lang w:eastAsia="en-US"/>
        </w:rPr>
        <w:t>Portanto, as razões recursais não trazem qualquer elemento novo apto a demonstrar a incorreção do entendimento adotado monocraticamente.</w:t>
      </w:r>
    </w:p>
    <w:p w14:paraId="2F2C1C0C" w14:textId="77777777" w:rsidR="000C55BF" w:rsidRPr="000C55BF" w:rsidRDefault="000C55BF" w:rsidP="000C55BF">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r w:rsidRPr="000C55BF">
        <w:rPr>
          <w:rFonts w:eastAsiaTheme="minorHAnsi"/>
          <w:sz w:val="24"/>
          <w:szCs w:val="24"/>
          <w:lang w:eastAsia="en-US"/>
        </w:rPr>
        <w:t>Neste sentido:</w:t>
      </w:r>
    </w:p>
    <w:p w14:paraId="4A3CBA4C" w14:textId="77777777" w:rsidR="000C55BF" w:rsidRPr="000C55BF" w:rsidRDefault="000C55BF" w:rsidP="000C55BF">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p>
    <w:p w14:paraId="16C3C975" w14:textId="6195B6A7" w:rsidR="000C55BF" w:rsidRPr="000C55BF" w:rsidRDefault="000C55BF" w:rsidP="006C41DC">
      <w:pPr>
        <w:suppressAutoHyphens w:val="0"/>
        <w:overflowPunct/>
        <w:autoSpaceDN w:val="0"/>
        <w:adjustRightInd w:val="0"/>
        <w:spacing w:after="240" w:line="360" w:lineRule="auto"/>
        <w:ind w:left="2268"/>
        <w:jc w:val="both"/>
        <w:textAlignment w:val="auto"/>
        <w:rPr>
          <w:rFonts w:eastAsiaTheme="minorHAnsi"/>
          <w:lang w:eastAsia="en-US"/>
        </w:rPr>
      </w:pPr>
      <w:r w:rsidRPr="000C55BF">
        <w:rPr>
          <w:rFonts w:eastAsiaTheme="minorHAnsi"/>
          <w:lang w:eastAsia="en-US"/>
        </w:rPr>
        <w:t xml:space="preserve">AGRAVO INTERNO. PLANO DE SAÚDE. </w:t>
      </w:r>
      <w:r w:rsidRPr="000C55BF">
        <w:rPr>
          <w:rFonts w:eastAsiaTheme="minorHAnsi"/>
          <w:b/>
          <w:lang w:eastAsia="en-US"/>
        </w:rPr>
        <w:t>EFEITO SUSPENSIVO INDEFERIDO NO AGRAVO DE INSTRUMENTO. MANUTENÇÃO DA TUTELA CONCEDIDA NA ORIGEM</w:t>
      </w:r>
      <w:r w:rsidRPr="000C55BF">
        <w:rPr>
          <w:rFonts w:eastAsiaTheme="minorHAnsi"/>
          <w:lang w:eastAsia="en-US"/>
        </w:rPr>
        <w:t>. AUTORA DIAGNOSTICADA COM ESCLEROSE MÚLTIPLA. FORNECIMENTO DO MEDICAMENTO “</w:t>
      </w:r>
      <w:proofErr w:type="spellStart"/>
      <w:r w:rsidRPr="000C55BF">
        <w:rPr>
          <w:rFonts w:eastAsiaTheme="minorHAnsi"/>
          <w:lang w:eastAsia="en-US"/>
        </w:rPr>
        <w:t>OFATUMUMABE</w:t>
      </w:r>
      <w:proofErr w:type="spellEnd"/>
      <w:r w:rsidRPr="000C55BF">
        <w:rPr>
          <w:rFonts w:eastAsiaTheme="minorHAnsi"/>
          <w:lang w:eastAsia="en-US"/>
        </w:rPr>
        <w:t xml:space="preserve"> (</w:t>
      </w:r>
      <w:proofErr w:type="spellStart"/>
      <w:r w:rsidRPr="000C55BF">
        <w:rPr>
          <w:rFonts w:eastAsiaTheme="minorHAnsi"/>
          <w:lang w:eastAsia="en-US"/>
        </w:rPr>
        <w:t>KESIMPTA</w:t>
      </w:r>
      <w:proofErr w:type="spellEnd"/>
      <w:r w:rsidRPr="000C55BF">
        <w:rPr>
          <w:rFonts w:eastAsiaTheme="minorHAnsi"/>
          <w:lang w:eastAsia="en-US"/>
        </w:rPr>
        <w:t xml:space="preserve">)”. </w:t>
      </w:r>
      <w:r w:rsidRPr="000C55BF">
        <w:rPr>
          <w:rFonts w:eastAsiaTheme="minorHAnsi"/>
          <w:b/>
          <w:lang w:eastAsia="en-US"/>
        </w:rPr>
        <w:t>AUSÊNCIA DE ARGUMENTOS CAPAZES DE INFIRMAR OS FUNDAMENTOS UTILIZADOS NA DECISÃO MONOCRÁTICA. DECISÃO MANTIDA.</w:t>
      </w:r>
      <w:r w:rsidRPr="000C55BF">
        <w:rPr>
          <w:rFonts w:eastAsiaTheme="minorHAnsi"/>
          <w:lang w:eastAsia="en-US"/>
        </w:rPr>
        <w:t xml:space="preserve"> AGRAVO CONHECIDO E DESPROVIDO. (</w:t>
      </w:r>
      <w:bookmarkStart w:id="0" w:name="_Hlk192694248"/>
      <w:r w:rsidRPr="000C55BF">
        <w:rPr>
          <w:rFonts w:eastAsiaTheme="minorHAnsi"/>
          <w:lang w:eastAsia="en-US"/>
        </w:rPr>
        <w:t>TJPR. 10ª Câmara Cível. Relatora: Desembargadora Substituta Elizabeth de Fátima Nogueira Calmon de Passos. Agravo interno. 0012716-04.2024.8.16.0000. São José dos Pinhais. Data de julgamento: 15-7-2024</w:t>
      </w:r>
      <w:bookmarkEnd w:id="0"/>
      <w:r w:rsidRPr="000C55BF">
        <w:rPr>
          <w:rFonts w:eastAsiaTheme="minorHAnsi"/>
          <w:lang w:eastAsia="en-US"/>
        </w:rPr>
        <w:t>).</w:t>
      </w:r>
    </w:p>
    <w:p w14:paraId="70144ACB" w14:textId="77777777" w:rsidR="000C55BF" w:rsidRPr="000C55BF" w:rsidRDefault="000C55BF" w:rsidP="000C55BF">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p>
    <w:p w14:paraId="55863DEA" w14:textId="77777777" w:rsidR="000C55BF" w:rsidRPr="000C55BF" w:rsidRDefault="000C55BF" w:rsidP="000C55BF">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r w:rsidRPr="000C55BF">
        <w:rPr>
          <w:rFonts w:eastAsiaTheme="minorHAnsi"/>
          <w:sz w:val="24"/>
          <w:szCs w:val="24"/>
          <w:lang w:eastAsia="en-US"/>
        </w:rPr>
        <w:t>Afasta-se, pois, o repto recursal.</w:t>
      </w:r>
    </w:p>
    <w:p w14:paraId="3E0B2A33" w14:textId="77777777" w:rsidR="001D481F" w:rsidRDefault="001D481F" w:rsidP="001D481F">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p>
    <w:p w14:paraId="44A5433D" w14:textId="365AFDF0" w:rsidR="001D481F" w:rsidRDefault="001D481F" w:rsidP="001D481F">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r>
        <w:rPr>
          <w:rFonts w:eastAsiaTheme="minorHAnsi"/>
          <w:sz w:val="24"/>
          <w:szCs w:val="24"/>
          <w:lang w:eastAsia="en-US"/>
        </w:rPr>
        <w:t>II.III – DA CONCLUSÃO</w:t>
      </w:r>
    </w:p>
    <w:p w14:paraId="35F3E922" w14:textId="1476EE43" w:rsidR="006C41DC" w:rsidRDefault="006C41DC" w:rsidP="001D481F">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r>
        <w:rPr>
          <w:rFonts w:eastAsiaTheme="minorHAnsi"/>
          <w:sz w:val="24"/>
          <w:szCs w:val="24"/>
          <w:lang w:eastAsia="en-US"/>
        </w:rPr>
        <w:t>Pela conjugação das premissas alinhavadas, a conclusão a ser adotada consiste em conhecer e negar provimento ao recurso.</w:t>
      </w:r>
    </w:p>
    <w:p w14:paraId="2D6E800B" w14:textId="41355468" w:rsidR="006C41DC" w:rsidRDefault="006C41DC" w:rsidP="001D481F">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r>
        <w:rPr>
          <w:rFonts w:eastAsiaTheme="minorHAnsi"/>
          <w:sz w:val="24"/>
          <w:szCs w:val="24"/>
          <w:lang w:eastAsia="en-US"/>
        </w:rPr>
        <w:t>É como voto.</w:t>
      </w:r>
    </w:p>
    <w:p w14:paraId="1ECB7F1D" w14:textId="77777777" w:rsidR="001D481F" w:rsidRDefault="001D481F" w:rsidP="001D481F">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p>
    <w:p w14:paraId="02CF2A13" w14:textId="2C1C60E8" w:rsidR="001D481F" w:rsidRPr="001D481F" w:rsidRDefault="007C1295" w:rsidP="001D481F">
      <w:pPr>
        <w:suppressAutoHyphens w:val="0"/>
        <w:overflowPunct/>
        <w:autoSpaceDN w:val="0"/>
        <w:adjustRightInd w:val="0"/>
        <w:spacing w:after="240" w:line="360" w:lineRule="auto"/>
        <w:ind w:firstLine="709"/>
        <w:jc w:val="both"/>
        <w:textAlignment w:val="auto"/>
        <w:rPr>
          <w:rFonts w:eastAsiaTheme="minorHAnsi"/>
          <w:b/>
          <w:sz w:val="24"/>
          <w:szCs w:val="24"/>
          <w:lang w:eastAsia="en-US"/>
        </w:rPr>
      </w:pPr>
      <w:r w:rsidRPr="007C1295">
        <w:rPr>
          <w:rFonts w:eastAsiaTheme="minorHAnsi"/>
          <w:b/>
          <w:sz w:val="24"/>
          <w:szCs w:val="24"/>
          <w:lang w:eastAsia="en-US"/>
        </w:rPr>
        <w:t>III – DECISÃO</w:t>
      </w:r>
    </w:p>
    <w:sectPr w:rsidR="001D481F" w:rsidRPr="001D481F" w:rsidSect="004864FF">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0F678" w14:textId="77777777" w:rsidR="00933528" w:rsidRDefault="00933528" w:rsidP="00E57A7E">
      <w:r>
        <w:separator/>
      </w:r>
    </w:p>
  </w:endnote>
  <w:endnote w:type="continuationSeparator" w:id="0">
    <w:p w14:paraId="296A0143" w14:textId="77777777" w:rsidR="00933528" w:rsidRDefault="00933528" w:rsidP="00E57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2EE99" w14:textId="77777777" w:rsidR="00933528" w:rsidRDefault="00933528" w:rsidP="00E57A7E">
      <w:r>
        <w:separator/>
      </w:r>
    </w:p>
  </w:footnote>
  <w:footnote w:type="continuationSeparator" w:id="0">
    <w:p w14:paraId="534FA657" w14:textId="77777777" w:rsidR="00933528" w:rsidRDefault="00933528" w:rsidP="00E57A7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CE9"/>
    <w:rsid w:val="00005C3E"/>
    <w:rsid w:val="00025601"/>
    <w:rsid w:val="00062DDB"/>
    <w:rsid w:val="00080804"/>
    <w:rsid w:val="00097CFA"/>
    <w:rsid w:val="000C0E4E"/>
    <w:rsid w:val="000C55BF"/>
    <w:rsid w:val="000D756B"/>
    <w:rsid w:val="000F6C9C"/>
    <w:rsid w:val="00107194"/>
    <w:rsid w:val="00117D9F"/>
    <w:rsid w:val="00132CD6"/>
    <w:rsid w:val="00183216"/>
    <w:rsid w:val="001D481F"/>
    <w:rsid w:val="001D660C"/>
    <w:rsid w:val="001F0CA4"/>
    <w:rsid w:val="00220F14"/>
    <w:rsid w:val="002347B2"/>
    <w:rsid w:val="00255C14"/>
    <w:rsid w:val="0027571A"/>
    <w:rsid w:val="002B21EF"/>
    <w:rsid w:val="002C4F68"/>
    <w:rsid w:val="002D5BAF"/>
    <w:rsid w:val="003044CA"/>
    <w:rsid w:val="003167A5"/>
    <w:rsid w:val="00317948"/>
    <w:rsid w:val="00320C1E"/>
    <w:rsid w:val="00345833"/>
    <w:rsid w:val="00390406"/>
    <w:rsid w:val="003B0C74"/>
    <w:rsid w:val="004017B0"/>
    <w:rsid w:val="004238DC"/>
    <w:rsid w:val="00446273"/>
    <w:rsid w:val="00467B4D"/>
    <w:rsid w:val="004864FF"/>
    <w:rsid w:val="004E24D9"/>
    <w:rsid w:val="004F79D5"/>
    <w:rsid w:val="00535815"/>
    <w:rsid w:val="006C41DC"/>
    <w:rsid w:val="00704CE9"/>
    <w:rsid w:val="00706614"/>
    <w:rsid w:val="00723B96"/>
    <w:rsid w:val="007A60D1"/>
    <w:rsid w:val="007C1295"/>
    <w:rsid w:val="0080753B"/>
    <w:rsid w:val="00813752"/>
    <w:rsid w:val="00870E05"/>
    <w:rsid w:val="008C0FF4"/>
    <w:rsid w:val="008F3723"/>
    <w:rsid w:val="00933528"/>
    <w:rsid w:val="009D74D1"/>
    <w:rsid w:val="00A1703D"/>
    <w:rsid w:val="00A32364"/>
    <w:rsid w:val="00A6214E"/>
    <w:rsid w:val="00A852D3"/>
    <w:rsid w:val="00AA7548"/>
    <w:rsid w:val="00AB6BF4"/>
    <w:rsid w:val="00B40E92"/>
    <w:rsid w:val="00B71C77"/>
    <w:rsid w:val="00B745CF"/>
    <w:rsid w:val="00BA2861"/>
    <w:rsid w:val="00BC797C"/>
    <w:rsid w:val="00BD3F10"/>
    <w:rsid w:val="00C27FC6"/>
    <w:rsid w:val="00C64155"/>
    <w:rsid w:val="00C7188A"/>
    <w:rsid w:val="00C71A42"/>
    <w:rsid w:val="00C80D5E"/>
    <w:rsid w:val="00CA02FC"/>
    <w:rsid w:val="00CA4245"/>
    <w:rsid w:val="00D121E3"/>
    <w:rsid w:val="00D32B67"/>
    <w:rsid w:val="00D337CC"/>
    <w:rsid w:val="00D34836"/>
    <w:rsid w:val="00D548A8"/>
    <w:rsid w:val="00D621C8"/>
    <w:rsid w:val="00D80D9B"/>
    <w:rsid w:val="00DA36D7"/>
    <w:rsid w:val="00DC2AFB"/>
    <w:rsid w:val="00DC7F1A"/>
    <w:rsid w:val="00DD07F6"/>
    <w:rsid w:val="00DD43BE"/>
    <w:rsid w:val="00E5246E"/>
    <w:rsid w:val="00E57A7E"/>
    <w:rsid w:val="00E90A50"/>
    <w:rsid w:val="00E90BFD"/>
    <w:rsid w:val="00E94724"/>
    <w:rsid w:val="00EE08BD"/>
    <w:rsid w:val="00F5032D"/>
    <w:rsid w:val="00FC0CE6"/>
    <w:rsid w:val="00FD7D7D"/>
    <w:rsid w:val="00FE249D"/>
    <w:rsid w:val="00FF4E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0A37C"/>
  <w15:chartTrackingRefBased/>
  <w15:docId w15:val="{D3730363-B3BA-4D3E-BDB1-007CEEE3F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6D7"/>
    <w:pPr>
      <w:suppressAutoHyphens/>
      <w:overflowPunct w:val="0"/>
      <w:autoSpaceDE w:val="0"/>
      <w:spacing w:after="0" w:line="240" w:lineRule="auto"/>
      <w:textAlignment w:val="baseline"/>
    </w:pPr>
    <w:rPr>
      <w:rFonts w:ascii="Times New Roman" w:eastAsia="Times New Roman" w:hAnsi="Times New Roman" w:cs="Times New Roman"/>
      <w:sz w:val="20"/>
      <w:szCs w:val="20"/>
      <w:lang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fim">
    <w:name w:val="endnote text"/>
    <w:basedOn w:val="Normal"/>
    <w:link w:val="TextodenotadefimChar"/>
    <w:uiPriority w:val="99"/>
    <w:semiHidden/>
    <w:unhideWhenUsed/>
    <w:rsid w:val="00E57A7E"/>
  </w:style>
  <w:style w:type="character" w:customStyle="1" w:styleId="TextodenotadefimChar">
    <w:name w:val="Texto de nota de fim Char"/>
    <w:basedOn w:val="Fontepargpadro"/>
    <w:link w:val="Textodenotadefim"/>
    <w:uiPriority w:val="99"/>
    <w:semiHidden/>
    <w:rsid w:val="00E57A7E"/>
    <w:rPr>
      <w:rFonts w:ascii="Times New Roman" w:eastAsia="Times New Roman" w:hAnsi="Times New Roman" w:cs="Times New Roman"/>
      <w:sz w:val="20"/>
      <w:szCs w:val="20"/>
      <w:lang w:eastAsia="ar-SA"/>
    </w:rPr>
  </w:style>
  <w:style w:type="character" w:styleId="Refdenotadefim">
    <w:name w:val="endnote reference"/>
    <w:basedOn w:val="Fontepargpadro"/>
    <w:uiPriority w:val="99"/>
    <w:semiHidden/>
    <w:unhideWhenUsed/>
    <w:rsid w:val="00E57A7E"/>
    <w:rPr>
      <w:vertAlign w:val="superscript"/>
    </w:rPr>
  </w:style>
  <w:style w:type="paragraph" w:styleId="PargrafodaLista">
    <w:name w:val="List Paragraph"/>
    <w:basedOn w:val="Normal"/>
    <w:uiPriority w:val="34"/>
    <w:qFormat/>
    <w:rsid w:val="00132C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f9b77c0a9ca16248db2a354a9324d57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f83b46afa82d5de6e7294c7773150add"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23C5A2-D9C3-4E99-B1EF-20E6A2BCB979}">
  <ds:schemaRefs>
    <ds:schemaRef ds:uri="http://schemas.microsoft.com/office/2006/metadata/contentType"/>
    <ds:schemaRef ds:uri="http://schemas.microsoft.com/office/2006/metadata/properties/metaAttributes"/>
    <ds:schemaRef ds:uri="http://www.w3.org/2000/xmlns/"/>
    <ds:schemaRef ds:uri="http://www.w3.org/2001/XMLSchema"/>
    <ds:schemaRef ds:uri="c04bd5eb-5da3-4c78-b159-2bc8443a6345"/>
    <ds:schemaRef ds:uri="0b1c8c71-5c14-46ef-9c85-f6af5a95de9b"/>
  </ds:schemaRefs>
</ds:datastoreItem>
</file>

<file path=customXml/itemProps2.xml><?xml version="1.0" encoding="utf-8"?>
<ds:datastoreItem xmlns:ds="http://schemas.openxmlformats.org/officeDocument/2006/customXml" ds:itemID="{6EA3E9E9-3850-415F-B771-61299BECFCE0}">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1C5D859F-DCCE-4BBC-935F-D5577120EEE5}">
  <ds:schemaRefs>
    <ds:schemaRef ds:uri="http://schemas.microsoft.com/office/2006/metadata/properties"/>
    <ds:schemaRef ds:uri="http://www.w3.org/2000/xmlns/"/>
    <ds:schemaRef ds:uri="0b1c8c71-5c14-46ef-9c85-f6af5a95de9b"/>
    <ds:schemaRef ds:uri="http://www.w3.org/2001/XMLSchema-instance"/>
    <ds:schemaRef ds:uri="c04bd5eb-5da3-4c78-b159-2bc8443a6345"/>
    <ds:schemaRef ds:uri="http://schemas.microsoft.com/office/infopath/2007/PartnerControls"/>
  </ds:schemaRefs>
</ds:datastoreItem>
</file>

<file path=customXml/itemProps4.xml><?xml version="1.0" encoding="utf-8"?>
<ds:datastoreItem xmlns:ds="http://schemas.openxmlformats.org/officeDocument/2006/customXml" ds:itemID="{D8E91D7D-2759-4504-96BB-A9FB997BE4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4</Pages>
  <Words>658</Words>
  <Characters>3555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58</cp:revision>
  <dcterms:created xsi:type="dcterms:W3CDTF">2026-01-28T18:19:00Z</dcterms:created>
  <dcterms:modified xsi:type="dcterms:W3CDTF">2026-01-28T20:18:00Z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304800</vt:r8>
  </property>
  <property fmtid="{D5CDD505-2E9C-101B-9397-08002B2CF9AE}" pid="4" name="MediaServiceImageTags">
    <vt:lpwstr/>
  </property>
  <property fmtid="{D5CDD505-2E9C-101B-9397-08002B2CF9AE}" pid="5" name="docLang">
    <vt:lpwstr>pt</vt:lpwstr>
  </property>
</Properties>
</file>