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90003E" w14:textId="45E01338" w:rsidR="00146748" w:rsidRPr="00146748" w:rsidRDefault="00727437" w:rsidP="00146748">
      <w:pPr>
        <w:ind w:firstLine="0"/>
        <w:rPr>
          <w:b/>
        </w:rPr>
      </w:pPr>
      <w:r>
        <w:rPr>
          <w:b/>
        </w:rPr>
        <w:t>DIREITO PENAL E PROCESSUAL PENAL.</w:t>
      </w:r>
      <w:r w:rsidR="000266AF">
        <w:rPr>
          <w:b/>
        </w:rPr>
        <w:t xml:space="preserve"> </w:t>
      </w:r>
      <w:r>
        <w:rPr>
          <w:b/>
        </w:rPr>
        <w:t>APELAÇÃO CRIMINAL.</w:t>
      </w:r>
      <w:r w:rsidR="000266AF">
        <w:rPr>
          <w:b/>
        </w:rPr>
        <w:t xml:space="preserve"> </w:t>
      </w:r>
      <w:r w:rsidR="00107B9C">
        <w:rPr>
          <w:b/>
        </w:rPr>
        <w:t>ART. 234 DO ECA. DOLO. VONTADE E CONSCIÊNCIA. CRITÉRIO DE IMPUTAÇÃO DELITIVA.</w:t>
      </w:r>
    </w:p>
    <w:p w14:paraId="153FB66C" w14:textId="77777777" w:rsidR="00146748" w:rsidRDefault="00146748" w:rsidP="00146748">
      <w:pPr>
        <w:ind w:firstLine="0"/>
        <w:rPr>
          <w:b/>
        </w:rPr>
      </w:pPr>
      <w:r w:rsidRPr="00146748">
        <w:rPr>
          <w:b/>
        </w:rPr>
        <w:t>I. CASO EM EXAME</w:t>
      </w:r>
    </w:p>
    <w:p w14:paraId="6D0991C1" w14:textId="62769B63" w:rsidR="00F27482" w:rsidRPr="00146748" w:rsidRDefault="00F27482" w:rsidP="00146748">
      <w:pPr>
        <w:ind w:firstLine="0"/>
        <w:rPr>
          <w:b/>
        </w:rPr>
      </w:pPr>
      <w:r>
        <w:rPr>
          <w:b/>
        </w:rPr>
        <w:t xml:space="preserve">Recurso de apelação criminal interposto contra sentença que julgou procedente a pretensão punitiva estatal para condenar a imputada, pela prática do crime previsto no artigo </w:t>
      </w:r>
      <w:r w:rsidR="00AF6C16">
        <w:rPr>
          <w:b/>
        </w:rPr>
        <w:t>243 do ECA, às penas de 2 anos de detenção em regime inicial aberto e 10 dias-multa, substituindo a pena privativa de liberdade por restritivas de direito, consistentes na prestação de serviço comunitário e prestação pecuniária.</w:t>
      </w:r>
    </w:p>
    <w:p w14:paraId="6BB4A4A5" w14:textId="6CD55D1D" w:rsidR="00146748" w:rsidRPr="00146748" w:rsidRDefault="00146748" w:rsidP="00146748">
      <w:pPr>
        <w:ind w:firstLine="0"/>
        <w:rPr>
          <w:b/>
        </w:rPr>
      </w:pPr>
      <w:r w:rsidRPr="00146748">
        <w:rPr>
          <w:b/>
        </w:rPr>
        <w:t>II. QUEST</w:t>
      </w:r>
      <w:r w:rsidR="00F27D6C">
        <w:rPr>
          <w:b/>
        </w:rPr>
        <w:t>ÕES</w:t>
      </w:r>
      <w:r w:rsidRPr="00146748">
        <w:rPr>
          <w:b/>
        </w:rPr>
        <w:t xml:space="preserve"> EM DISCUSSÃO</w:t>
      </w:r>
    </w:p>
    <w:p w14:paraId="6047BABC" w14:textId="276A00C1" w:rsidR="00F27D6C" w:rsidRDefault="00F27D6C" w:rsidP="00146748">
      <w:pPr>
        <w:ind w:firstLine="0"/>
        <w:rPr>
          <w:b/>
        </w:rPr>
      </w:pPr>
      <w:r>
        <w:rPr>
          <w:b/>
        </w:rPr>
        <w:t xml:space="preserve">II.I. Admissibilidade recursal da pretensão de </w:t>
      </w:r>
      <w:r w:rsidR="005018D9">
        <w:rPr>
          <w:b/>
        </w:rPr>
        <w:t>concessão da gratuidade da justiça no processo de conhecimento, no âmbito do processo penal.</w:t>
      </w:r>
    </w:p>
    <w:p w14:paraId="5B6C71A5" w14:textId="4E5DA21B" w:rsidR="005018D9" w:rsidRDefault="005018D9" w:rsidP="00146748">
      <w:pPr>
        <w:ind w:firstLine="0"/>
        <w:rPr>
          <w:b/>
        </w:rPr>
      </w:pPr>
      <w:r>
        <w:rPr>
          <w:b/>
        </w:rPr>
        <w:t>II.II. Configuração do dolo, enquanto critério de imputação, em razão da vulnerabilidade social e ausência de representação da repercussão penal pela</w:t>
      </w:r>
      <w:r w:rsidR="00535603">
        <w:rPr>
          <w:b/>
        </w:rPr>
        <w:t xml:space="preserve"> imputada.</w:t>
      </w:r>
    </w:p>
    <w:p w14:paraId="35D4FC9E" w14:textId="5062258F" w:rsidR="00146748" w:rsidRDefault="00146748" w:rsidP="00146748">
      <w:pPr>
        <w:ind w:firstLine="0"/>
        <w:rPr>
          <w:b/>
        </w:rPr>
      </w:pPr>
      <w:r w:rsidRPr="00146748">
        <w:rPr>
          <w:b/>
        </w:rPr>
        <w:t>III. RAZÕES DE DECIDIR</w:t>
      </w:r>
    </w:p>
    <w:p w14:paraId="7BEE8C3C" w14:textId="6E3BA67A" w:rsidR="00535603" w:rsidRDefault="00535603" w:rsidP="00146748">
      <w:pPr>
        <w:ind w:firstLine="0"/>
        <w:rPr>
          <w:b/>
        </w:rPr>
      </w:pPr>
      <w:r>
        <w:rPr>
          <w:b/>
        </w:rPr>
        <w:t>II.I. No processo penal, o exame dos requisitos da gratuidade da justiça</w:t>
      </w:r>
      <w:r w:rsidR="00DB6567">
        <w:rPr>
          <w:b/>
        </w:rPr>
        <w:t xml:space="preserve"> insere-se na competência do juízo da execução penal.</w:t>
      </w:r>
    </w:p>
    <w:p w14:paraId="060258F0" w14:textId="0093C901" w:rsidR="00DB6567" w:rsidRPr="00146748" w:rsidRDefault="00DB6567" w:rsidP="00146748">
      <w:pPr>
        <w:ind w:firstLine="0"/>
        <w:rPr>
          <w:b/>
        </w:rPr>
      </w:pPr>
      <w:r>
        <w:rPr>
          <w:b/>
        </w:rPr>
        <w:t xml:space="preserve">II.II. </w:t>
      </w:r>
      <w:r w:rsidR="00051BAD">
        <w:rPr>
          <w:b/>
        </w:rPr>
        <w:t xml:space="preserve">A análise do dolo circunscreve-se à verificação da vontade e consciência sobre os elementos do tipo objetivo de injusto, não sendo influenciada por </w:t>
      </w:r>
      <w:r w:rsidR="002035F0">
        <w:rPr>
          <w:b/>
        </w:rPr>
        <w:t xml:space="preserve">aspectos próprios do juízo de culpabilidade, tampouco contexto de vulnerabilidade social ou representação da </w:t>
      </w:r>
      <w:r w:rsidR="002F29A1">
        <w:rPr>
          <w:b/>
        </w:rPr>
        <w:t>repercussão penal da ação.</w:t>
      </w:r>
    </w:p>
    <w:p w14:paraId="6AF28E16" w14:textId="77777777" w:rsidR="00146748" w:rsidRPr="00146748" w:rsidRDefault="00146748" w:rsidP="00146748">
      <w:pPr>
        <w:ind w:firstLine="0"/>
        <w:rPr>
          <w:b/>
        </w:rPr>
      </w:pPr>
      <w:r w:rsidRPr="00146748">
        <w:rPr>
          <w:b/>
        </w:rPr>
        <w:t>IV. SOLUÇÃO DO CASO</w:t>
      </w:r>
    </w:p>
    <w:p w14:paraId="7641D84D" w14:textId="3DDB4EA0" w:rsidR="00146748" w:rsidRPr="00146748" w:rsidRDefault="00146748" w:rsidP="00146748">
      <w:pPr>
        <w:ind w:firstLine="0"/>
        <w:rPr>
          <w:b/>
        </w:rPr>
      </w:pPr>
      <w:r w:rsidRPr="00146748">
        <w:rPr>
          <w:b/>
        </w:rPr>
        <w:t xml:space="preserve">Recurso </w:t>
      </w:r>
      <w:r w:rsidR="00EE5C54">
        <w:rPr>
          <w:b/>
        </w:rPr>
        <w:t>parcialmente conhecido</w:t>
      </w:r>
      <w:r w:rsidRPr="00146748">
        <w:rPr>
          <w:b/>
        </w:rPr>
        <w:t xml:space="preserve"> e desprovido.</w:t>
      </w:r>
    </w:p>
    <w:p w14:paraId="34905683" w14:textId="72DC769A" w:rsidR="00146748" w:rsidRDefault="00146748" w:rsidP="00146748">
      <w:pPr>
        <w:ind w:firstLine="0"/>
        <w:rPr>
          <w:b/>
        </w:rPr>
      </w:pPr>
      <w:r w:rsidRPr="00146748">
        <w:rPr>
          <w:b/>
        </w:rPr>
        <w:t>V. JURISPRUDÊNCIA E LEGISLAÇÃO UTILIZADAS</w:t>
      </w:r>
    </w:p>
    <w:p w14:paraId="732B8BE8" w14:textId="37D14DE6" w:rsidR="001C2D4C" w:rsidRDefault="001C2D4C" w:rsidP="00146748">
      <w:pPr>
        <w:ind w:firstLine="0"/>
        <w:rPr>
          <w:b/>
        </w:rPr>
      </w:pPr>
      <w:r>
        <w:rPr>
          <w:b/>
        </w:rPr>
        <w:t>V. I. Legislação</w:t>
      </w:r>
    </w:p>
    <w:p w14:paraId="38674EF0" w14:textId="093C2EE2" w:rsidR="00B974F9" w:rsidRPr="00146748" w:rsidRDefault="00B974F9" w:rsidP="00146748">
      <w:pPr>
        <w:ind w:firstLine="0"/>
        <w:rPr>
          <w:b/>
        </w:rPr>
      </w:pPr>
      <w:r>
        <w:rPr>
          <w:b/>
        </w:rPr>
        <w:t>CP: art. 18, I.</w:t>
      </w:r>
    </w:p>
    <w:p w14:paraId="2053A593" w14:textId="1DF5617E" w:rsidR="00146748" w:rsidRPr="00146748" w:rsidRDefault="001C2D4C" w:rsidP="00146748">
      <w:pPr>
        <w:ind w:firstLine="0"/>
        <w:rPr>
          <w:b/>
        </w:rPr>
      </w:pPr>
      <w:r>
        <w:rPr>
          <w:b/>
        </w:rPr>
        <w:t xml:space="preserve">V. II. </w:t>
      </w:r>
      <w:r w:rsidR="00146748" w:rsidRPr="00146748">
        <w:rPr>
          <w:b/>
        </w:rPr>
        <w:t>Jurisprudência</w:t>
      </w:r>
    </w:p>
    <w:p w14:paraId="019BC04E" w14:textId="61AB9C0A" w:rsidR="00AA28DF" w:rsidRDefault="001860E9" w:rsidP="001860E9">
      <w:pPr>
        <w:ind w:firstLine="0"/>
        <w:rPr>
          <w:b/>
        </w:rPr>
      </w:pPr>
      <w:r w:rsidRPr="001860E9">
        <w:rPr>
          <w:b/>
        </w:rPr>
        <w:t>TJPR. 3º Câmara Criminal. Relatora: Desembargadora Cristiane Tereza Willy Ferrari. 0057997-53.2015.8.16.0014. Londrina. Data de julgamento: 12-12-2023</w:t>
      </w:r>
      <w:r>
        <w:rPr>
          <w:b/>
        </w:rPr>
        <w:t>.</w:t>
      </w:r>
    </w:p>
    <w:p w14:paraId="275A091F" w14:textId="77777777" w:rsidR="001860E9" w:rsidRPr="001860E9" w:rsidRDefault="001860E9" w:rsidP="001860E9">
      <w:pPr>
        <w:ind w:firstLine="0"/>
        <w:rPr>
          <w:b/>
        </w:rPr>
      </w:pPr>
    </w:p>
    <w:p w14:paraId="4F2D2C21" w14:textId="77777777" w:rsidR="00AA28DF" w:rsidRDefault="00AA28DF" w:rsidP="00AA28DF">
      <w:pPr>
        <w:pStyle w:val="PargrafodaLista"/>
        <w:ind w:left="0"/>
        <w:contextualSpacing w:val="0"/>
        <w:rPr>
          <w:b/>
        </w:rPr>
      </w:pPr>
      <w:r>
        <w:rPr>
          <w:b/>
        </w:rPr>
        <w:t>I – RELATÓRIO</w:t>
      </w:r>
    </w:p>
    <w:p w14:paraId="3C44D598" w14:textId="77777777" w:rsidR="00221CC3" w:rsidRDefault="00AA28DF" w:rsidP="00AA28DF">
      <w:pPr>
        <w:pStyle w:val="PargrafodaLista"/>
        <w:ind w:left="0"/>
        <w:contextualSpacing w:val="0"/>
      </w:pPr>
      <w:r>
        <w:t xml:space="preserve">Cuida-se de </w:t>
      </w:r>
      <w:r w:rsidR="00C9260E">
        <w:t xml:space="preserve">apelação criminal interposta por Jessica </w:t>
      </w:r>
      <w:r w:rsidR="00FB0059">
        <w:t>C</w:t>
      </w:r>
      <w:r w:rsidR="00F46946">
        <w:t>a</w:t>
      </w:r>
      <w:r w:rsidR="00C708E8">
        <w:t xml:space="preserve">roline Leite Luz em face do Ministério Público do Estado do Paraná, </w:t>
      </w:r>
      <w:r w:rsidR="003926F7">
        <w:t>tendo como objeto sentença proferida pelo juízo d</w:t>
      </w:r>
      <w:r w:rsidR="00154839">
        <w:t xml:space="preserve">o Juizado de Violência Doméstica e Familiar Contra a Mulher </w:t>
      </w:r>
      <w:r w:rsidR="00AE6FA0">
        <w:t>e Vara de Crimes Contra Crianças, A</w:t>
      </w:r>
      <w:r w:rsidR="00175538">
        <w:t>dolescentes e Idosos de Maringá</w:t>
      </w:r>
      <w:r w:rsidR="00875B9B">
        <w:t xml:space="preserve">, </w:t>
      </w:r>
      <w:r w:rsidR="00302E31">
        <w:t>q</w:t>
      </w:r>
      <w:r w:rsidR="005A18C8">
        <w:t xml:space="preserve">ue a condenou, pelo crime do artigo </w:t>
      </w:r>
      <w:r w:rsidR="00EE4554">
        <w:t>2</w:t>
      </w:r>
      <w:r w:rsidR="00F81F85">
        <w:t>43 do Estatuto da Criança e do Adolescente,</w:t>
      </w:r>
      <w:r w:rsidR="00866E12">
        <w:t xml:space="preserve"> às penas de 2 (dois) anos de detenção e 10 (dez) dias-mult</w:t>
      </w:r>
      <w:r w:rsidR="00F53EC1">
        <w:t xml:space="preserve">a em regime inicial aberto, </w:t>
      </w:r>
      <w:r w:rsidR="00E42F78">
        <w:t>convertendo a pena priva</w:t>
      </w:r>
      <w:r w:rsidR="00442865">
        <w:t xml:space="preserve">tiva de liberdade em duas restritivas de direitos, consistentes em prestação de serviços à comunidade </w:t>
      </w:r>
      <w:r w:rsidR="00B0652D">
        <w:t>e prestação pecuniária de um salário-mínimo (evento 167.1 – autos d</w:t>
      </w:r>
      <w:r w:rsidR="00221CC3">
        <w:t>e origem).</w:t>
      </w:r>
    </w:p>
    <w:p w14:paraId="79E00D0E" w14:textId="02C5E8EF" w:rsidR="00D612BB" w:rsidRDefault="00221CC3" w:rsidP="00D612BB">
      <w:pPr>
        <w:pStyle w:val="PargrafodaLista"/>
        <w:ind w:left="0"/>
        <w:contextualSpacing w:val="0"/>
      </w:pPr>
      <w:r>
        <w:t xml:space="preserve">Eis, em </w:t>
      </w:r>
      <w:r w:rsidR="00FE68C4">
        <w:t>síntese, as razões de inconformismo:</w:t>
      </w:r>
      <w:r w:rsidR="00D612BB">
        <w:t xml:space="preserve"> </w:t>
      </w:r>
      <w:r w:rsidR="00CB4F09">
        <w:t xml:space="preserve">a) </w:t>
      </w:r>
      <w:r w:rsidR="006D0295">
        <w:t>o contexto sociocultural interferiu na com</w:t>
      </w:r>
      <w:r w:rsidR="00DD2B63">
        <w:t>preensão da imputada sobre o caráter ilícito da conduta</w:t>
      </w:r>
      <w:r w:rsidR="00A36FB1">
        <w:t xml:space="preserve"> e de suas consequências penais</w:t>
      </w:r>
      <w:r w:rsidR="00DD2B63">
        <w:t>, desconstituindo o dolo; b) as consequências penais são insuportáveis</w:t>
      </w:r>
      <w:r w:rsidR="008C65C9">
        <w:t xml:space="preserve"> para a ré, que não possui disponibilidade de tempo para prestar o serviço comunitário, tampouco o</w:t>
      </w:r>
      <w:r w:rsidR="00814574">
        <w:t>s recursos para adimplir a prestação pecuniária</w:t>
      </w:r>
      <w:r w:rsidR="0040000A">
        <w:t xml:space="preserve">; c) </w:t>
      </w:r>
      <w:r w:rsidR="0063620C">
        <w:t>devem ser concedidos os benefícios da gratuidade da justiça</w:t>
      </w:r>
      <w:r w:rsidR="00814574">
        <w:t xml:space="preserve"> (</w:t>
      </w:r>
      <w:r w:rsidR="00D612BB">
        <w:t>evento 15.1).</w:t>
      </w:r>
    </w:p>
    <w:p w14:paraId="68AEFB4B" w14:textId="1A3100C4" w:rsidR="002508BB" w:rsidRDefault="002508BB" w:rsidP="00D612BB">
      <w:pPr>
        <w:pStyle w:val="PargrafodaLista"/>
        <w:ind w:left="0"/>
        <w:contextualSpacing w:val="0"/>
      </w:pPr>
      <w:r>
        <w:t xml:space="preserve">Nas contrarrazões, o Ministério Público argumentou que </w:t>
      </w:r>
      <w:r w:rsidR="003C544B">
        <w:t>restou comprovada a prática dolosa da conduta de fornecer e servir bebida alcoólica para menores de 18 (dezoito) anos</w:t>
      </w:r>
      <w:r w:rsidR="00AE1FD2">
        <w:t xml:space="preserve">, impondo-se a manutenção da condenação (evento </w:t>
      </w:r>
      <w:r w:rsidR="00340290">
        <w:t>19.1).</w:t>
      </w:r>
    </w:p>
    <w:p w14:paraId="3D87A2EF" w14:textId="68D6F834" w:rsidR="00EF0860" w:rsidRDefault="00EF0860" w:rsidP="00D612BB">
      <w:pPr>
        <w:pStyle w:val="PargrafodaLista"/>
        <w:ind w:left="0"/>
        <w:contextualSpacing w:val="0"/>
      </w:pPr>
      <w:r>
        <w:t xml:space="preserve">A Procuradoria-Geral de Justiça </w:t>
      </w:r>
      <w:r w:rsidR="005A0D6B">
        <w:t xml:space="preserve">opinou pelo </w:t>
      </w:r>
      <w:r w:rsidR="00FB353A">
        <w:t xml:space="preserve">não conhecimento da pretensão relativa à gratuidade da justiça e, no mérito, pelo desprovimento do apelo (evento </w:t>
      </w:r>
      <w:r w:rsidR="009668FB">
        <w:t>23.1).</w:t>
      </w:r>
    </w:p>
    <w:p w14:paraId="5A480162" w14:textId="77777777" w:rsidR="00AA28DF" w:rsidRDefault="00AA28DF" w:rsidP="00877419">
      <w:pPr>
        <w:pStyle w:val="PargrafodaLista"/>
        <w:ind w:left="0"/>
        <w:contextualSpacing w:val="0"/>
      </w:pPr>
      <w:r>
        <w:t>É o necessário relato.</w:t>
      </w:r>
    </w:p>
    <w:p w14:paraId="1769E6BE" w14:textId="77777777" w:rsidR="00AA28DF" w:rsidRDefault="00AA28DF" w:rsidP="00877419">
      <w:pPr>
        <w:pStyle w:val="PargrafodaLista"/>
        <w:ind w:left="0"/>
        <w:contextualSpacing w:val="0"/>
      </w:pPr>
    </w:p>
    <w:p w14:paraId="1B8BF9CA" w14:textId="2BA19033" w:rsidR="0050352E" w:rsidRPr="0050352E" w:rsidRDefault="00AA28DF" w:rsidP="0050352E">
      <w:pPr>
        <w:pStyle w:val="PargrafodaLista"/>
        <w:ind w:left="0"/>
        <w:contextualSpacing w:val="0"/>
        <w:rPr>
          <w:b/>
        </w:rPr>
      </w:pPr>
      <w:r w:rsidRPr="00AA28DF">
        <w:rPr>
          <w:b/>
        </w:rPr>
        <w:t>II – VOTO E SUA FUNDAMENTAÇÃO</w:t>
      </w:r>
    </w:p>
    <w:p w14:paraId="43849029" w14:textId="7CB08930" w:rsidR="00AA28DF" w:rsidRDefault="00AA28DF" w:rsidP="00877419">
      <w:pPr>
        <w:pStyle w:val="PargrafodaLista"/>
        <w:ind w:left="0"/>
        <w:contextualSpacing w:val="0"/>
      </w:pPr>
      <w:r>
        <w:t>II.I – DO JUÍZO DE ADMISSIBILIDADE</w:t>
      </w:r>
    </w:p>
    <w:p w14:paraId="4F9723E2" w14:textId="71261900" w:rsidR="00EF0860" w:rsidRPr="00EF0860" w:rsidRDefault="00EF0860" w:rsidP="000264EB">
      <w:pPr>
        <w:pStyle w:val="PargrafodaLista"/>
        <w:ind w:left="0"/>
        <w:contextualSpacing w:val="0"/>
      </w:pPr>
      <w:r w:rsidRPr="00EF0860">
        <w:rPr>
          <w:rFonts w:eastAsia="Times New Roman" w:cs="Times New Roman"/>
          <w:bCs/>
          <w:szCs w:val="24"/>
          <w:lang w:eastAsia="pt-BR"/>
        </w:rPr>
        <w:t>De início, não se conhece do pleito voltado à concessão das benesses da gratuidade da justiça, vez que se trata de matéria afeta à competência funcional do juízo das execuções penais.</w:t>
      </w:r>
    </w:p>
    <w:p w14:paraId="74488651" w14:textId="77777777" w:rsidR="00EF0860" w:rsidRPr="00EF0860" w:rsidRDefault="00EF0860" w:rsidP="00EF0860">
      <w:pPr>
        <w:spacing w:before="240"/>
        <w:rPr>
          <w:rFonts w:eastAsia="Times New Roman" w:cs="Times New Roman"/>
          <w:bCs/>
          <w:szCs w:val="24"/>
          <w:lang w:eastAsia="pt-BR"/>
        </w:rPr>
      </w:pPr>
      <w:r w:rsidRPr="00EF0860">
        <w:rPr>
          <w:rFonts w:eastAsia="Times New Roman" w:cs="Times New Roman"/>
          <w:bCs/>
          <w:szCs w:val="24"/>
          <w:lang w:eastAsia="pt-BR"/>
        </w:rPr>
        <w:t>A exemplo:</w:t>
      </w:r>
    </w:p>
    <w:p w14:paraId="1D55BCE0" w14:textId="77777777" w:rsidR="00EF0860" w:rsidRPr="00EF0860" w:rsidRDefault="00EF0860" w:rsidP="00EF0860">
      <w:pPr>
        <w:spacing w:before="240"/>
        <w:rPr>
          <w:rFonts w:eastAsia="Times New Roman" w:cs="Times New Roman"/>
          <w:bCs/>
          <w:szCs w:val="24"/>
          <w:lang w:eastAsia="pt-BR"/>
        </w:rPr>
      </w:pPr>
    </w:p>
    <w:p w14:paraId="7D3BA2FB" w14:textId="5A2A1B48" w:rsidR="00EF0860" w:rsidRPr="00EF0860" w:rsidRDefault="00EF0860" w:rsidP="000F6BF8">
      <w:pPr>
        <w:spacing w:before="240"/>
        <w:ind w:left="1701" w:firstLine="0"/>
        <w:rPr>
          <w:rFonts w:eastAsia="Times New Roman" w:cs="Times New Roman"/>
          <w:bCs/>
          <w:sz w:val="20"/>
          <w:szCs w:val="20"/>
          <w:lang w:eastAsia="pt-BR"/>
        </w:rPr>
      </w:pPr>
      <w:r w:rsidRPr="00EF0860">
        <w:rPr>
          <w:rFonts w:eastAsia="Times New Roman" w:cs="Times New Roman"/>
          <w:bCs/>
          <w:sz w:val="20"/>
          <w:szCs w:val="20"/>
          <w:lang w:eastAsia="pt-BR"/>
        </w:rPr>
        <w:t xml:space="preserve">APELAÇÃO CRIMINAL. ROUBO QUALIFICADO (ART. 157, §2º, I). SENTENÇA CONDENATÓRIA. RECURSO DO RÉU. </w:t>
      </w:r>
      <w:r w:rsidRPr="00EF0860">
        <w:rPr>
          <w:rFonts w:eastAsia="Times New Roman" w:cs="Times New Roman"/>
          <w:b/>
          <w:bCs/>
          <w:sz w:val="20"/>
          <w:szCs w:val="20"/>
          <w:u w:val="single"/>
          <w:lang w:eastAsia="pt-BR"/>
        </w:rPr>
        <w:t>PEDIDO DE CONCESSÃO DA JUSTIÇA GRATUITA. MATÉRIA AFETA AO JUÍZO DA EXECUÇÃO. NÃO CONHECIMENTO.</w:t>
      </w:r>
      <w:r w:rsidRPr="00EF0860">
        <w:rPr>
          <w:rFonts w:eastAsia="Times New Roman" w:cs="Times New Roman"/>
          <w:b/>
          <w:bCs/>
          <w:sz w:val="20"/>
          <w:szCs w:val="20"/>
          <w:lang w:eastAsia="pt-BR"/>
        </w:rPr>
        <w:t xml:space="preserve"> </w:t>
      </w:r>
      <w:r w:rsidRPr="00EF0860">
        <w:rPr>
          <w:rFonts w:eastAsia="Times New Roman" w:cs="Times New Roman"/>
          <w:bCs/>
          <w:sz w:val="20"/>
          <w:szCs w:val="20"/>
          <w:lang w:eastAsia="pt-BR"/>
        </w:rPr>
        <w:t>PLEITO ABSOLUTÓRIO. INVIABILIDADE. ELEMENTOS PROBATÓRIOS SUFICIENTES PARA DEMONSTRAR MATERIALIDADE E AUTORIA DO DELITO. VÍTIMAS QUE RECONHECERAM O ACUSADO SEM SOMBRA DE DÚVIDAS. DEPOIMENTOS FIRMES E UNÍSSONOS DAS VÍTIMAS. ESPECIAL RELEVÂNCIA DA PALAVRA DA VÍTIMA NOS DELITOS CONTRA O PATRIMÔNIO. ACERVO PROBATÓRIO SUFICIENTE PARA CONDENAÇÃO. SENTENÇA MANTIDA. RECURSO PARCIALMENTE CONHECIDO E, NA PARTE CONHECIDA, NÃO PROVIDO. (TJPR</w:t>
      </w:r>
      <w:r w:rsidR="000F6BF8">
        <w:rPr>
          <w:rFonts w:eastAsia="Times New Roman" w:cs="Times New Roman"/>
          <w:bCs/>
          <w:sz w:val="20"/>
          <w:szCs w:val="20"/>
          <w:lang w:eastAsia="pt-BR"/>
        </w:rPr>
        <w:t xml:space="preserve">. 3º Câmara Criminal. Relatora: Desembargadora Cristiane Tereza Willy Ferrari. </w:t>
      </w:r>
      <w:r w:rsidRPr="00EF0860">
        <w:rPr>
          <w:rFonts w:eastAsia="Times New Roman" w:cs="Times New Roman"/>
          <w:bCs/>
          <w:sz w:val="20"/>
          <w:szCs w:val="20"/>
          <w:lang w:eastAsia="pt-BR"/>
        </w:rPr>
        <w:t>0057997-53.2015.8.16.0014</w:t>
      </w:r>
      <w:r w:rsidR="000F6BF8">
        <w:rPr>
          <w:rFonts w:eastAsia="Times New Roman" w:cs="Times New Roman"/>
          <w:bCs/>
          <w:sz w:val="20"/>
          <w:szCs w:val="20"/>
          <w:lang w:eastAsia="pt-BR"/>
        </w:rPr>
        <w:t>.</w:t>
      </w:r>
      <w:r w:rsidRPr="00EF0860">
        <w:rPr>
          <w:rFonts w:eastAsia="Times New Roman" w:cs="Times New Roman"/>
          <w:bCs/>
          <w:sz w:val="20"/>
          <w:szCs w:val="20"/>
          <w:lang w:eastAsia="pt-BR"/>
        </w:rPr>
        <w:t xml:space="preserve"> Londrina</w:t>
      </w:r>
      <w:r w:rsidR="000F6BF8">
        <w:rPr>
          <w:rFonts w:eastAsia="Times New Roman" w:cs="Times New Roman"/>
          <w:bCs/>
          <w:sz w:val="20"/>
          <w:szCs w:val="20"/>
          <w:lang w:eastAsia="pt-BR"/>
        </w:rPr>
        <w:t>. Data de julgamento:</w:t>
      </w:r>
      <w:r w:rsidR="001F4E9B">
        <w:rPr>
          <w:rFonts w:eastAsia="Times New Roman" w:cs="Times New Roman"/>
          <w:bCs/>
          <w:sz w:val="20"/>
          <w:szCs w:val="20"/>
          <w:lang w:eastAsia="pt-BR"/>
        </w:rPr>
        <w:t xml:space="preserve"> 12-12-2023).</w:t>
      </w:r>
    </w:p>
    <w:p w14:paraId="73E86D91" w14:textId="77777777" w:rsidR="00EF0860" w:rsidRPr="00EF0860" w:rsidRDefault="00EF0860" w:rsidP="00EF0860">
      <w:pPr>
        <w:spacing w:before="240"/>
        <w:rPr>
          <w:rFonts w:eastAsia="Times New Roman" w:cs="Times New Roman"/>
          <w:bCs/>
          <w:szCs w:val="24"/>
          <w:lang w:eastAsia="pt-BR"/>
        </w:rPr>
      </w:pPr>
    </w:p>
    <w:p w14:paraId="3B55620C" w14:textId="1C657B17" w:rsidR="0050352E" w:rsidRDefault="00EF0860" w:rsidP="00877419">
      <w:pPr>
        <w:pStyle w:val="PargrafodaLista"/>
        <w:ind w:left="0"/>
        <w:contextualSpacing w:val="0"/>
        <w:rPr>
          <w:rFonts w:eastAsia="Times New Roman" w:cs="Times New Roman"/>
          <w:bCs/>
          <w:szCs w:val="24"/>
          <w:lang w:eastAsia="pt-BR"/>
        </w:rPr>
      </w:pPr>
      <w:r w:rsidRPr="00EF0860">
        <w:rPr>
          <w:rFonts w:eastAsia="Times New Roman" w:cs="Times New Roman"/>
          <w:bCs/>
          <w:szCs w:val="24"/>
          <w:lang w:eastAsia="pt-BR"/>
        </w:rPr>
        <w:t>Quanto às demais matérias, reputam-se satisfeitos os pressupostos de admissibilidade recursal, razão pela qual conhece-se parcialmente do presente apelo</w:t>
      </w:r>
      <w:r w:rsidR="001F4E9B">
        <w:rPr>
          <w:rFonts w:eastAsia="Times New Roman" w:cs="Times New Roman"/>
          <w:bCs/>
          <w:szCs w:val="24"/>
          <w:lang w:eastAsia="pt-BR"/>
        </w:rPr>
        <w:t>.</w:t>
      </w:r>
    </w:p>
    <w:p w14:paraId="5457C648" w14:textId="77777777" w:rsidR="001F4E9B" w:rsidRDefault="001F4E9B" w:rsidP="00877419">
      <w:pPr>
        <w:pStyle w:val="PargrafodaLista"/>
        <w:ind w:left="0"/>
        <w:contextualSpacing w:val="0"/>
      </w:pPr>
    </w:p>
    <w:p w14:paraId="5A82A9C8" w14:textId="6968A653" w:rsidR="0050352E" w:rsidRDefault="0050352E" w:rsidP="00877419">
      <w:pPr>
        <w:pStyle w:val="PargrafodaLista"/>
        <w:ind w:left="0"/>
        <w:contextualSpacing w:val="0"/>
      </w:pPr>
      <w:r>
        <w:t>II.II – D</w:t>
      </w:r>
      <w:r w:rsidR="00CB7901">
        <w:t>O ELEMENTO SUBJETIVO DO TIPO</w:t>
      </w:r>
    </w:p>
    <w:p w14:paraId="1766151E" w14:textId="56C68520" w:rsidR="00CB7901" w:rsidRDefault="003B519F" w:rsidP="00877419">
      <w:pPr>
        <w:pStyle w:val="PargrafodaLista"/>
        <w:ind w:left="0"/>
        <w:contextualSpacing w:val="0"/>
      </w:pPr>
      <w:r>
        <w:t xml:space="preserve">A despeito das invectivas recursais, </w:t>
      </w:r>
      <w:r w:rsidR="00EA4010">
        <w:t>as determinações socioculturais, em especial a alegada vulnerabilidade social</w:t>
      </w:r>
      <w:r w:rsidR="006A3CD6">
        <w:t xml:space="preserve">, e a não representação das consequências jurídico-penais da conduta </w:t>
      </w:r>
      <w:r w:rsidR="000B1AA6">
        <w:t>não possuem absolutamente nenhuma relação com a configuração do dolo, elemento subjetivo do tipo de injusto.</w:t>
      </w:r>
    </w:p>
    <w:p w14:paraId="7DAD9651" w14:textId="5C43B73B" w:rsidR="00866489" w:rsidRDefault="00CB2D83" w:rsidP="00866489">
      <w:pPr>
        <w:pStyle w:val="PargrafodaLista"/>
        <w:ind w:left="0"/>
        <w:contextualSpacing w:val="0"/>
      </w:pPr>
      <w:r>
        <w:t xml:space="preserve">O dolo, por definição </w:t>
      </w:r>
      <w:proofErr w:type="spellStart"/>
      <w:r>
        <w:t>manualística</w:t>
      </w:r>
      <w:proofErr w:type="spellEnd"/>
      <w:r w:rsidR="00866489">
        <w:t xml:space="preserve">, constitui a </w:t>
      </w:r>
      <w:r w:rsidR="007919BC" w:rsidRPr="007919BC">
        <w:t>vontade consciente de realizar o tipo objetiv</w:t>
      </w:r>
      <w:r w:rsidR="003C18E2">
        <w:t>o do ilícito penal.</w:t>
      </w:r>
    </w:p>
    <w:p w14:paraId="240299E7" w14:textId="3E4F928F" w:rsidR="003C18E2" w:rsidRDefault="003C18E2" w:rsidP="00866489">
      <w:pPr>
        <w:pStyle w:val="PargrafodaLista"/>
        <w:ind w:left="0"/>
        <w:contextualSpacing w:val="0"/>
      </w:pPr>
      <w:r>
        <w:t xml:space="preserve">A análise de sua configura cinge-se, assim, </w:t>
      </w:r>
      <w:r w:rsidR="0076317E">
        <w:t xml:space="preserve">ao elemento intelectual, consistente na consciência ou representação psíquica dos elementos objetivos do tipo, e ao elemento </w:t>
      </w:r>
      <w:r w:rsidR="00C40F2B">
        <w:t>volitivo, assim compreendido o impulso consequente para realizar a conduta típica.</w:t>
      </w:r>
      <w:r w:rsidR="00DC2A0B">
        <w:t xml:space="preserve"> Portanto, o dolo esgota-se na esfera da representação e vontade, de modo que fatores externos </w:t>
      </w:r>
      <w:r w:rsidR="007B1906">
        <w:t>a esse contexto psíquico e subjetivo, como a vulnerabilidade social e a não compreensão da gravidade d</w:t>
      </w:r>
      <w:r w:rsidR="00090DE5">
        <w:t>a sanção penal, não tem o condão de interferir na configuração do tipo subjetivo.</w:t>
      </w:r>
    </w:p>
    <w:p w14:paraId="2813110C" w14:textId="03BFDCFB" w:rsidR="00090DE5" w:rsidRDefault="00E8557E" w:rsidP="00866489">
      <w:pPr>
        <w:pStyle w:val="PargrafodaLista"/>
        <w:ind w:left="0"/>
        <w:contextualSpacing w:val="0"/>
      </w:pPr>
      <w:r>
        <w:t xml:space="preserve">No caso, </w:t>
      </w:r>
      <w:r w:rsidR="00386DE2">
        <w:t xml:space="preserve">restou comprovado </w:t>
      </w:r>
      <w:r w:rsidR="00B06584">
        <w:t>que a imputada tinha pleno conhecimento sobre a menoridade das ofendidas</w:t>
      </w:r>
      <w:r w:rsidR="00E35FD1">
        <w:t xml:space="preserve"> </w:t>
      </w:r>
      <w:r w:rsidR="0003339C">
        <w:t>e que realizou a compra de bebidas</w:t>
      </w:r>
      <w:r w:rsidR="00095154">
        <w:t xml:space="preserve"> com teor alcoólico para servir a</w:t>
      </w:r>
      <w:r w:rsidR="00C05028">
        <w:t xml:space="preserve"> elas </w:t>
      </w:r>
      <w:r w:rsidR="00E35FD1">
        <w:t>(evento 157.3 – autos de origem)</w:t>
      </w:r>
      <w:r w:rsidR="00C05028">
        <w:t>.</w:t>
      </w:r>
    </w:p>
    <w:p w14:paraId="7B2C3DC3" w14:textId="5489C277" w:rsidR="000B1AA6" w:rsidRDefault="00C05028" w:rsidP="00464EED">
      <w:pPr>
        <w:pStyle w:val="PargrafodaLista"/>
        <w:ind w:left="0"/>
        <w:contextualSpacing w:val="0"/>
      </w:pPr>
      <w:r>
        <w:t>Indigitada matriz fática</w:t>
      </w:r>
      <w:r w:rsidR="00F27530">
        <w:t xml:space="preserve">, extraída do conjunto probatório, em cotejo com o interrogatório judicial da apelante, evidencia </w:t>
      </w:r>
      <w:r w:rsidR="004E1413">
        <w:t>a plena configura do dolo, repelindo a incidência do repto defensivo</w:t>
      </w:r>
      <w:r w:rsidR="001367E9">
        <w:t xml:space="preserve"> (CP, art. 18, I).</w:t>
      </w:r>
    </w:p>
    <w:p w14:paraId="050402AC" w14:textId="36F57604" w:rsidR="00464EED" w:rsidRDefault="00464EED" w:rsidP="00464EED">
      <w:pPr>
        <w:pStyle w:val="PargrafodaLista"/>
        <w:ind w:left="0"/>
        <w:contextualSpacing w:val="0"/>
      </w:pPr>
      <w:r>
        <w:t xml:space="preserve">Ademais, as questões sobre as consequências penais extrapolam o </w:t>
      </w:r>
      <w:r w:rsidR="001F30EB">
        <w:t>limite cognitivo do juízo de imputação delitiva, próprio desta fase de conhecimento</w:t>
      </w:r>
      <w:r w:rsidR="00772A2B">
        <w:t xml:space="preserve">, porquanto desinfluentes para a caracterização dos elementos do tipo de injusto punível </w:t>
      </w:r>
      <w:r w:rsidR="00C942F3">
        <w:t>e a comprovação de sua ocorrência no plano fático.</w:t>
      </w:r>
    </w:p>
    <w:p w14:paraId="37D0A841" w14:textId="313D9DEB" w:rsidR="008B31EA" w:rsidRDefault="00C942F3" w:rsidP="00877419">
      <w:pPr>
        <w:pStyle w:val="PargrafodaLista"/>
        <w:ind w:left="0"/>
        <w:contextualSpacing w:val="0"/>
      </w:pPr>
      <w:r>
        <w:t xml:space="preserve">Mantem-se </w:t>
      </w:r>
      <w:proofErr w:type="gramStart"/>
      <w:r>
        <w:t>incólume</w:t>
      </w:r>
      <w:proofErr w:type="gramEnd"/>
      <w:r>
        <w:t>, portanto, a sentença vergastada.</w:t>
      </w:r>
    </w:p>
    <w:p w14:paraId="02992254" w14:textId="77777777" w:rsidR="008B31EA" w:rsidRDefault="008B31EA" w:rsidP="00877419">
      <w:pPr>
        <w:pStyle w:val="PargrafodaLista"/>
        <w:ind w:left="0"/>
        <w:contextualSpacing w:val="0"/>
      </w:pPr>
    </w:p>
    <w:p w14:paraId="622D8369" w14:textId="4ADF04F1" w:rsidR="00CB7901" w:rsidRDefault="00CB7901" w:rsidP="00A8238C">
      <w:pPr>
        <w:pStyle w:val="PargrafodaLista"/>
        <w:ind w:left="0"/>
        <w:contextualSpacing w:val="0"/>
      </w:pPr>
      <w:r>
        <w:t>II.III – DOS HONORÁRIOS DATIVOS</w:t>
      </w:r>
    </w:p>
    <w:p w14:paraId="0150BA72" w14:textId="0118A3E1" w:rsidR="00227848" w:rsidRPr="00165CAA" w:rsidRDefault="00A8238C" w:rsidP="00A8238C">
      <w:pPr>
        <w:pStyle w:val="PargrafodaLista"/>
        <w:ind w:left="0"/>
        <w:contextualSpacing w:val="0"/>
        <w:rPr>
          <w:b/>
          <w:bCs/>
          <w:u w:val="single"/>
        </w:rPr>
      </w:pPr>
      <w:r>
        <w:t xml:space="preserve">Com base no </w:t>
      </w:r>
      <w:r w:rsidR="00920B0A">
        <w:t xml:space="preserve">item 1.14 da tabela anexa à Resolução Conjunta </w:t>
      </w:r>
      <w:r w:rsidR="009D59CA">
        <w:t>n</w:t>
      </w:r>
      <w:r w:rsidR="00584C45">
        <w:t>.</w:t>
      </w:r>
      <w:r w:rsidR="009D59CA">
        <w:t xml:space="preserve"> 6/2024 – PGE/SEFA</w:t>
      </w:r>
      <w:r w:rsidR="0050271C">
        <w:t xml:space="preserve">, arbitra-se em R$ 700,00 (setecentos reais) os honorários dativos à advogada </w:t>
      </w:r>
      <w:r w:rsidR="00584C45">
        <w:t xml:space="preserve">Marisa Figueira, inscrita na OAB/PR sob o n. 67.789 (evento </w:t>
      </w:r>
      <w:r w:rsidR="00227848">
        <w:t xml:space="preserve">45.1 – autos de origem), </w:t>
      </w:r>
      <w:r w:rsidR="00227848" w:rsidRPr="00165CAA">
        <w:rPr>
          <w:b/>
          <w:bCs/>
          <w:u w:val="single"/>
        </w:rPr>
        <w:t>servindo o presente pronunciamento como certidão para fins de requerimento administrativo da respectiva verba.</w:t>
      </w:r>
    </w:p>
    <w:p w14:paraId="2DEAF27D" w14:textId="110D6874" w:rsidR="00A8238C" w:rsidRDefault="00A8238C" w:rsidP="00A8238C">
      <w:pPr>
        <w:pStyle w:val="PargrafodaLista"/>
        <w:ind w:left="0"/>
        <w:contextualSpacing w:val="0"/>
      </w:pPr>
    </w:p>
    <w:p w14:paraId="4F9B449E" w14:textId="59B84A37" w:rsidR="00AA28DF" w:rsidRDefault="00CB7901" w:rsidP="00877419">
      <w:pPr>
        <w:pStyle w:val="PargrafodaLista"/>
        <w:ind w:left="0"/>
        <w:contextualSpacing w:val="0"/>
      </w:pPr>
      <w:r>
        <w:t xml:space="preserve">II.IV – </w:t>
      </w:r>
      <w:r w:rsidR="00AA28DF">
        <w:t>DA CONCLUSÃO</w:t>
      </w:r>
    </w:p>
    <w:p w14:paraId="12A4456E" w14:textId="39DBA2EE" w:rsidR="00AA28DF" w:rsidRDefault="00AA28DF" w:rsidP="00877419">
      <w:pPr>
        <w:pStyle w:val="PargrafodaLista"/>
        <w:ind w:left="0"/>
        <w:contextualSpacing w:val="0"/>
      </w:pPr>
      <w:r>
        <w:t>Pela conjugação das premissas deduzidas, a conclusão a ser adota</w:t>
      </w:r>
      <w:r w:rsidR="00DC37B4">
        <w:t>da</w:t>
      </w:r>
      <w:r>
        <w:t xml:space="preserve"> consiste </w:t>
      </w:r>
      <w:r w:rsidR="0051675A">
        <w:t>em conhecer</w:t>
      </w:r>
      <w:r w:rsidR="001F4E9B">
        <w:t xml:space="preserve"> em parte </w:t>
      </w:r>
      <w:r w:rsidR="0051675A">
        <w:t>e negar provimento ao recurso.</w:t>
      </w:r>
    </w:p>
    <w:p w14:paraId="4308533E" w14:textId="77777777" w:rsidR="00AA28DF" w:rsidRDefault="00AA28DF" w:rsidP="00877419">
      <w:pPr>
        <w:pStyle w:val="PargrafodaLista"/>
        <w:ind w:left="0"/>
        <w:contextualSpacing w:val="0"/>
      </w:pPr>
      <w:r>
        <w:t>É como voto.</w:t>
      </w:r>
    </w:p>
    <w:p w14:paraId="316E59E6" w14:textId="77777777" w:rsidR="00AA28DF" w:rsidRDefault="00AA28DF" w:rsidP="00877419">
      <w:pPr>
        <w:pStyle w:val="PargrafodaLista"/>
        <w:ind w:left="0"/>
        <w:contextualSpacing w:val="0"/>
      </w:pPr>
    </w:p>
    <w:p w14:paraId="717BA75D" w14:textId="41A6B87C" w:rsidR="00AA28DF" w:rsidRPr="00AA28DF" w:rsidRDefault="00877419" w:rsidP="00877419">
      <w:pPr>
        <w:pStyle w:val="PargrafodaLista"/>
        <w:ind w:left="0"/>
        <w:contextualSpacing w:val="0"/>
        <w:rPr>
          <w:b/>
        </w:rPr>
      </w:pPr>
      <w:r>
        <w:rPr>
          <w:b/>
        </w:rPr>
        <w:t xml:space="preserve">III </w:t>
      </w:r>
      <w:r w:rsidR="0051675A">
        <w:rPr>
          <w:b/>
        </w:rPr>
        <w:t xml:space="preserve">– </w:t>
      </w:r>
      <w:r>
        <w:rPr>
          <w:b/>
        </w:rPr>
        <w:t>DECISÃO</w:t>
      </w:r>
    </w:p>
    <w:sectPr w:rsidR="00AA28DF" w:rsidRPr="00AA28DF" w:rsidSect="00C708E8">
      <w:pgSz w:w="16838" w:h="11906" w:orient="landscape"/>
      <w:pgMar w:top="1701" w:right="1417" w:bottom="1701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B81E31"/>
    <w:multiLevelType w:val="hybridMultilevel"/>
    <w:tmpl w:val="C55E378C"/>
    <w:lvl w:ilvl="0" w:tplc="99A60AC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9" w:hanging="360"/>
      </w:pPr>
    </w:lvl>
    <w:lvl w:ilvl="2" w:tplc="0416001B" w:tentative="1">
      <w:start w:val="1"/>
      <w:numFmt w:val="lowerRoman"/>
      <w:lvlText w:val="%3."/>
      <w:lvlJc w:val="right"/>
      <w:pPr>
        <w:ind w:left="2509" w:hanging="180"/>
      </w:pPr>
    </w:lvl>
    <w:lvl w:ilvl="3" w:tplc="0416000F" w:tentative="1">
      <w:start w:val="1"/>
      <w:numFmt w:val="decimal"/>
      <w:lvlText w:val="%4."/>
      <w:lvlJc w:val="left"/>
      <w:pPr>
        <w:ind w:left="3229" w:hanging="360"/>
      </w:pPr>
    </w:lvl>
    <w:lvl w:ilvl="4" w:tplc="04160019" w:tentative="1">
      <w:start w:val="1"/>
      <w:numFmt w:val="lowerLetter"/>
      <w:lvlText w:val="%5."/>
      <w:lvlJc w:val="left"/>
      <w:pPr>
        <w:ind w:left="3949" w:hanging="360"/>
      </w:pPr>
    </w:lvl>
    <w:lvl w:ilvl="5" w:tplc="0416001B" w:tentative="1">
      <w:start w:val="1"/>
      <w:numFmt w:val="lowerRoman"/>
      <w:lvlText w:val="%6."/>
      <w:lvlJc w:val="right"/>
      <w:pPr>
        <w:ind w:left="4669" w:hanging="180"/>
      </w:pPr>
    </w:lvl>
    <w:lvl w:ilvl="6" w:tplc="0416000F" w:tentative="1">
      <w:start w:val="1"/>
      <w:numFmt w:val="decimal"/>
      <w:lvlText w:val="%7."/>
      <w:lvlJc w:val="left"/>
      <w:pPr>
        <w:ind w:left="5389" w:hanging="360"/>
      </w:pPr>
    </w:lvl>
    <w:lvl w:ilvl="7" w:tplc="04160019" w:tentative="1">
      <w:start w:val="1"/>
      <w:numFmt w:val="lowerLetter"/>
      <w:lvlText w:val="%8."/>
      <w:lvlJc w:val="left"/>
      <w:pPr>
        <w:ind w:left="6109" w:hanging="360"/>
      </w:pPr>
    </w:lvl>
    <w:lvl w:ilvl="8" w:tplc="0416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3669550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72942"/>
    <w:rsid w:val="000264EB"/>
    <w:rsid w:val="000266AF"/>
    <w:rsid w:val="0003339C"/>
    <w:rsid w:val="00051BAD"/>
    <w:rsid w:val="00090DE5"/>
    <w:rsid w:val="00095154"/>
    <w:rsid w:val="000B1AA6"/>
    <w:rsid w:val="000F6BF8"/>
    <w:rsid w:val="00107B9C"/>
    <w:rsid w:val="001367E9"/>
    <w:rsid w:val="00146748"/>
    <w:rsid w:val="00154839"/>
    <w:rsid w:val="00165C47"/>
    <w:rsid w:val="00165CAA"/>
    <w:rsid w:val="00175538"/>
    <w:rsid w:val="001860E9"/>
    <w:rsid w:val="001C2D4C"/>
    <w:rsid w:val="001F30EB"/>
    <w:rsid w:val="001F4E9B"/>
    <w:rsid w:val="002035F0"/>
    <w:rsid w:val="00221CC3"/>
    <w:rsid w:val="00227848"/>
    <w:rsid w:val="002508BB"/>
    <w:rsid w:val="00254E2B"/>
    <w:rsid w:val="00270785"/>
    <w:rsid w:val="002F29A1"/>
    <w:rsid w:val="00302E31"/>
    <w:rsid w:val="00340290"/>
    <w:rsid w:val="003648AC"/>
    <w:rsid w:val="00386DE2"/>
    <w:rsid w:val="003926F7"/>
    <w:rsid w:val="003B519F"/>
    <w:rsid w:val="003C07B1"/>
    <w:rsid w:val="003C18E2"/>
    <w:rsid w:val="003C544B"/>
    <w:rsid w:val="0040000A"/>
    <w:rsid w:val="0043177B"/>
    <w:rsid w:val="00442865"/>
    <w:rsid w:val="00445FB4"/>
    <w:rsid w:val="00464EED"/>
    <w:rsid w:val="0047210C"/>
    <w:rsid w:val="004E1413"/>
    <w:rsid w:val="005018D9"/>
    <w:rsid w:val="0050271C"/>
    <w:rsid w:val="0050352E"/>
    <w:rsid w:val="0051675A"/>
    <w:rsid w:val="00535603"/>
    <w:rsid w:val="00584C45"/>
    <w:rsid w:val="005A0D6B"/>
    <w:rsid w:val="005A18C8"/>
    <w:rsid w:val="005B4039"/>
    <w:rsid w:val="0063620C"/>
    <w:rsid w:val="00672942"/>
    <w:rsid w:val="006A3CD6"/>
    <w:rsid w:val="006D0295"/>
    <w:rsid w:val="007112B7"/>
    <w:rsid w:val="00727437"/>
    <w:rsid w:val="0076317E"/>
    <w:rsid w:val="00772A2B"/>
    <w:rsid w:val="007919BC"/>
    <w:rsid w:val="00794062"/>
    <w:rsid w:val="007B1906"/>
    <w:rsid w:val="00814574"/>
    <w:rsid w:val="00866489"/>
    <w:rsid w:val="00866E12"/>
    <w:rsid w:val="00875B9B"/>
    <w:rsid w:val="00877419"/>
    <w:rsid w:val="008B31EA"/>
    <w:rsid w:val="008C65C9"/>
    <w:rsid w:val="00920B0A"/>
    <w:rsid w:val="00944F9E"/>
    <w:rsid w:val="009668FB"/>
    <w:rsid w:val="00973737"/>
    <w:rsid w:val="009839EF"/>
    <w:rsid w:val="009D0D3E"/>
    <w:rsid w:val="009D59CA"/>
    <w:rsid w:val="009E0E5C"/>
    <w:rsid w:val="00A36FB1"/>
    <w:rsid w:val="00A8238C"/>
    <w:rsid w:val="00AA28DF"/>
    <w:rsid w:val="00AE0C63"/>
    <w:rsid w:val="00AE1FD2"/>
    <w:rsid w:val="00AE47D1"/>
    <w:rsid w:val="00AE6FA0"/>
    <w:rsid w:val="00AF6C16"/>
    <w:rsid w:val="00B0652D"/>
    <w:rsid w:val="00B06584"/>
    <w:rsid w:val="00B95F21"/>
    <w:rsid w:val="00B974F9"/>
    <w:rsid w:val="00BB1BE9"/>
    <w:rsid w:val="00BC64BE"/>
    <w:rsid w:val="00BE0852"/>
    <w:rsid w:val="00C05028"/>
    <w:rsid w:val="00C40F2B"/>
    <w:rsid w:val="00C708E8"/>
    <w:rsid w:val="00C9260E"/>
    <w:rsid w:val="00C942F3"/>
    <w:rsid w:val="00CB2D83"/>
    <w:rsid w:val="00CB4F09"/>
    <w:rsid w:val="00CB7901"/>
    <w:rsid w:val="00D37894"/>
    <w:rsid w:val="00D612BB"/>
    <w:rsid w:val="00DB6567"/>
    <w:rsid w:val="00DC2A0B"/>
    <w:rsid w:val="00DC37B4"/>
    <w:rsid w:val="00DD2B63"/>
    <w:rsid w:val="00E35FD1"/>
    <w:rsid w:val="00E42F78"/>
    <w:rsid w:val="00E8557E"/>
    <w:rsid w:val="00EA4010"/>
    <w:rsid w:val="00EE4554"/>
    <w:rsid w:val="00EE5C54"/>
    <w:rsid w:val="00EF0860"/>
    <w:rsid w:val="00F27482"/>
    <w:rsid w:val="00F27530"/>
    <w:rsid w:val="00F27D6C"/>
    <w:rsid w:val="00F46946"/>
    <w:rsid w:val="00F53EC1"/>
    <w:rsid w:val="00F81F85"/>
    <w:rsid w:val="00FB0059"/>
    <w:rsid w:val="00FB353A"/>
    <w:rsid w:val="00FE0C12"/>
    <w:rsid w:val="00FE68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B85615"/>
  <w15:chartTrackingRefBased/>
  <w15:docId w15:val="{E71B5493-078B-43B1-8B3D-80B00A759A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65C47"/>
    <w:pPr>
      <w:spacing w:after="240" w:line="360" w:lineRule="auto"/>
      <w:ind w:firstLine="709"/>
      <w:jc w:val="both"/>
    </w:pPr>
    <w:rPr>
      <w:rFonts w:ascii="Times New Roman" w:hAnsi="Times New Roman"/>
      <w:sz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tulodoLivro">
    <w:name w:val="Book Title"/>
    <w:aliases w:val="Titulo 1"/>
    <w:basedOn w:val="Fontepargpadro"/>
    <w:uiPriority w:val="33"/>
    <w:qFormat/>
    <w:rsid w:val="00165C47"/>
    <w:rPr>
      <w:rFonts w:ascii="Times New Roman" w:hAnsi="Times New Roman"/>
      <w:b/>
      <w:bCs/>
      <w:i w:val="0"/>
      <w:iCs/>
      <w:spacing w:val="5"/>
      <w:sz w:val="24"/>
    </w:rPr>
  </w:style>
  <w:style w:type="paragraph" w:styleId="SemEspaamento">
    <w:name w:val="No Spacing"/>
    <w:aliases w:val="Ementa"/>
    <w:uiPriority w:val="1"/>
    <w:qFormat/>
    <w:rsid w:val="00165C47"/>
    <w:pPr>
      <w:spacing w:after="360" w:line="360" w:lineRule="auto"/>
      <w:jc w:val="both"/>
    </w:pPr>
    <w:rPr>
      <w:rFonts w:ascii="Times New Roman" w:hAnsi="Times New Roman"/>
      <w:b/>
      <w:caps/>
      <w:sz w:val="24"/>
    </w:rPr>
  </w:style>
  <w:style w:type="paragraph" w:styleId="Citao">
    <w:name w:val="Quote"/>
    <w:basedOn w:val="Normal"/>
    <w:next w:val="Normal"/>
    <w:link w:val="CitaoChar"/>
    <w:uiPriority w:val="29"/>
    <w:qFormat/>
    <w:rsid w:val="00165C47"/>
    <w:pPr>
      <w:shd w:val="clear" w:color="auto" w:fill="FFFFFF"/>
      <w:spacing w:before="600" w:after="600"/>
      <w:ind w:left="2268"/>
    </w:pPr>
    <w:rPr>
      <w:rFonts w:eastAsia="Times New Roman" w:cs="Times New Roman"/>
      <w:spacing w:val="2"/>
      <w:sz w:val="20"/>
      <w:szCs w:val="30"/>
      <w:lang w:eastAsia="pt-BR"/>
    </w:rPr>
  </w:style>
  <w:style w:type="character" w:customStyle="1" w:styleId="CitaoChar">
    <w:name w:val="Citação Char"/>
    <w:basedOn w:val="Fontepargpadro"/>
    <w:link w:val="Citao"/>
    <w:uiPriority w:val="29"/>
    <w:rsid w:val="00165C47"/>
    <w:rPr>
      <w:rFonts w:ascii="Times New Roman" w:eastAsia="Times New Roman" w:hAnsi="Times New Roman" w:cs="Times New Roman"/>
      <w:spacing w:val="2"/>
      <w:sz w:val="20"/>
      <w:szCs w:val="30"/>
      <w:shd w:val="clear" w:color="auto" w:fill="FFFFFF"/>
      <w:lang w:eastAsia="pt-BR"/>
    </w:rPr>
  </w:style>
  <w:style w:type="paragraph" w:styleId="PargrafodaLista">
    <w:name w:val="List Paragraph"/>
    <w:basedOn w:val="Normal"/>
    <w:uiPriority w:val="34"/>
    <w:qFormat/>
    <w:rsid w:val="00AA28D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82365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673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047196AB5BBE5E429A3A4541B64F6B06" ma:contentTypeVersion="10" ma:contentTypeDescription="Crie um novo documento." ma:contentTypeScope="" ma:versionID="561e2fb7a4b2050ed644ab5f56afcb86">
  <xsd:schema xmlns:xsd="http://www.w3.org/2001/XMLSchema" xmlns:xs="http://www.w3.org/2001/XMLSchema" xmlns:p="http://schemas.microsoft.com/office/2006/metadata/properties" xmlns:ns2="c04bd5eb-5da3-4c78-b159-2bc8443a6345" xmlns:ns3="0b1c8c71-5c14-46ef-9c85-f6af5a95de9b" targetNamespace="http://schemas.microsoft.com/office/2006/metadata/properties" ma:root="true" ma:fieldsID="70940b4c58051c96231cc2ff0c54fd50" ns2:_="" ns3:_="">
    <xsd:import namespace="c04bd5eb-5da3-4c78-b159-2bc8443a6345"/>
    <xsd:import namespace="0b1c8c71-5c14-46ef-9c85-f6af5a95de9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04bd5eb-5da3-4c78-b159-2bc8443a634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Marcações de imagem" ma:readOnly="false" ma:fieldId="{5cf76f15-5ced-4ddc-b409-7134ff3c332f}" ma:taxonomyMulti="true" ma:sspId="b67eaf0a-f2cb-4adb-8ec3-a80bcab9db5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b1c8c71-5c14-46ef-9c85-f6af5a95de9b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e74af078-3d5b-4a80-9ae6-49a763dfa133}" ma:internalName="TaxCatchAll" ma:showField="CatchAllData" ma:web="0b1c8c71-5c14-46ef-9c85-f6af5a95de9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0b1c8c71-5c14-46ef-9c85-f6af5a95de9b" xsi:nil="true"/>
    <lcf76f155ced4ddcb4097134ff3c332f xmlns="c04bd5eb-5da3-4c78-b159-2bc8443a6345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1D75B026-B2AE-42DC-8951-55F2071FA656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D712E4AE-2240-4822-A21F-2263F9150F5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04bd5eb-5da3-4c78-b159-2bc8443a6345"/>
    <ds:schemaRef ds:uri="0b1c8c71-5c14-46ef-9c85-f6af5a95de9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B20BBA1B-C17B-48AE-871E-FD5DA2C7C0CD}">
  <ds:schemaRefs>
    <ds:schemaRef ds:uri="http://schemas.microsoft.com/office/2006/metadata/properties"/>
    <ds:schemaRef ds:uri="http://schemas.microsoft.com/office/infopath/2007/PartnerControls"/>
    <ds:schemaRef ds:uri="0b1c8c71-5c14-46ef-9c85-f6af5a95de9b"/>
    <ds:schemaRef ds:uri="c04bd5eb-5da3-4c78-b159-2bc8443a6345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151</TotalTime>
  <Pages>1</Pages>
  <Words>976</Words>
  <Characters>5691</Characters>
  <Application>Microsoft Office Word</Application>
  <DocSecurity>0</DocSecurity>
  <Lines>87</Lines>
  <Paragraphs>42</Paragraphs>
  <ScaleCrop>false</ScaleCrop>
  <Company>Tribunal de Justiça do Estado do Paraná</Company>
  <LinksUpToDate>false</LinksUpToDate>
  <CharactersWithSpaces>6636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Cleysson Willian Vilaca de Jesus</dc:creator>
  <cp:keywords/>
  <dc:description/>
  <cp:lastModifiedBy>Cleysson Willian Vilaca de Jesus</cp:lastModifiedBy>
  <cp:revision>105</cp:revision>
  <cp:lastPrinted>2025-07-11T18:35:00Z</cp:lastPrinted>
  <dcterms:created xsi:type="dcterms:W3CDTF">2025-10-31T12:34:00Z</dcterms:created>
  <dcterms:modified xsi:type="dcterms:W3CDTF">2025-11-04T18:29:00Z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0x010100047196AB5BBE5E429A3A4541B64F6B06</vt:lpwstr>
  </property>
  <property fmtid="{D5CDD505-2E9C-101B-9397-08002B2CF9AE}" pid="3" name="Order">
    <vt:r8>371800</vt:r8>
  </property>
  <property fmtid="{D5CDD505-2E9C-101B-9397-08002B2CF9AE}" pid="4" name="docLang">
    <vt:lpwstr>pt</vt:lpwstr>
  </property>
  <property fmtid="{D5CDD505-2E9C-101B-9397-08002B2CF9AE}" pid="5" name="MediaServiceImageTags">
    <vt:lpwstr/>
  </property>
</Properties>
</file>