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7F8E" w:rsidP="04D1C844" w:rsidRDefault="00157F8E" w14:paraId="690AE394" w14:textId="1BA7BCE6">
      <w:pPr>
        <w:ind w:firstLine="0"/>
        <w:rPr>
          <w:b w:val="1"/>
          <w:bCs w:val="1"/>
        </w:rPr>
      </w:pPr>
      <w:r w:rsidRPr="04D1C844" w:rsidR="00157F8E">
        <w:rPr>
          <w:b w:val="1"/>
          <w:bCs w:val="1"/>
        </w:rPr>
        <w:t>DIREITO PENAL E PROCESSUAL PENAL.</w:t>
      </w:r>
      <w:r w:rsidRPr="04D1C844" w:rsidR="009A3DA6">
        <w:rPr>
          <w:b w:val="1"/>
          <w:bCs w:val="1"/>
        </w:rPr>
        <w:t xml:space="preserve"> RECURSO EM SENTIDO ESTRITO. </w:t>
      </w:r>
      <w:r w:rsidRPr="04D1C844" w:rsidR="004565E9">
        <w:rPr>
          <w:b w:val="1"/>
          <w:bCs w:val="1"/>
        </w:rPr>
        <w:t xml:space="preserve">PRISÃO PREVENTIVA. </w:t>
      </w:r>
      <w:r w:rsidRPr="04D1C844" w:rsidR="004565E9">
        <w:rPr>
          <w:b w:val="1"/>
          <w:bCs w:val="1"/>
          <w:i w:val="1"/>
          <w:iCs w:val="1"/>
        </w:rPr>
        <w:t xml:space="preserve">PERICULUM </w:t>
      </w:r>
      <w:r w:rsidRPr="04D1C844" w:rsidR="004565E9">
        <w:rPr>
          <w:b w:val="1"/>
          <w:bCs w:val="1"/>
          <w:i w:val="1"/>
          <w:iCs w:val="1"/>
        </w:rPr>
        <w:t>LIBERTATIS</w:t>
      </w:r>
      <w:r w:rsidRPr="04D1C844" w:rsidR="004565E9">
        <w:rPr>
          <w:b w:val="1"/>
          <w:bCs w:val="1"/>
        </w:rPr>
        <w:t xml:space="preserve">. </w:t>
      </w:r>
      <w:r w:rsidRPr="04D1C844" w:rsidR="007964BC">
        <w:rPr>
          <w:b w:val="1"/>
          <w:bCs w:val="1"/>
          <w:i w:val="1"/>
          <w:iCs w:val="1"/>
        </w:rPr>
        <w:t>MODUS OPERANDI</w:t>
      </w:r>
      <w:r w:rsidRPr="04D1C844" w:rsidR="007964BC">
        <w:rPr>
          <w:b w:val="1"/>
          <w:bCs w:val="1"/>
        </w:rPr>
        <w:t xml:space="preserve">. GRAVIDADE CONCRETA. PERICULOSIDADE SOCIAL. RISCO DE </w:t>
      </w:r>
      <w:r w:rsidRPr="04D1C844" w:rsidR="004565E9">
        <w:rPr>
          <w:b w:val="1"/>
          <w:bCs w:val="1"/>
        </w:rPr>
        <w:t>REITERAÇÃO DELITIVA. GARANTIA DA ORDEM PÚBLICA.</w:t>
      </w:r>
      <w:r w:rsidRPr="04D1C844" w:rsidR="007964BC">
        <w:rPr>
          <w:b w:val="1"/>
          <w:bCs w:val="1"/>
        </w:rPr>
        <w:t xml:space="preserve"> QUEBRA DE SIGILO</w:t>
      </w:r>
      <w:r w:rsidRPr="04D1C844" w:rsidR="003C638E">
        <w:rPr>
          <w:b w:val="1"/>
          <w:bCs w:val="1"/>
        </w:rPr>
        <w:t>.</w:t>
      </w:r>
    </w:p>
    <w:p w:rsidR="00146748" w:rsidP="00146748" w:rsidRDefault="00146748" w14:paraId="153FB66C" w14:textId="46D4B404">
      <w:pPr>
        <w:ind w:firstLine="0"/>
        <w:rPr>
          <w:b/>
        </w:rPr>
      </w:pPr>
      <w:r w:rsidRPr="00146748">
        <w:rPr>
          <w:b/>
        </w:rPr>
        <w:t>I. CASO EM EXAME</w:t>
      </w:r>
    </w:p>
    <w:p w:rsidRPr="00146748" w:rsidR="00022516" w:rsidP="00146748" w:rsidRDefault="00022516" w14:paraId="07E8DDDA" w14:textId="21D99C85">
      <w:pPr>
        <w:ind w:firstLine="0"/>
        <w:rPr>
          <w:b/>
        </w:rPr>
      </w:pPr>
      <w:r>
        <w:rPr>
          <w:b/>
        </w:rPr>
        <w:t xml:space="preserve">Recurso em sentido estrito interposto contra </w:t>
      </w:r>
      <w:r w:rsidR="00556541">
        <w:rPr>
          <w:b/>
        </w:rPr>
        <w:t xml:space="preserve">decisão que rejeitou pedidos de decretação de prisão preventiva e quebra de sigilo de </w:t>
      </w:r>
      <w:r w:rsidR="003C638E">
        <w:rPr>
          <w:b/>
        </w:rPr>
        <w:t xml:space="preserve">eventuais dispositivos a serem localizados sob a posse do imputado no momento da </w:t>
      </w:r>
      <w:r w:rsidR="00597E1B">
        <w:rPr>
          <w:b/>
        </w:rPr>
        <w:t>prisão.</w:t>
      </w:r>
    </w:p>
    <w:p w:rsidRPr="00146748" w:rsidR="00146748" w:rsidP="00146748" w:rsidRDefault="00146748" w14:paraId="02435230" w14:textId="2D824473">
      <w:pPr>
        <w:ind w:firstLine="0"/>
        <w:rPr>
          <w:b/>
        </w:rPr>
      </w:pPr>
      <w:r w:rsidRPr="00146748">
        <w:rPr>
          <w:b/>
        </w:rPr>
        <w:t>II. QUESTÃO EM DISCUSSÃO</w:t>
      </w:r>
    </w:p>
    <w:p w:rsidRPr="00D7588D" w:rsidR="00D7588D" w:rsidP="00146748" w:rsidRDefault="00D7588D" w14:paraId="19091325" w14:textId="515A4A7E">
      <w:pPr>
        <w:ind w:firstLine="0"/>
        <w:rPr>
          <w:b/>
        </w:rPr>
      </w:pPr>
      <w:r>
        <w:rPr>
          <w:b/>
        </w:rPr>
        <w:t xml:space="preserve">Caracterização do </w:t>
      </w:r>
      <w:r>
        <w:rPr>
          <w:b/>
          <w:i/>
          <w:iCs/>
        </w:rPr>
        <w:t xml:space="preserve">periculum </w:t>
      </w:r>
      <w:proofErr w:type="spellStart"/>
      <w:r>
        <w:rPr>
          <w:b/>
          <w:i/>
          <w:iCs/>
        </w:rPr>
        <w:t>libertatis</w:t>
      </w:r>
      <w:proofErr w:type="spellEnd"/>
      <w:r w:rsidR="00291A02">
        <w:rPr>
          <w:b/>
        </w:rPr>
        <w:t xml:space="preserve"> e necessidade e adequação da prisão preventiva como medida cautelar.</w:t>
      </w:r>
    </w:p>
    <w:p w:rsidR="00146748" w:rsidP="00146748" w:rsidRDefault="00146748" w14:paraId="7BD502AF" w14:textId="7C064EC7">
      <w:pPr>
        <w:ind w:firstLine="0"/>
        <w:rPr>
          <w:b/>
        </w:rPr>
      </w:pPr>
      <w:r w:rsidRPr="00146748">
        <w:rPr>
          <w:b/>
        </w:rPr>
        <w:t>III. RAZÕES DE DECIDIR</w:t>
      </w:r>
    </w:p>
    <w:p w:rsidR="001C3C91" w:rsidP="00146748" w:rsidRDefault="001C3C91" w14:paraId="4DBD0E52" w14:textId="3F58DA52">
      <w:pPr>
        <w:ind w:firstLine="0"/>
        <w:rPr>
          <w:b/>
        </w:rPr>
      </w:pPr>
      <w:proofErr w:type="spellStart"/>
      <w:r>
        <w:rPr>
          <w:b/>
        </w:rPr>
        <w:t>III.I</w:t>
      </w:r>
      <w:proofErr w:type="spellEnd"/>
      <w:r w:rsidR="00647D53">
        <w:rPr>
          <w:b/>
        </w:rPr>
        <w:t xml:space="preserve">. A gravidade concreta do crime e a elevada periculosidade do agente, </w:t>
      </w:r>
      <w:r w:rsidR="00501832">
        <w:rPr>
          <w:b/>
        </w:rPr>
        <w:t xml:space="preserve">matizados no </w:t>
      </w:r>
      <w:r w:rsidR="00501832">
        <w:rPr>
          <w:b/>
          <w:i/>
          <w:iCs/>
        </w:rPr>
        <w:t>modus operandi</w:t>
      </w:r>
      <w:r w:rsidR="00501832">
        <w:rPr>
          <w:b/>
        </w:rPr>
        <w:t>, configuram pressuposto para a decretação da prisão preventiva.</w:t>
      </w:r>
    </w:p>
    <w:p w:rsidR="00A86A3F" w:rsidP="00146748" w:rsidRDefault="001C3C91" w14:paraId="6EAD269B" w14:textId="68DB4863">
      <w:pPr>
        <w:ind w:firstLine="0"/>
        <w:rPr>
          <w:b/>
        </w:rPr>
      </w:pPr>
      <w:proofErr w:type="spellStart"/>
      <w:r>
        <w:rPr>
          <w:b/>
        </w:rPr>
        <w:t>III.II</w:t>
      </w:r>
      <w:proofErr w:type="spellEnd"/>
      <w:r>
        <w:rPr>
          <w:b/>
        </w:rPr>
        <w:t xml:space="preserve">. </w:t>
      </w:r>
      <w:r w:rsidR="00A86A3F">
        <w:rPr>
          <w:b/>
        </w:rPr>
        <w:t xml:space="preserve">A reiteração delitiva, </w:t>
      </w:r>
      <w:r w:rsidR="00F27837">
        <w:rPr>
          <w:b/>
        </w:rPr>
        <w:t xml:space="preserve">inferida </w:t>
      </w:r>
      <w:r>
        <w:rPr>
          <w:b/>
        </w:rPr>
        <w:t xml:space="preserve">por anotações de ações penais em curso, </w:t>
      </w:r>
      <w:r w:rsidR="00A86A3F">
        <w:rPr>
          <w:b/>
        </w:rPr>
        <w:t xml:space="preserve">denota risco concreto de reiteração delitiva </w:t>
      </w:r>
      <w:r w:rsidR="004565E9">
        <w:rPr>
          <w:b/>
        </w:rPr>
        <w:t>a determinar a necessidade e adequação da prisão preventiva para garantia da ordem pública.</w:t>
      </w:r>
    </w:p>
    <w:p w:rsidR="000D2C9A" w:rsidP="00146748" w:rsidRDefault="00056925" w14:paraId="42FB1625" w14:textId="1D8DD3D0">
      <w:pPr>
        <w:ind w:firstLine="0"/>
        <w:rPr>
          <w:b/>
        </w:rPr>
      </w:pPr>
      <w:proofErr w:type="spellStart"/>
      <w:r>
        <w:rPr>
          <w:b/>
        </w:rPr>
        <w:t>III.III</w:t>
      </w:r>
      <w:proofErr w:type="spellEnd"/>
      <w:r>
        <w:rPr>
          <w:b/>
        </w:rPr>
        <w:t xml:space="preserve">. </w:t>
      </w:r>
      <w:r w:rsidRPr="000D2C9A" w:rsidR="000D2C9A">
        <w:rPr>
          <w:b/>
        </w:rPr>
        <w:t>É legítima a quebra de sigilo de dados de aparelhos eletrônicos, quando necessária à elucidação de crimes.</w:t>
      </w:r>
    </w:p>
    <w:p w:rsidRPr="00146748" w:rsidR="00146748" w:rsidP="00146748" w:rsidRDefault="00146748" w14:paraId="6AF28E16" w14:textId="77777777">
      <w:pPr>
        <w:ind w:firstLine="0"/>
        <w:rPr>
          <w:b/>
        </w:rPr>
      </w:pPr>
      <w:r w:rsidRPr="00146748">
        <w:rPr>
          <w:b/>
        </w:rPr>
        <w:t>IV. SOLUÇÃO DO CASO</w:t>
      </w:r>
    </w:p>
    <w:p w:rsidRPr="00146748" w:rsidR="00146748" w:rsidP="00146748" w:rsidRDefault="00146748" w14:paraId="7641D84D" w14:textId="3F85AC8D">
      <w:pPr>
        <w:ind w:firstLine="0"/>
        <w:rPr>
          <w:b/>
        </w:rPr>
      </w:pPr>
      <w:r w:rsidRPr="00146748">
        <w:rPr>
          <w:b/>
        </w:rPr>
        <w:t xml:space="preserve">Recurso conhecido e </w:t>
      </w:r>
      <w:r w:rsidR="00DE77F2">
        <w:rPr>
          <w:b/>
        </w:rPr>
        <w:t>provido.</w:t>
      </w:r>
    </w:p>
    <w:p w:rsidR="00146748" w:rsidP="00146748" w:rsidRDefault="00146748" w14:paraId="34905683" w14:textId="72DC769A">
      <w:pPr>
        <w:ind w:firstLine="0"/>
        <w:rPr>
          <w:b/>
        </w:rPr>
      </w:pPr>
      <w:r w:rsidRPr="00146748">
        <w:rPr>
          <w:b/>
        </w:rPr>
        <w:t>V. JURISPRUDÊNCIA E LEGISLAÇÃO UTILIZADAS</w:t>
      </w:r>
    </w:p>
    <w:p w:rsidR="001C2D4C" w:rsidP="00146748" w:rsidRDefault="001C2D4C" w14:paraId="206717D3" w14:textId="77777777">
      <w:pPr>
        <w:ind w:firstLine="0"/>
        <w:rPr>
          <w:b/>
        </w:rPr>
      </w:pPr>
      <w:r>
        <w:rPr>
          <w:b/>
        </w:rPr>
        <w:t>V. I. Legislação</w:t>
      </w:r>
    </w:p>
    <w:p w:rsidR="00E80A59" w:rsidP="00146748" w:rsidRDefault="00E80A59" w14:paraId="1E429F3C" w14:textId="2B345CA1">
      <w:pPr>
        <w:ind w:firstLine="0"/>
        <w:rPr>
          <w:b/>
        </w:rPr>
      </w:pPr>
      <w:r>
        <w:rPr>
          <w:b/>
        </w:rPr>
        <w:t xml:space="preserve">CPP: </w:t>
      </w:r>
      <w:r w:rsidR="00A83229">
        <w:rPr>
          <w:b/>
        </w:rPr>
        <w:t xml:space="preserve">art. 282, II; </w:t>
      </w:r>
      <w:r>
        <w:rPr>
          <w:b/>
        </w:rPr>
        <w:t>art. 312.</w:t>
      </w:r>
    </w:p>
    <w:p w:rsidR="001C2D4C" w:rsidP="00146748" w:rsidRDefault="001C2D4C" w14:paraId="53E5E578" w14:textId="77777777">
      <w:pPr>
        <w:ind w:firstLine="0"/>
        <w:rPr>
          <w:b/>
        </w:rPr>
      </w:pPr>
      <w:r>
        <w:rPr>
          <w:b/>
        </w:rPr>
        <w:t xml:space="preserve">V. II. </w:t>
      </w:r>
      <w:r w:rsidRPr="00146748" w:rsidR="00146748">
        <w:rPr>
          <w:b/>
        </w:rPr>
        <w:t>Jurisprudência</w:t>
      </w:r>
    </w:p>
    <w:p w:rsidR="00725976" w:rsidP="00146748" w:rsidRDefault="00BE412D" w14:paraId="5B527588" w14:textId="49086D43">
      <w:pPr>
        <w:ind w:firstLine="0"/>
        <w:rPr>
          <w:b/>
        </w:rPr>
      </w:pPr>
      <w:r w:rsidRPr="00BE412D">
        <w:rPr>
          <w:b/>
        </w:rPr>
        <w:t xml:space="preserve">STJ. Sexta Turma. Relator: Ministro Og Fernandes. AgRg no </w:t>
      </w:r>
      <w:proofErr w:type="spellStart"/>
      <w:r w:rsidRPr="00BE412D">
        <w:rPr>
          <w:b/>
        </w:rPr>
        <w:t>RHC</w:t>
      </w:r>
      <w:proofErr w:type="spellEnd"/>
      <w:r w:rsidRPr="00BE412D">
        <w:rPr>
          <w:b/>
        </w:rPr>
        <w:t xml:space="preserve"> n. 218.731/MG. Data de julgamento: 24-9-2025. Data de publicação: 1-10-2025</w:t>
      </w:r>
      <w:r>
        <w:rPr>
          <w:b/>
        </w:rPr>
        <w:t>;</w:t>
      </w:r>
    </w:p>
    <w:p w:rsidRPr="00BE412D" w:rsidR="00BE412D" w:rsidP="00BE412D" w:rsidRDefault="00BE412D" w14:paraId="11EA9CA5" w14:textId="2987A3D3">
      <w:pPr>
        <w:ind w:firstLine="0"/>
        <w:rPr>
          <w:b/>
        </w:rPr>
      </w:pPr>
      <w:proofErr w:type="spellStart"/>
      <w:r w:rsidRPr="00BE412D">
        <w:rPr>
          <w:b/>
        </w:rPr>
        <w:t>TJPR</w:t>
      </w:r>
      <w:proofErr w:type="spellEnd"/>
      <w:r w:rsidRPr="00BE412D">
        <w:rPr>
          <w:b/>
        </w:rPr>
        <w:t>. 3ª Câmara Criminal. 0091332-27.2023.8.16.0000. Relator: Desembargador Mário Nini Azzolini. Data de julgamento: 30-10-2023</w:t>
      </w:r>
      <w:r>
        <w:rPr>
          <w:b/>
        </w:rPr>
        <w:t>;</w:t>
      </w:r>
    </w:p>
    <w:p w:rsidR="00AA28DF" w:rsidP="00F27837" w:rsidRDefault="00BE412D" w14:paraId="019BC04E" w14:textId="0EDB064E">
      <w:pPr>
        <w:ind w:firstLine="0"/>
        <w:rPr>
          <w:b/>
        </w:rPr>
      </w:pPr>
      <w:proofErr w:type="spellStart"/>
      <w:r w:rsidRPr="00BE412D">
        <w:rPr>
          <w:b/>
        </w:rPr>
        <w:t>TJPR</w:t>
      </w:r>
      <w:proofErr w:type="spellEnd"/>
      <w:r w:rsidRPr="00BE412D">
        <w:rPr>
          <w:b/>
        </w:rPr>
        <w:t xml:space="preserve">. 1ª Câmara Criminal. Relator: Desembargador: Desembargador Substituto Sergio Luiz </w:t>
      </w:r>
      <w:proofErr w:type="spellStart"/>
      <w:r w:rsidRPr="00BE412D">
        <w:rPr>
          <w:b/>
        </w:rPr>
        <w:t>Patitucci</w:t>
      </w:r>
      <w:proofErr w:type="spellEnd"/>
      <w:r w:rsidRPr="00BE412D">
        <w:rPr>
          <w:b/>
        </w:rPr>
        <w:t>. 0080500-32.2023.8.16.0000. Colorado. Data de julgamento: 7-10-2023</w:t>
      </w:r>
      <w:r w:rsidR="006C1011">
        <w:rPr>
          <w:b/>
        </w:rPr>
        <w:t>;</w:t>
      </w:r>
    </w:p>
    <w:p w:rsidR="006C1011" w:rsidP="00F27837" w:rsidRDefault="006C1011" w14:paraId="69CF10B6" w14:textId="59F2849F">
      <w:pPr>
        <w:ind w:firstLine="0"/>
        <w:rPr>
          <w:b/>
        </w:rPr>
      </w:pPr>
      <w:r w:rsidRPr="006C1011">
        <w:rPr>
          <w:b/>
        </w:rPr>
        <w:t xml:space="preserve">STJ. Quinta Turma. Relator: Ministro </w:t>
      </w:r>
      <w:proofErr w:type="spellStart"/>
      <w:r w:rsidRPr="006C1011">
        <w:rPr>
          <w:b/>
        </w:rPr>
        <w:t>Messod</w:t>
      </w:r>
      <w:proofErr w:type="spellEnd"/>
      <w:r w:rsidRPr="006C1011">
        <w:rPr>
          <w:b/>
        </w:rPr>
        <w:t xml:space="preserve"> Azulay Neto. AgRg no HC n. 771.217/SP. Data de julgamento: 24-6-2026. Data de publicação: 27-6-2024</w:t>
      </w:r>
      <w:r>
        <w:rPr>
          <w:b/>
        </w:rPr>
        <w:t>.</w:t>
      </w:r>
    </w:p>
    <w:p w:rsidR="00725976" w:rsidP="00AA28DF" w:rsidRDefault="00725976" w14:paraId="05D3B78B" w14:textId="77777777">
      <w:pPr>
        <w:pStyle w:val="PargrafodaLista"/>
        <w:ind w:left="0"/>
        <w:contextualSpacing w:val="0"/>
        <w:rPr>
          <w:b/>
        </w:rPr>
      </w:pPr>
    </w:p>
    <w:p w:rsidR="004218CE" w:rsidP="004218CE" w:rsidRDefault="00AA28DF" w14:paraId="39B4AB3C" w14:textId="77777777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4218CE" w:rsidP="00597937" w:rsidRDefault="00AA28DF" w14:paraId="1C6D003B" w14:textId="7A38AA5F">
      <w:pPr>
        <w:pStyle w:val="PargrafodaLista"/>
        <w:ind w:left="0"/>
        <w:contextualSpacing w:val="0"/>
      </w:pPr>
      <w:r>
        <w:t>Cuida-se de</w:t>
      </w:r>
      <w:r w:rsidR="004B28BE">
        <w:t xml:space="preserve"> recurso em sentido estrito interposto pelo Ministério Público do Estado do Paraná em face de</w:t>
      </w:r>
      <w:r w:rsidR="009673DC">
        <w:t xml:space="preserve"> Rodrigo Augusto Aleixo, </w:t>
      </w:r>
      <w:r w:rsidR="0043116C">
        <w:t>tendo como objeto decisão proferida pelo juízo da 2ª Vara Cível de Umuarama</w:t>
      </w:r>
      <w:r w:rsidR="00E266B4">
        <w:t xml:space="preserve">, que </w:t>
      </w:r>
      <w:r w:rsidR="006C49CA">
        <w:t xml:space="preserve">indeferiu </w:t>
      </w:r>
      <w:r w:rsidR="002B1FF3">
        <w:t xml:space="preserve">pedido de </w:t>
      </w:r>
      <w:r w:rsidR="00B37BEE">
        <w:t>decretação da prisão preventiva e quebra de sigilo de aparelhos de co</w:t>
      </w:r>
      <w:r w:rsidR="004D3080">
        <w:t>municação eventualmente encontrados no momento do cumprimento d</w:t>
      </w:r>
      <w:r w:rsidR="00597937">
        <w:t>o respectivo mandado (evento 16.1 – autos de origem).</w:t>
      </w:r>
    </w:p>
    <w:p w:rsidR="001B2990" w:rsidP="004218CE" w:rsidRDefault="000B27AC" w14:paraId="2C72C65A" w14:textId="6CB3E024">
      <w:pPr>
        <w:pStyle w:val="PargrafodaLista"/>
        <w:spacing/>
        <w:ind w:left="0"/>
        <w:contextualSpacing w:val="0"/>
      </w:pPr>
      <w:r w:rsidR="000B27AC">
        <w:rPr/>
        <w:t xml:space="preserve">Sustenta </w:t>
      </w:r>
      <w:r w:rsidR="00EA69C4">
        <w:rPr/>
        <w:t xml:space="preserve">o </w:t>
      </w:r>
      <w:r w:rsidRPr="04D1C844" w:rsidR="005C2BF1">
        <w:rPr>
          <w:i w:val="1"/>
          <w:iCs w:val="1"/>
        </w:rPr>
        <w:t>Parquet</w:t>
      </w:r>
      <w:r w:rsidRPr="04D1C844" w:rsidR="00EA69C4">
        <w:rPr>
          <w:i w:val="1"/>
          <w:iCs w:val="1"/>
        </w:rPr>
        <w:t xml:space="preserve">, </w:t>
      </w:r>
      <w:r w:rsidR="00EA69C4">
        <w:rPr/>
        <w:t>em síntese, que</w:t>
      </w:r>
      <w:r w:rsidR="00613EC2">
        <w:rPr/>
        <w:t>:</w:t>
      </w:r>
      <w:r w:rsidR="008825DB">
        <w:rPr/>
        <w:t xml:space="preserve"> </w:t>
      </w:r>
      <w:r w:rsidR="00613EC2">
        <w:rPr/>
        <w:t>a) a elevada quantidade de droga, mais de uma tonelada, denota gravidade concreta da conduta;</w:t>
      </w:r>
      <w:r w:rsidR="008825DB">
        <w:rPr/>
        <w:t xml:space="preserve"> </w:t>
      </w:r>
      <w:r w:rsidR="00051876">
        <w:rPr/>
        <w:t>b) há risco de reiteração delitiva, matizad</w:t>
      </w:r>
      <w:r w:rsidR="2DA133E3">
        <w:rPr/>
        <w:t>a</w:t>
      </w:r>
      <w:r w:rsidR="00051876">
        <w:rPr/>
        <w:t xml:space="preserve"> na multiplicidade de anotações criminais;</w:t>
      </w:r>
      <w:r w:rsidR="008825DB">
        <w:rPr/>
        <w:t xml:space="preserve"> </w:t>
      </w:r>
      <w:r w:rsidR="00051876">
        <w:rPr/>
        <w:t>c) a pris</w:t>
      </w:r>
      <w:r w:rsidR="00452010">
        <w:rPr/>
        <w:t xml:space="preserve">ão justifica-se para garantia da aplicação da lei penal, pois o imputado responde a outras duas ações penais que </w:t>
      </w:r>
      <w:r w:rsidR="008E444A">
        <w:rPr/>
        <w:t>estão suspensas em razão de sua não localização para citação pessoal</w:t>
      </w:r>
      <w:r w:rsidR="00F04F1B">
        <w:rPr/>
        <w:t>;</w:t>
      </w:r>
      <w:r w:rsidR="008825DB">
        <w:rPr/>
        <w:t xml:space="preserve"> </w:t>
      </w:r>
      <w:r w:rsidR="00AA67F0">
        <w:rPr/>
        <w:t>d)</w:t>
      </w:r>
      <w:r w:rsidR="00013928">
        <w:rPr/>
        <w:t xml:space="preserve"> </w:t>
      </w:r>
      <w:r w:rsidR="00056925">
        <w:rPr/>
        <w:t xml:space="preserve">a quebra de sigilo de eventuais aparelhos </w:t>
      </w:r>
      <w:r w:rsidR="008825DB">
        <w:rPr/>
        <w:t xml:space="preserve">eletrônicos é essencial para elucidação dos fatos </w:t>
      </w:r>
      <w:r w:rsidR="001B2990">
        <w:rPr/>
        <w:t>(evento 20.1 – autos de origem).</w:t>
      </w:r>
    </w:p>
    <w:p w:rsidR="004218CE" w:rsidP="001B2990" w:rsidRDefault="008E61A9" w14:paraId="69483809" w14:textId="11FA8F7D">
      <w:pPr>
        <w:pStyle w:val="PargrafodaLista"/>
        <w:ind w:left="0"/>
        <w:contextualSpacing w:val="0"/>
        <w:rPr>
          <w:bCs/>
        </w:rPr>
      </w:pPr>
      <w:r>
        <w:rPr>
          <w:bCs/>
        </w:rPr>
        <w:t>Nas con</w:t>
      </w:r>
      <w:r w:rsidR="003C148E">
        <w:rPr>
          <w:bCs/>
        </w:rPr>
        <w:t xml:space="preserve">trarrazões, a defesa manifestou-se pelo desprovimento do recurso, argumentando inexistir justo fundamento para a </w:t>
      </w:r>
      <w:r w:rsidR="007E68F7">
        <w:rPr>
          <w:bCs/>
        </w:rPr>
        <w:t>prisão e ausência de demonstração da impossibilidade de comprovaç</w:t>
      </w:r>
      <w:r w:rsidR="002669D7">
        <w:rPr>
          <w:bCs/>
        </w:rPr>
        <w:t xml:space="preserve">ão da materialidade por outros meios, a exigir quebra de sigilo (evento </w:t>
      </w:r>
      <w:r w:rsidR="00473749">
        <w:rPr>
          <w:bCs/>
        </w:rPr>
        <w:t>50.1 – autos de origem).</w:t>
      </w:r>
    </w:p>
    <w:p w:rsidRPr="003D6FD9" w:rsidR="009528D9" w:rsidP="003D6FD9" w:rsidRDefault="00B51D78" w14:paraId="524C509D" w14:textId="12A74D9D">
      <w:pPr>
        <w:pStyle w:val="PargrafodaLista"/>
        <w:ind w:left="0"/>
        <w:contextualSpacing w:val="0"/>
        <w:rPr>
          <w:bCs/>
        </w:rPr>
      </w:pPr>
      <w:r>
        <w:rPr>
          <w:bCs/>
        </w:rPr>
        <w:t>Opinou a Procuradoria-Geral de Justiça pelo conhecimento e provimento do recurso</w:t>
      </w:r>
      <w:r w:rsidR="003D6FD9">
        <w:rPr>
          <w:bCs/>
        </w:rPr>
        <w:t xml:space="preserve"> (evento 16.1 – autos de origem).</w:t>
      </w:r>
    </w:p>
    <w:p w:rsidR="00AA28DF" w:rsidP="00877419" w:rsidRDefault="00AA28DF" w14:paraId="5A480162" w14:textId="77777777">
      <w:pPr>
        <w:pStyle w:val="PargrafodaLista"/>
        <w:ind w:left="0"/>
        <w:contextualSpacing w:val="0"/>
      </w:pPr>
      <w:r>
        <w:t>É o necessário relato.</w:t>
      </w:r>
    </w:p>
    <w:p w:rsidR="00AA28DF" w:rsidP="00877419" w:rsidRDefault="00AA28DF" w14:paraId="1769E6BE" w14:textId="77777777">
      <w:pPr>
        <w:pStyle w:val="PargrafodaLista"/>
        <w:ind w:left="0"/>
        <w:contextualSpacing w:val="0"/>
      </w:pPr>
    </w:p>
    <w:p w:rsidRPr="00AA28DF" w:rsidR="00AA28DF" w:rsidP="00877419" w:rsidRDefault="00AA28DF" w14:paraId="54C5CE34" w14:textId="77777777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:rsidR="00AA28DF" w:rsidP="00877419" w:rsidRDefault="00AA28DF" w14:paraId="43849029" w14:textId="77777777">
      <w:pPr>
        <w:pStyle w:val="PargrafodaLista"/>
        <w:ind w:left="0"/>
        <w:contextualSpacing w:val="0"/>
      </w:pPr>
      <w:r>
        <w:t>II.I – DO JUÍZO DE ADMISSIBILIDADE</w:t>
      </w:r>
    </w:p>
    <w:p w:rsidR="009F154E" w:rsidP="00877419" w:rsidRDefault="009F154E" w14:paraId="58308699" w14:textId="1FA473F4">
      <w:pPr>
        <w:pStyle w:val="PargrafodaLista"/>
        <w:ind w:left="0"/>
        <w:contextualSpacing w:val="0"/>
      </w:pPr>
      <w:r>
        <w:t>Satisfeitos os pressupostos de admissibilidade recursal, conhece-se do recurso interposto.</w:t>
      </w:r>
    </w:p>
    <w:p w:rsidR="009F154E" w:rsidP="00877419" w:rsidRDefault="009F154E" w14:paraId="5A846A86" w14:textId="77777777">
      <w:pPr>
        <w:pStyle w:val="PargrafodaLista"/>
        <w:ind w:left="0"/>
        <w:contextualSpacing w:val="0"/>
      </w:pPr>
    </w:p>
    <w:p w:rsidR="009F154E" w:rsidP="00877419" w:rsidRDefault="009F154E" w14:paraId="483C3219" w14:textId="17AABA3A">
      <w:pPr>
        <w:pStyle w:val="PargrafodaLista"/>
        <w:ind w:left="0"/>
        <w:contextualSpacing w:val="0"/>
      </w:pPr>
      <w:r>
        <w:t>II.II – DA PRISÃO PREVENTIVA</w:t>
      </w:r>
    </w:p>
    <w:p w:rsidR="00200444" w:rsidP="001C2DA3" w:rsidRDefault="00116507" w14:paraId="20F8CCFA" w14:textId="796C3744">
      <w:pPr>
        <w:pStyle w:val="PargrafodaLista"/>
        <w:ind w:left="0"/>
        <w:contextualSpacing w:val="0"/>
        <w:rPr>
          <w:rFonts w:eastAsia="Times New Roman" w:cs="Times New Roman"/>
          <w:szCs w:val="24"/>
          <w:lang w:eastAsia="pt-BR"/>
        </w:rPr>
      </w:pPr>
      <w:r>
        <w:t xml:space="preserve">Circunscreve-se a controvérsia recursal </w:t>
      </w:r>
      <w:r w:rsidR="00BF756D">
        <w:t xml:space="preserve">ao exame do </w:t>
      </w:r>
      <w:r w:rsidR="00CA37B0">
        <w:rPr>
          <w:i/>
          <w:iCs/>
        </w:rPr>
        <w:t xml:space="preserve">periculum </w:t>
      </w:r>
      <w:proofErr w:type="spellStart"/>
      <w:r w:rsidR="00CA37B0">
        <w:rPr>
          <w:i/>
          <w:iCs/>
        </w:rPr>
        <w:t>libertatis</w:t>
      </w:r>
      <w:proofErr w:type="spellEnd"/>
      <w:r w:rsidR="00CA37B0">
        <w:t xml:space="preserve"> (CPP, art. 312)</w:t>
      </w:r>
      <w:r w:rsidR="00F56BB8">
        <w:rPr>
          <w:rFonts w:eastAsia="Times New Roman" w:cs="Times New Roman"/>
          <w:szCs w:val="24"/>
          <w:lang w:eastAsia="pt-BR"/>
        </w:rPr>
        <w:t>, requisito para decretação de prisão preventiva como medida destinada ao acautelamento da ordem pública</w:t>
      </w:r>
      <w:r w:rsidR="009A2B03">
        <w:rPr>
          <w:rFonts w:eastAsia="Times New Roman" w:cs="Times New Roman"/>
          <w:szCs w:val="24"/>
          <w:lang w:eastAsia="pt-BR"/>
        </w:rPr>
        <w:t xml:space="preserve"> e gar</w:t>
      </w:r>
      <w:r w:rsidR="001C2DA3">
        <w:rPr>
          <w:rFonts w:eastAsia="Times New Roman" w:cs="Times New Roman"/>
          <w:szCs w:val="24"/>
          <w:lang w:eastAsia="pt-BR"/>
        </w:rPr>
        <w:t>antia de eventual aplicação da lei penal.</w:t>
      </w:r>
    </w:p>
    <w:p w:rsidRPr="00CA6042" w:rsidR="00E02927" w:rsidP="00EC11A9" w:rsidRDefault="00FE6D3A" w14:paraId="5135CA0C" w14:textId="4DAD9887">
      <w:pPr>
        <w:pStyle w:val="PargrafodaLista"/>
        <w:ind w:left="0"/>
        <w:contextualSpacing w:val="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A persecução </w:t>
      </w:r>
      <w:r w:rsidR="001736B0">
        <w:rPr>
          <w:rFonts w:eastAsia="Times New Roman" w:cs="Times New Roman"/>
          <w:szCs w:val="24"/>
          <w:lang w:eastAsia="pt-BR"/>
        </w:rPr>
        <w:t>foi iniciada em raz</w:t>
      </w:r>
      <w:r w:rsidR="00D032DA">
        <w:rPr>
          <w:rFonts w:eastAsia="Times New Roman" w:cs="Times New Roman"/>
          <w:szCs w:val="24"/>
          <w:lang w:eastAsia="pt-BR"/>
        </w:rPr>
        <w:t>ão de denúncias indicando a ocorrência de trá</w:t>
      </w:r>
      <w:r w:rsidR="00352775">
        <w:rPr>
          <w:rFonts w:eastAsia="Times New Roman" w:cs="Times New Roman"/>
          <w:szCs w:val="24"/>
          <w:lang w:eastAsia="pt-BR"/>
        </w:rPr>
        <w:t>fico em larga escala, com constantes opera</w:t>
      </w:r>
      <w:r w:rsidR="00FD0749">
        <w:rPr>
          <w:rFonts w:eastAsia="Times New Roman" w:cs="Times New Roman"/>
          <w:szCs w:val="24"/>
          <w:lang w:eastAsia="pt-BR"/>
        </w:rPr>
        <w:t xml:space="preserve">ções logísticas sob responsabilidade de indivíduo </w:t>
      </w:r>
      <w:r w:rsidR="0045225A">
        <w:rPr>
          <w:rFonts w:eastAsia="Times New Roman" w:cs="Times New Roman"/>
          <w:szCs w:val="24"/>
          <w:lang w:eastAsia="pt-BR"/>
        </w:rPr>
        <w:t>conhecido pela alcunha de Rodrigo Negão.</w:t>
      </w:r>
      <w:r w:rsidR="000346FC">
        <w:rPr>
          <w:rFonts w:eastAsia="Times New Roman" w:cs="Times New Roman"/>
          <w:szCs w:val="24"/>
          <w:lang w:eastAsia="pt-BR"/>
        </w:rPr>
        <w:t xml:space="preserve"> Em diligência policial, o </w:t>
      </w:r>
      <w:r w:rsidR="006F1775">
        <w:rPr>
          <w:rFonts w:eastAsia="Times New Roman" w:cs="Times New Roman"/>
          <w:szCs w:val="24"/>
          <w:lang w:eastAsia="pt-BR"/>
        </w:rPr>
        <w:t>imputado foi visualizado no local</w:t>
      </w:r>
      <w:r w:rsidR="00C07897">
        <w:rPr>
          <w:rFonts w:eastAsia="Times New Roman" w:cs="Times New Roman"/>
          <w:szCs w:val="24"/>
          <w:lang w:eastAsia="pt-BR"/>
        </w:rPr>
        <w:t xml:space="preserve"> dos fatos</w:t>
      </w:r>
      <w:r w:rsidR="006F1775">
        <w:rPr>
          <w:rFonts w:eastAsia="Times New Roman" w:cs="Times New Roman"/>
          <w:szCs w:val="24"/>
          <w:lang w:eastAsia="pt-BR"/>
        </w:rPr>
        <w:t xml:space="preserve"> e, ignorando o comando verbal de abordagem</w:t>
      </w:r>
      <w:r w:rsidR="00C07897">
        <w:rPr>
          <w:rFonts w:eastAsia="Times New Roman" w:cs="Times New Roman"/>
          <w:szCs w:val="24"/>
          <w:lang w:eastAsia="pt-BR"/>
        </w:rPr>
        <w:t>, empreendeu fuga</w:t>
      </w:r>
      <w:r w:rsidR="006D6D11">
        <w:rPr>
          <w:rFonts w:eastAsia="Times New Roman" w:cs="Times New Roman"/>
          <w:szCs w:val="24"/>
          <w:lang w:eastAsia="pt-BR"/>
        </w:rPr>
        <w:t>, deixando cair sua carteira com documentos de identificação.</w:t>
      </w:r>
      <w:r w:rsidR="00C07897">
        <w:rPr>
          <w:rFonts w:eastAsia="Times New Roman" w:cs="Times New Roman"/>
          <w:szCs w:val="24"/>
          <w:lang w:eastAsia="pt-BR"/>
        </w:rPr>
        <w:t xml:space="preserve"> Foram </w:t>
      </w:r>
      <w:r w:rsidR="005A2C92">
        <w:rPr>
          <w:rFonts w:eastAsia="Times New Roman" w:cs="Times New Roman"/>
          <w:szCs w:val="24"/>
          <w:lang w:eastAsia="pt-BR"/>
        </w:rPr>
        <w:t>apreendidos</w:t>
      </w:r>
      <w:r w:rsidR="00EC11A9">
        <w:rPr>
          <w:rFonts w:eastAsia="Times New Roman" w:cs="Times New Roman"/>
          <w:szCs w:val="24"/>
          <w:lang w:eastAsia="pt-BR"/>
        </w:rPr>
        <w:t xml:space="preserve"> </w:t>
      </w:r>
      <w:r w:rsidRPr="00EC11A9" w:rsidR="00EC11A9">
        <w:rPr>
          <w:rFonts w:eastAsia="Times New Roman" w:cs="Times New Roman"/>
          <w:szCs w:val="24"/>
          <w:lang w:eastAsia="pt-BR"/>
        </w:rPr>
        <w:t>aproximadamente 1.163,960 kg (uma tonelada, cento e sessenta e três quilos e novecentos e sessenta gramas) de maconha</w:t>
      </w:r>
      <w:r w:rsidRPr="00CA6042" w:rsidR="00DC77BE">
        <w:rPr>
          <w:rFonts w:eastAsia="Times New Roman" w:cs="Times New Roman"/>
          <w:szCs w:val="24"/>
          <w:lang w:eastAsia="pt-BR"/>
        </w:rPr>
        <w:t xml:space="preserve">, armazenados </w:t>
      </w:r>
      <w:r w:rsidRPr="00CA6042" w:rsidR="00CA6042">
        <w:rPr>
          <w:rFonts w:eastAsia="Times New Roman" w:cs="Times New Roman"/>
          <w:szCs w:val="24"/>
          <w:lang w:eastAsia="pt-BR"/>
        </w:rPr>
        <w:t xml:space="preserve">em um barracão, </w:t>
      </w:r>
      <w:r w:rsidRPr="00CA6042" w:rsidR="00DC77BE">
        <w:rPr>
          <w:rFonts w:eastAsia="Times New Roman" w:cs="Times New Roman"/>
          <w:szCs w:val="24"/>
          <w:lang w:eastAsia="pt-BR"/>
        </w:rPr>
        <w:t xml:space="preserve">sob </w:t>
      </w:r>
      <w:r w:rsidRPr="00CA6042" w:rsidR="00CA6042">
        <w:rPr>
          <w:rFonts w:eastAsia="Times New Roman" w:cs="Times New Roman"/>
          <w:szCs w:val="24"/>
          <w:lang w:eastAsia="pt-BR"/>
        </w:rPr>
        <w:t xml:space="preserve">a guarda e vigilância </w:t>
      </w:r>
      <w:r w:rsidRPr="00CA6042" w:rsidR="00DC77BE">
        <w:rPr>
          <w:rFonts w:eastAsia="Times New Roman" w:cs="Times New Roman"/>
          <w:szCs w:val="24"/>
          <w:lang w:eastAsia="pt-BR"/>
        </w:rPr>
        <w:t>do recorrido (evento 1.</w:t>
      </w:r>
      <w:r w:rsidRPr="00CA6042" w:rsidR="007719BF">
        <w:rPr>
          <w:rFonts w:eastAsia="Times New Roman" w:cs="Times New Roman"/>
          <w:szCs w:val="24"/>
          <w:lang w:eastAsia="pt-BR"/>
        </w:rPr>
        <w:t>3 – autos de origem).</w:t>
      </w:r>
    </w:p>
    <w:p w:rsidRPr="008A3E52" w:rsidR="007719BF" w:rsidP="001C2DA3" w:rsidRDefault="008A3E52" w14:paraId="660094F4" w14:textId="6F4620F1">
      <w:pPr>
        <w:pStyle w:val="PargrafodaLista"/>
        <w:ind w:left="0"/>
        <w:contextualSpacing w:val="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i/>
          <w:iCs/>
          <w:szCs w:val="24"/>
          <w:lang w:eastAsia="pt-BR"/>
        </w:rPr>
        <w:t xml:space="preserve">In </w:t>
      </w:r>
      <w:proofErr w:type="spellStart"/>
      <w:r>
        <w:rPr>
          <w:rFonts w:eastAsia="Times New Roman" w:cs="Times New Roman"/>
          <w:i/>
          <w:iCs/>
          <w:szCs w:val="24"/>
          <w:lang w:eastAsia="pt-BR"/>
        </w:rPr>
        <w:t>casu</w:t>
      </w:r>
      <w:proofErr w:type="spellEnd"/>
      <w:r>
        <w:rPr>
          <w:rFonts w:eastAsia="Times New Roman" w:cs="Times New Roman"/>
          <w:szCs w:val="24"/>
          <w:lang w:eastAsia="pt-BR"/>
        </w:rPr>
        <w:t xml:space="preserve">, o modo de execução do crime </w:t>
      </w:r>
      <w:r w:rsidR="006A3175">
        <w:rPr>
          <w:rFonts w:eastAsia="Times New Roman" w:cs="Times New Roman"/>
          <w:szCs w:val="24"/>
          <w:lang w:eastAsia="pt-BR"/>
        </w:rPr>
        <w:t xml:space="preserve">denota elevado grau de </w:t>
      </w:r>
      <w:r w:rsidR="002557CA">
        <w:rPr>
          <w:rFonts w:eastAsia="Times New Roman" w:cs="Times New Roman"/>
          <w:szCs w:val="24"/>
          <w:lang w:eastAsia="pt-BR"/>
        </w:rPr>
        <w:t xml:space="preserve">periculosidade </w:t>
      </w:r>
      <w:r w:rsidR="005E4ADE">
        <w:rPr>
          <w:rFonts w:eastAsia="Times New Roman" w:cs="Times New Roman"/>
          <w:szCs w:val="24"/>
          <w:lang w:eastAsia="pt-BR"/>
        </w:rPr>
        <w:t xml:space="preserve">social do agente e a gravidade concreta do </w:t>
      </w:r>
      <w:r w:rsidR="00A8266D">
        <w:rPr>
          <w:rFonts w:eastAsia="Times New Roman" w:cs="Times New Roman"/>
          <w:szCs w:val="24"/>
          <w:lang w:eastAsia="pt-BR"/>
        </w:rPr>
        <w:t>delito</w:t>
      </w:r>
      <w:r w:rsidR="009B722F">
        <w:rPr>
          <w:rFonts w:eastAsia="Times New Roman" w:cs="Times New Roman"/>
          <w:szCs w:val="24"/>
          <w:lang w:eastAsia="pt-BR"/>
        </w:rPr>
        <w:t xml:space="preserve">. </w:t>
      </w:r>
      <w:r w:rsidR="001F6533">
        <w:rPr>
          <w:rFonts w:eastAsia="Times New Roman" w:cs="Times New Roman"/>
          <w:szCs w:val="24"/>
          <w:lang w:eastAsia="pt-BR"/>
        </w:rPr>
        <w:t xml:space="preserve">Com efeito, o imputado realizava a vigilância e guarda de um </w:t>
      </w:r>
      <w:r w:rsidR="0041003F">
        <w:rPr>
          <w:rFonts w:eastAsia="Times New Roman" w:cs="Times New Roman"/>
          <w:szCs w:val="24"/>
          <w:lang w:eastAsia="pt-BR"/>
        </w:rPr>
        <w:t>barracão</w:t>
      </w:r>
      <w:r w:rsidR="00681F47">
        <w:rPr>
          <w:rFonts w:eastAsia="Times New Roman" w:cs="Times New Roman"/>
          <w:szCs w:val="24"/>
          <w:lang w:eastAsia="pt-BR"/>
        </w:rPr>
        <w:t>,</w:t>
      </w:r>
      <w:r w:rsidR="0041003F">
        <w:rPr>
          <w:rFonts w:eastAsia="Times New Roman" w:cs="Times New Roman"/>
          <w:szCs w:val="24"/>
          <w:lang w:eastAsia="pt-BR"/>
        </w:rPr>
        <w:t xml:space="preserve"> utilizado para armazenamento de vultuosa quantidade</w:t>
      </w:r>
      <w:r w:rsidR="001F6533">
        <w:rPr>
          <w:rFonts w:eastAsia="Times New Roman" w:cs="Times New Roman"/>
          <w:szCs w:val="24"/>
          <w:lang w:eastAsia="pt-BR"/>
        </w:rPr>
        <w:t xml:space="preserve"> e centro de logística para o tráfico de entorpecentes.</w:t>
      </w:r>
    </w:p>
    <w:p w:rsidR="004E2ECB" w:rsidP="001C2DA3" w:rsidRDefault="005E4ADE" w14:paraId="4C123ED7" w14:textId="08E436CA">
      <w:pPr>
        <w:pStyle w:val="PargrafodaLista"/>
        <w:ind w:left="0"/>
        <w:contextualSpacing w:val="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Sobre o tema:</w:t>
      </w:r>
    </w:p>
    <w:p w:rsidR="007719BF" w:rsidP="00542233" w:rsidRDefault="007719BF" w14:paraId="0C8C1E21" w14:textId="77777777">
      <w:pPr>
        <w:spacing w:before="240"/>
        <w:rPr>
          <w:rFonts w:eastAsia="Times New Roman" w:cs="Times New Roman"/>
          <w:szCs w:val="24"/>
          <w:lang w:eastAsia="pt-BR"/>
        </w:rPr>
      </w:pPr>
    </w:p>
    <w:p w:rsidR="007719BF" w:rsidP="004E2ECB" w:rsidRDefault="007719BF" w14:paraId="2F54BAFF" w14:textId="2807271D">
      <w:pPr>
        <w:spacing w:before="240"/>
        <w:ind w:left="2124" w:firstLine="0"/>
        <w:rPr>
          <w:rFonts w:eastAsia="Times New Roman" w:cs="Times New Roman"/>
          <w:sz w:val="20"/>
          <w:szCs w:val="20"/>
          <w:lang w:eastAsia="pt-BR"/>
        </w:rPr>
      </w:pPr>
      <w:r w:rsidRPr="00125130">
        <w:rPr>
          <w:rFonts w:eastAsia="Times New Roman" w:cs="Times New Roman"/>
          <w:sz w:val="20"/>
          <w:szCs w:val="20"/>
          <w:lang w:eastAsia="pt-BR"/>
        </w:rPr>
        <w:t>DIREITO PROCESSUAL PENAL. AGRAVO REGIMENTAL NO RECURSO EM HABEAS CORPUS. PRISÃO PREVENTIVA. EXCESSO DE PRAZO. AGRAVO IMPROVIDO.</w:t>
      </w:r>
      <w:r w:rsidR="00EC406D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125130">
        <w:rPr>
          <w:rFonts w:eastAsia="Times New Roman" w:cs="Times New Roman"/>
          <w:sz w:val="20"/>
          <w:szCs w:val="20"/>
          <w:lang w:eastAsia="pt-BR"/>
        </w:rPr>
        <w:t>1. Agravo regimental interposto contra decisão que negou provimento ao recurso ordinário em habeas corpus, mantendo a prisão preventiva de paciente, preso em flagrante por tráfico de drogas.</w:t>
      </w:r>
      <w:r w:rsidR="004E2ECB"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125130">
        <w:rPr>
          <w:rFonts w:eastAsia="Times New Roman" w:cs="Times New Roman"/>
          <w:sz w:val="20"/>
          <w:szCs w:val="20"/>
          <w:lang w:eastAsia="pt-BR"/>
        </w:rPr>
        <w:t>2. A defesa aponta a existência de cerceamento de defesa na decisão monocrática e de excesso de prazo na conclusão do inquérito policial, uma vez que o agravante está preso provisoriamente há mais de dois meses sem que o Ministério Público tenha oferecido denúncia.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125130">
        <w:rPr>
          <w:rFonts w:eastAsia="Times New Roman" w:cs="Times New Roman"/>
          <w:sz w:val="20"/>
          <w:szCs w:val="20"/>
          <w:lang w:eastAsia="pt-BR"/>
        </w:rPr>
        <w:t>3. A jurisprudência do Superior Tribunal de Justiça, com fundamento em seu Regimento Interno, reconhece o poder do relator de negar provimento a recurso com pedido contrário à jurisprudência da Corte.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125130">
        <w:rPr>
          <w:rFonts w:eastAsia="Times New Roman" w:cs="Times New Roman"/>
          <w:sz w:val="20"/>
          <w:szCs w:val="20"/>
          <w:lang w:eastAsia="pt-BR"/>
        </w:rPr>
        <w:t>4. A prisão preventiva do agravante está validamente fundamentada na gravidade concreta do delito, evidenciada pela quantidade de droga apreendida e pelo modus operandi, justificando a necessidade da medida para garantir a ordem pública.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125130">
        <w:rPr>
          <w:rFonts w:eastAsia="Times New Roman" w:cs="Times New Roman"/>
          <w:sz w:val="20"/>
          <w:szCs w:val="20"/>
          <w:lang w:eastAsia="pt-BR"/>
        </w:rPr>
        <w:t>5. A alegação de que a prisão preventiva é genérica não procede, pois há elementos concretos que indicam a periculosidade do paciente e o risco de reiteração criminosa.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125130">
        <w:rPr>
          <w:rFonts w:eastAsia="Times New Roman" w:cs="Times New Roman"/>
          <w:sz w:val="20"/>
          <w:szCs w:val="20"/>
          <w:lang w:eastAsia="pt-BR"/>
        </w:rPr>
        <w:t>6. Não há excesso de prazo na conclusão do inquérito, considerando a complexidade do crime de tráfico de drogas e as diligências necessárias ao encerramento do procedimento investigatório.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125130">
        <w:rPr>
          <w:rFonts w:eastAsia="Times New Roman" w:cs="Times New Roman"/>
          <w:sz w:val="20"/>
          <w:szCs w:val="20"/>
          <w:lang w:eastAsia="pt-BR"/>
        </w:rPr>
        <w:t>7. Agravo regimental improvido.</w:t>
      </w:r>
      <w:r>
        <w:rPr>
          <w:rFonts w:eastAsia="Times New Roman" w:cs="Times New Roman"/>
          <w:sz w:val="20"/>
          <w:szCs w:val="20"/>
          <w:lang w:eastAsia="pt-BR"/>
        </w:rPr>
        <w:t xml:space="preserve"> (</w:t>
      </w:r>
      <w:bookmarkStart w:name="_Hlk214371810" w:id="0"/>
      <w:r>
        <w:rPr>
          <w:rFonts w:eastAsia="Times New Roman" w:cs="Times New Roman"/>
          <w:sz w:val="20"/>
          <w:szCs w:val="20"/>
          <w:lang w:eastAsia="pt-BR"/>
        </w:rPr>
        <w:t xml:space="preserve">STJ. Sexta Turma. Relator: Ministro Og Fernandes. </w:t>
      </w:r>
      <w:r w:rsidRPr="00125130">
        <w:rPr>
          <w:rFonts w:eastAsia="Times New Roman" w:cs="Times New Roman"/>
          <w:sz w:val="20"/>
          <w:szCs w:val="20"/>
          <w:lang w:eastAsia="pt-BR"/>
        </w:rPr>
        <w:t>AgRg no RHC n. 218.731/MG</w:t>
      </w:r>
      <w:r>
        <w:rPr>
          <w:rFonts w:eastAsia="Times New Roman" w:cs="Times New Roman"/>
          <w:sz w:val="20"/>
          <w:szCs w:val="20"/>
          <w:lang w:eastAsia="pt-BR"/>
        </w:rPr>
        <w:t>. Data de julgamento: 24-9-2025. Data de publicação: 1-10-2025</w:t>
      </w:r>
      <w:bookmarkEnd w:id="0"/>
      <w:r>
        <w:rPr>
          <w:rFonts w:eastAsia="Times New Roman" w:cs="Times New Roman"/>
          <w:sz w:val="20"/>
          <w:szCs w:val="20"/>
          <w:lang w:eastAsia="pt-BR"/>
        </w:rPr>
        <w:t>).</w:t>
      </w:r>
    </w:p>
    <w:p w:rsidR="007719BF" w:rsidP="001C2DA3" w:rsidRDefault="007719BF" w14:paraId="4F7F6F28" w14:textId="77777777">
      <w:pPr>
        <w:pStyle w:val="PargrafodaLista"/>
        <w:ind w:left="0"/>
        <w:contextualSpacing w:val="0"/>
        <w:rPr>
          <w:rFonts w:eastAsia="Times New Roman" w:cs="Times New Roman"/>
          <w:szCs w:val="24"/>
          <w:lang w:eastAsia="pt-BR"/>
        </w:rPr>
      </w:pPr>
    </w:p>
    <w:p w:rsidR="00F56BB8" w:rsidP="04D1C844" w:rsidRDefault="00F80CF2" w14:paraId="78327AE7" w14:textId="4A9CDA18">
      <w:pPr>
        <w:spacing w:before="240"/>
        <w:rPr>
          <w:rFonts w:eastAsia="Times New Roman" w:cs="Times New Roman"/>
          <w:lang w:eastAsia="pt-BR"/>
        </w:rPr>
      </w:pPr>
      <w:r w:rsidRPr="04D1C844" w:rsidR="00F80CF2">
        <w:rPr>
          <w:rFonts w:eastAsia="Times New Roman" w:cs="Times New Roman"/>
          <w:lang w:eastAsia="pt-BR"/>
        </w:rPr>
        <w:t>Ademais, e</w:t>
      </w:r>
      <w:r w:rsidRPr="04D1C844" w:rsidR="005843B5">
        <w:rPr>
          <w:rFonts w:eastAsia="Times New Roman" w:cs="Times New Roman"/>
          <w:lang w:eastAsia="pt-BR"/>
        </w:rPr>
        <w:t xml:space="preserve">mbora tecnicamente primário, o </w:t>
      </w:r>
      <w:r w:rsidRPr="04D1C844" w:rsidR="00D12103">
        <w:rPr>
          <w:rFonts w:eastAsia="Times New Roman" w:cs="Times New Roman"/>
          <w:lang w:eastAsia="pt-BR"/>
        </w:rPr>
        <w:t xml:space="preserve">recorrido </w:t>
      </w:r>
      <w:r w:rsidRPr="04D1C844" w:rsidR="00E95626">
        <w:rPr>
          <w:rFonts w:eastAsia="Times New Roman" w:cs="Times New Roman"/>
          <w:lang w:eastAsia="pt-BR"/>
        </w:rPr>
        <w:t>responde</w:t>
      </w:r>
      <w:r w:rsidRPr="04D1C844" w:rsidR="6A682CB2">
        <w:rPr>
          <w:rFonts w:eastAsia="Times New Roman" w:cs="Times New Roman"/>
          <w:lang w:eastAsia="pt-BR"/>
        </w:rPr>
        <w:t xml:space="preserve"> a</w:t>
      </w:r>
      <w:r w:rsidRPr="04D1C844" w:rsidR="00E95626">
        <w:rPr>
          <w:rFonts w:eastAsia="Times New Roman" w:cs="Times New Roman"/>
          <w:lang w:eastAsia="pt-BR"/>
        </w:rPr>
        <w:t xml:space="preserve"> outras ações penais</w:t>
      </w:r>
      <w:r w:rsidRPr="04D1C844" w:rsidR="00CA04B1">
        <w:rPr>
          <w:rFonts w:eastAsia="Times New Roman" w:cs="Times New Roman"/>
          <w:lang w:eastAsia="pt-BR"/>
        </w:rPr>
        <w:t xml:space="preserve">, </w:t>
      </w:r>
      <w:r w:rsidRPr="04D1C844" w:rsidR="00C45EE8">
        <w:rPr>
          <w:rFonts w:eastAsia="Times New Roman" w:cs="Times New Roman"/>
          <w:lang w:eastAsia="pt-BR"/>
        </w:rPr>
        <w:t>sendo uma delas por tráfico</w:t>
      </w:r>
      <w:r w:rsidRPr="04D1C844" w:rsidR="00F60495">
        <w:rPr>
          <w:rFonts w:eastAsia="Times New Roman" w:cs="Times New Roman"/>
          <w:lang w:eastAsia="pt-BR"/>
        </w:rPr>
        <w:t xml:space="preserve">, por fato praticado pouco antes de um ano </w:t>
      </w:r>
      <w:r w:rsidRPr="04D1C844" w:rsidR="000E779F">
        <w:rPr>
          <w:rFonts w:eastAsia="Times New Roman" w:cs="Times New Roman"/>
          <w:lang w:eastAsia="pt-BR"/>
        </w:rPr>
        <w:t xml:space="preserve">dos ora apurados (evento </w:t>
      </w:r>
      <w:r w:rsidRPr="04D1C844" w:rsidR="00F80CF2">
        <w:rPr>
          <w:rFonts w:eastAsia="Times New Roman" w:cs="Times New Roman"/>
          <w:lang w:eastAsia="pt-BR"/>
        </w:rPr>
        <w:t>10.1</w:t>
      </w:r>
      <w:r w:rsidRPr="04D1C844" w:rsidR="000E779F">
        <w:rPr>
          <w:rFonts w:eastAsia="Times New Roman" w:cs="Times New Roman"/>
          <w:lang w:eastAsia="pt-BR"/>
        </w:rPr>
        <w:t xml:space="preserve"> </w:t>
      </w:r>
      <w:r w:rsidRPr="04D1C844" w:rsidR="009B36EE">
        <w:rPr>
          <w:rFonts w:eastAsia="Times New Roman" w:cs="Times New Roman"/>
          <w:lang w:eastAsia="pt-BR"/>
        </w:rPr>
        <w:t>–</w:t>
      </w:r>
      <w:r w:rsidRPr="04D1C844" w:rsidR="000E779F">
        <w:rPr>
          <w:rFonts w:eastAsia="Times New Roman" w:cs="Times New Roman"/>
          <w:lang w:eastAsia="pt-BR"/>
        </w:rPr>
        <w:t xml:space="preserve"> </w:t>
      </w:r>
      <w:r w:rsidRPr="04D1C844" w:rsidR="009B36EE">
        <w:rPr>
          <w:rFonts w:eastAsia="Times New Roman" w:cs="Times New Roman"/>
          <w:lang w:eastAsia="pt-BR"/>
        </w:rPr>
        <w:t>autos de origem).</w:t>
      </w:r>
    </w:p>
    <w:p w:rsidR="00F56BB8" w:rsidP="04D1C844" w:rsidRDefault="00F56BB8" w14:paraId="356ED3A1" w14:textId="311EADFC">
      <w:pPr>
        <w:spacing w:before="240"/>
        <w:rPr>
          <w:rFonts w:eastAsia="Times New Roman" w:cs="Times New Roman"/>
          <w:lang w:eastAsia="pt-BR"/>
        </w:rPr>
      </w:pPr>
      <w:r w:rsidRPr="04D1C844" w:rsidR="00F56BB8">
        <w:rPr>
          <w:rFonts w:eastAsia="Times New Roman" w:cs="Times New Roman"/>
          <w:lang w:eastAsia="pt-BR"/>
        </w:rPr>
        <w:t xml:space="preserve">A multiplicidade de anotações criminais, inclusive por </w:t>
      </w:r>
      <w:r w:rsidRPr="04D1C844" w:rsidR="00F80CF2">
        <w:rPr>
          <w:rFonts w:eastAsia="Times New Roman" w:cs="Times New Roman"/>
          <w:lang w:eastAsia="pt-BR"/>
        </w:rPr>
        <w:t xml:space="preserve">crime </w:t>
      </w:r>
      <w:r w:rsidRPr="04D1C844" w:rsidR="00EC406D">
        <w:rPr>
          <w:rFonts w:eastAsia="Times New Roman" w:cs="Times New Roman"/>
          <w:lang w:eastAsia="pt-BR"/>
        </w:rPr>
        <w:t>de igual natureza</w:t>
      </w:r>
      <w:r w:rsidRPr="04D1C844" w:rsidR="00F56BB8">
        <w:rPr>
          <w:rFonts w:eastAsia="Times New Roman" w:cs="Times New Roman"/>
          <w:lang w:eastAsia="pt-BR"/>
        </w:rPr>
        <w:t>, configura risco concreto de reiteração delitiva</w:t>
      </w:r>
      <w:r w:rsidRPr="04D1C844" w:rsidR="3ACA48A2">
        <w:rPr>
          <w:rFonts w:eastAsia="Times New Roman" w:cs="Times New Roman"/>
          <w:lang w:eastAsia="pt-BR"/>
        </w:rPr>
        <w:t xml:space="preserve">, por </w:t>
      </w:r>
      <w:r w:rsidRPr="04D1C844" w:rsidR="3ACA48A2">
        <w:rPr>
          <w:rFonts w:eastAsia="Times New Roman" w:cs="Times New Roman"/>
          <w:lang w:eastAsia="pt-BR"/>
        </w:rPr>
        <w:t>anelamento</w:t>
      </w:r>
      <w:r w:rsidRPr="04D1C844" w:rsidR="3ACA48A2">
        <w:rPr>
          <w:rFonts w:eastAsia="Times New Roman" w:cs="Times New Roman"/>
          <w:lang w:eastAsia="pt-BR"/>
        </w:rPr>
        <w:t xml:space="preserve"> à atividade criminosa.</w:t>
      </w:r>
    </w:p>
    <w:p w:rsidR="00542403" w:rsidP="00542403" w:rsidRDefault="00F56BB8" w14:paraId="0B71028F" w14:textId="77777777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Sobre o tema:</w:t>
      </w:r>
    </w:p>
    <w:p w:rsidR="00542403" w:rsidP="00542403" w:rsidRDefault="00542403" w14:paraId="7169A193" w14:textId="77777777">
      <w:pPr>
        <w:spacing w:before="240"/>
        <w:rPr>
          <w:rFonts w:eastAsia="Times New Roman" w:cs="Times New Roman"/>
          <w:szCs w:val="24"/>
          <w:lang w:eastAsia="pt-BR"/>
        </w:rPr>
      </w:pPr>
    </w:p>
    <w:p w:rsidR="00657AE8" w:rsidP="00542403" w:rsidRDefault="00F56BB8" w14:paraId="3F9DB962" w14:textId="2DA3E2E4">
      <w:pPr>
        <w:ind w:left="2268" w:firstLine="0"/>
        <w:rPr>
          <w:rFonts w:eastAsia="Times New Roman" w:cs="Times New Roman"/>
          <w:sz w:val="20"/>
          <w:szCs w:val="24"/>
          <w:lang w:eastAsia="pt-BR"/>
        </w:rPr>
      </w:pPr>
      <w:r w:rsidRPr="00642C21">
        <w:rPr>
          <w:rFonts w:eastAsia="Times New Roman" w:cs="Times New Roman"/>
          <w:sz w:val="20"/>
          <w:szCs w:val="24"/>
          <w:lang w:eastAsia="pt-BR"/>
        </w:rPr>
        <w:t>HABEAS CORPUS. CRIMES</w:t>
      </w:r>
      <w:r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642C21">
        <w:rPr>
          <w:rFonts w:eastAsia="Times New Roman" w:cs="Times New Roman"/>
          <w:sz w:val="20"/>
          <w:szCs w:val="24"/>
          <w:lang w:eastAsia="pt-BR"/>
        </w:rPr>
        <w:t xml:space="preserve">DE ESTUPRO DE VULNERÁVEL. ART. 217-A, CAPUT, DO CÓDIGO PENAL. PEDIDO DE RECONHECIMENTO DE NULIDADE DO INTERROGATÓRIO NÃO CONHECIDO. SUPRESSÃO DE INSTÂNCIA. PEDIDO DE REVOGAÇÃO DA PRISÃO PREVENTIVA NÃO ACOLHIDO. MATERIALIDADE E INDÍCIOS SUFICIENTES DE AUTORIA. GRAVIDADE CONCRETA DA CONDUTA E PERICULOSIDADE DO AGENTE EVIDENCIADAS PELAS CIRCUNSTÂNCIAS DA AÇÃO DELITUOSA. PACIENTE QUE SUPOSTAMENTE SE APROVEITOU DE CARGO EM ORGANIZAÇÃO RELIGIOSA E DA CONFIANÇA DA FAMÍLIA DA VÍTIMA PARA PRATICAR OS CRIMES. VÍTIMA QUE RELATOU AMEAÇAS PARA NÃO COMUNICAR OS FATOS. PERICULOSIDADE ACENTUADA QUE AUTORIZA A DECRETAÇÃO DA PRISÃO. PRECEDENTES DO STJ. </w:t>
      </w:r>
      <w:r w:rsidRPr="00642C21">
        <w:rPr>
          <w:rFonts w:eastAsia="Times New Roman" w:cs="Times New Roman"/>
          <w:b/>
          <w:sz w:val="20"/>
          <w:szCs w:val="24"/>
          <w:lang w:eastAsia="pt-BR"/>
        </w:rPr>
        <w:t>RISCO CONCRETO DE REITERAÇÃO DELITIVA TAMBÉM EVIDENCIADO. EXISTÊNCIA DE OUTRAS ANOTAÇÕES CRIMINAIS E REGISTRO RECENTE DE BOLETIM DE OCORRÊNCIA POR CRIME DA MESMA NATUREZA</w:t>
      </w:r>
      <w:r w:rsidRPr="00642C21">
        <w:rPr>
          <w:rFonts w:eastAsia="Times New Roman" w:cs="Times New Roman"/>
          <w:sz w:val="20"/>
          <w:szCs w:val="24"/>
          <w:lang w:eastAsia="pt-BR"/>
        </w:rPr>
        <w:t xml:space="preserve">. TESE DE INOCÊNCIA QUE DEVERÁ SER ANALISADA PELO JUÍZO CRIMINAL APÓS A INSTRUÇÃO PROBATÓRIA. </w:t>
      </w:r>
      <w:r w:rsidRPr="00642C21">
        <w:rPr>
          <w:rFonts w:eastAsia="Times New Roman" w:cs="Times New Roman"/>
          <w:b/>
          <w:sz w:val="20"/>
          <w:szCs w:val="24"/>
          <w:lang w:eastAsia="pt-BR"/>
        </w:rPr>
        <w:t xml:space="preserve">CONDIÇÕES PESSOAIS INSUFICIENTES PARA AFASTAR A NECESSIDADE DA </w:t>
      </w:r>
      <w:proofErr w:type="gramStart"/>
      <w:r w:rsidR="00542403">
        <w:rPr>
          <w:rFonts w:eastAsia="Times New Roman" w:cs="Times New Roman"/>
          <w:b/>
          <w:sz w:val="20"/>
          <w:szCs w:val="24"/>
          <w:lang w:eastAsia="pt-BR"/>
        </w:rPr>
        <w:t>U</w:t>
      </w:r>
      <w:r w:rsidRPr="00642C21" w:rsidR="00542403">
        <w:rPr>
          <w:rFonts w:eastAsia="Times New Roman" w:cs="Times New Roman"/>
          <w:b/>
          <w:sz w:val="20"/>
          <w:szCs w:val="24"/>
          <w:lang w:eastAsia="pt-BR"/>
        </w:rPr>
        <w:t>LTIMA</w:t>
      </w:r>
      <w:proofErr w:type="gramEnd"/>
      <w:r w:rsidRPr="00642C21">
        <w:rPr>
          <w:rFonts w:eastAsia="Times New Roman" w:cs="Times New Roman"/>
          <w:b/>
          <w:sz w:val="20"/>
          <w:szCs w:val="24"/>
          <w:lang w:eastAsia="pt-BR"/>
        </w:rPr>
        <w:t xml:space="preserve"> RATIO. MEDIDAS CAUTELARES ALTERNATIVAS INADEQUADAS. ORDEM PARCIALMENTE CONHECIDA E, NESTA EXTENSÃO, DENEGADA</w:t>
      </w:r>
      <w:r w:rsidRPr="00642C21">
        <w:rPr>
          <w:rFonts w:eastAsia="Times New Roman" w:cs="Times New Roman"/>
          <w:sz w:val="20"/>
          <w:szCs w:val="24"/>
          <w:lang w:eastAsia="pt-BR"/>
        </w:rPr>
        <w:t>.</w:t>
      </w:r>
      <w:r w:rsidR="00542403"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642C21">
        <w:rPr>
          <w:rFonts w:eastAsia="Times New Roman" w:cs="Times New Roman"/>
          <w:sz w:val="20"/>
          <w:szCs w:val="24"/>
          <w:lang w:eastAsia="pt-BR"/>
        </w:rPr>
        <w:t>(TJPR</w:t>
      </w:r>
      <w:r w:rsidR="00542403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="00657AE8">
        <w:rPr>
          <w:rFonts w:eastAsia="Times New Roman" w:cs="Times New Roman"/>
          <w:sz w:val="20"/>
          <w:szCs w:val="24"/>
          <w:lang w:eastAsia="pt-BR"/>
        </w:rPr>
        <w:t xml:space="preserve">3ª Câmara Criminal. </w:t>
      </w:r>
      <w:r w:rsidRPr="00642C21">
        <w:rPr>
          <w:rFonts w:eastAsia="Times New Roman" w:cs="Times New Roman"/>
          <w:sz w:val="20"/>
          <w:szCs w:val="24"/>
          <w:lang w:eastAsia="pt-BR"/>
        </w:rPr>
        <w:t>0091332-27.2023.8.16.0000</w:t>
      </w:r>
      <w:r w:rsidR="00657AE8">
        <w:rPr>
          <w:rFonts w:eastAsia="Times New Roman" w:cs="Times New Roman"/>
          <w:sz w:val="20"/>
          <w:szCs w:val="24"/>
          <w:lang w:eastAsia="pt-BR"/>
        </w:rPr>
        <w:t>. Relator: Desembargador Mário Nini Azzolini. Data de julgamento: 30-10-2023).</w:t>
      </w:r>
    </w:p>
    <w:p w:rsidR="00657AE8" w:rsidP="00542403" w:rsidRDefault="00657AE8" w14:paraId="4B4250EA" w14:textId="77777777">
      <w:pPr>
        <w:ind w:left="2268" w:firstLine="0"/>
        <w:rPr>
          <w:rFonts w:eastAsia="Times New Roman" w:cs="Times New Roman"/>
          <w:sz w:val="20"/>
          <w:szCs w:val="24"/>
          <w:lang w:eastAsia="pt-BR"/>
        </w:rPr>
      </w:pPr>
    </w:p>
    <w:p w:rsidR="00657AE8" w:rsidP="00542403" w:rsidRDefault="00F56BB8" w14:paraId="4386801B" w14:textId="767130B9">
      <w:pPr>
        <w:ind w:left="2268" w:firstLine="0"/>
        <w:rPr>
          <w:rFonts w:eastAsia="Times New Roman" w:cs="Times New Roman"/>
          <w:sz w:val="20"/>
          <w:szCs w:val="24"/>
          <w:lang w:eastAsia="pt-BR"/>
        </w:rPr>
      </w:pPr>
      <w:r>
        <w:rPr>
          <w:rFonts w:eastAsia="Times New Roman" w:cs="Times New Roman"/>
          <w:sz w:val="20"/>
          <w:szCs w:val="24"/>
          <w:lang w:eastAsia="pt-BR"/>
        </w:rPr>
        <w:t>HABEAS CORPUS CRIME</w:t>
      </w:r>
      <w:r w:rsidRPr="00642C21">
        <w:rPr>
          <w:rFonts w:eastAsia="Times New Roman" w:cs="Times New Roman"/>
          <w:sz w:val="20"/>
          <w:szCs w:val="24"/>
          <w:lang w:eastAsia="pt-BR"/>
        </w:rPr>
        <w:t xml:space="preserve"> – </w:t>
      </w:r>
      <w:r>
        <w:rPr>
          <w:rFonts w:eastAsia="Times New Roman" w:cs="Times New Roman"/>
          <w:sz w:val="20"/>
          <w:szCs w:val="24"/>
          <w:lang w:eastAsia="pt-BR"/>
        </w:rPr>
        <w:t xml:space="preserve">VIOLÊNCIA DOMÉSTICA </w:t>
      </w:r>
      <w:r w:rsidRPr="00642C21">
        <w:rPr>
          <w:rFonts w:eastAsia="Times New Roman" w:cs="Times New Roman"/>
          <w:sz w:val="20"/>
          <w:szCs w:val="24"/>
          <w:lang w:eastAsia="pt-BR"/>
        </w:rPr>
        <w:t>– DESCUMPRIMENTO DE MEDIDA PROTETIVA FACE A MENOR DE IDADE – ART. 25 DA LEI 14.344/22 –</w:t>
      </w:r>
      <w:r>
        <w:rPr>
          <w:rFonts w:eastAsia="Times New Roman" w:cs="Times New Roman"/>
          <w:sz w:val="20"/>
          <w:szCs w:val="24"/>
          <w:lang w:eastAsia="pt-BR"/>
        </w:rPr>
        <w:t xml:space="preserve"> INSURGÊNCIA DA DEFESA </w:t>
      </w:r>
      <w:r w:rsidRPr="00642C21">
        <w:rPr>
          <w:rFonts w:eastAsia="Times New Roman" w:cs="Times New Roman"/>
          <w:sz w:val="20"/>
          <w:szCs w:val="24"/>
          <w:lang w:eastAsia="pt-BR"/>
        </w:rPr>
        <w:t>–</w:t>
      </w:r>
      <w:r>
        <w:rPr>
          <w:rFonts w:eastAsia="Times New Roman" w:cs="Times New Roman"/>
          <w:sz w:val="20"/>
          <w:szCs w:val="24"/>
          <w:lang w:eastAsia="pt-BR"/>
        </w:rPr>
        <w:t xml:space="preserve"> REVOGAÇÃO DA PRISÃO PREVENTIVA – FUMUS </w:t>
      </w:r>
      <w:proofErr w:type="spellStart"/>
      <w:r>
        <w:rPr>
          <w:rFonts w:eastAsia="Times New Roman" w:cs="Times New Roman"/>
          <w:sz w:val="20"/>
          <w:szCs w:val="24"/>
          <w:lang w:eastAsia="pt-BR"/>
        </w:rPr>
        <w:t>COMISSI</w:t>
      </w:r>
      <w:proofErr w:type="spellEnd"/>
      <w:r>
        <w:rPr>
          <w:rFonts w:eastAsia="Times New Roman" w:cs="Times New Roman"/>
          <w:sz w:val="20"/>
          <w:szCs w:val="24"/>
          <w:lang w:eastAsia="pt-BR"/>
        </w:rPr>
        <w:t xml:space="preserve"> DELICTI E PERICULUM </w:t>
      </w:r>
      <w:proofErr w:type="spellStart"/>
      <w:r>
        <w:rPr>
          <w:rFonts w:eastAsia="Times New Roman" w:cs="Times New Roman"/>
          <w:sz w:val="20"/>
          <w:szCs w:val="24"/>
          <w:lang w:eastAsia="pt-BR"/>
        </w:rPr>
        <w:t>LIBERTATIS</w:t>
      </w:r>
      <w:proofErr w:type="spellEnd"/>
      <w:r>
        <w:rPr>
          <w:rFonts w:eastAsia="Times New Roman" w:cs="Times New Roman"/>
          <w:sz w:val="20"/>
          <w:szCs w:val="24"/>
          <w:lang w:eastAsia="pt-BR"/>
        </w:rPr>
        <w:t xml:space="preserve"> DEVIDAMENTE COMPROVADOS – REQUISITOS DA PRISÃO PREVENTIVA QUE SE MOSTRAM PRESENTES – RISCO DE REITERAÇÃO DELITIVA – </w:t>
      </w:r>
      <w:r w:rsidRPr="001067E1">
        <w:rPr>
          <w:rFonts w:eastAsia="Times New Roman" w:cs="Times New Roman"/>
          <w:b/>
          <w:sz w:val="20"/>
          <w:szCs w:val="24"/>
          <w:lang w:eastAsia="pt-BR"/>
        </w:rPr>
        <w:t>PACIENTE COM ANOTAÇÕES CRIMINAIS – GRAVIDADE CONCRETA DA CONDUTA – AUSÊNCIA DE FREIOS INIBITÓRIOS</w:t>
      </w:r>
      <w:r>
        <w:rPr>
          <w:rFonts w:eastAsia="Times New Roman" w:cs="Times New Roman"/>
          <w:sz w:val="20"/>
          <w:szCs w:val="24"/>
          <w:lang w:eastAsia="pt-BR"/>
        </w:rPr>
        <w:t xml:space="preserve"> – MANUTENÇÃO NECESSÁRIA PARA SALVAGUARDAR A INTEGRIDADE FÍSICA E PSICOLÓGICA DA VÍTIMA </w:t>
      </w:r>
      <w:r w:rsidRPr="00642C21">
        <w:rPr>
          <w:rFonts w:eastAsia="Times New Roman" w:cs="Times New Roman"/>
          <w:sz w:val="20"/>
          <w:szCs w:val="24"/>
          <w:lang w:eastAsia="pt-BR"/>
        </w:rPr>
        <w:t xml:space="preserve">– CONSTRANGIMENTO ILEGAL NÃO CONFIGURADO – </w:t>
      </w:r>
      <w:r>
        <w:rPr>
          <w:rFonts w:eastAsia="Times New Roman" w:cs="Times New Roman"/>
          <w:sz w:val="20"/>
          <w:szCs w:val="24"/>
          <w:lang w:eastAsia="pt-BR"/>
        </w:rPr>
        <w:t>PRISÃO PREVENTIVA MANTIDA – ORDEM DENEGADA</w:t>
      </w:r>
      <w:r w:rsidRPr="00642C21">
        <w:rPr>
          <w:rFonts w:eastAsia="Times New Roman" w:cs="Times New Roman"/>
          <w:sz w:val="20"/>
          <w:szCs w:val="24"/>
          <w:lang w:eastAsia="pt-BR"/>
        </w:rPr>
        <w:t>.</w:t>
      </w:r>
      <w:r>
        <w:rPr>
          <w:rFonts w:eastAsia="Times New Roman" w:cs="Times New Roman"/>
          <w:sz w:val="20"/>
          <w:szCs w:val="24"/>
          <w:lang w:eastAsia="pt-BR"/>
        </w:rPr>
        <w:t xml:space="preserve"> </w:t>
      </w:r>
      <w:r w:rsidRPr="00642C21">
        <w:rPr>
          <w:rFonts w:eastAsia="Times New Roman" w:cs="Times New Roman"/>
          <w:sz w:val="20"/>
          <w:szCs w:val="24"/>
          <w:lang w:eastAsia="pt-BR"/>
        </w:rPr>
        <w:t>(TJPR</w:t>
      </w:r>
      <w:r w:rsidR="00657AE8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Pr="00642C21">
        <w:rPr>
          <w:rFonts w:eastAsia="Times New Roman" w:cs="Times New Roman"/>
          <w:sz w:val="20"/>
          <w:szCs w:val="24"/>
          <w:lang w:eastAsia="pt-BR"/>
        </w:rPr>
        <w:t>1ª Câmara Criminal</w:t>
      </w:r>
      <w:r w:rsidR="00657AE8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="009B2C73">
        <w:rPr>
          <w:rFonts w:eastAsia="Times New Roman" w:cs="Times New Roman"/>
          <w:sz w:val="20"/>
          <w:szCs w:val="24"/>
          <w:lang w:eastAsia="pt-BR"/>
        </w:rPr>
        <w:t xml:space="preserve">Relator: Desembargador: Desembargador Substituto Sergio Luiz </w:t>
      </w:r>
      <w:proofErr w:type="spellStart"/>
      <w:r w:rsidR="009B2C73">
        <w:rPr>
          <w:rFonts w:eastAsia="Times New Roman" w:cs="Times New Roman"/>
          <w:sz w:val="20"/>
          <w:szCs w:val="24"/>
          <w:lang w:eastAsia="pt-BR"/>
        </w:rPr>
        <w:t>Patitucci</w:t>
      </w:r>
      <w:proofErr w:type="spellEnd"/>
      <w:r w:rsidR="009B2C73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Pr="00642C21">
        <w:rPr>
          <w:rFonts w:eastAsia="Times New Roman" w:cs="Times New Roman"/>
          <w:sz w:val="20"/>
          <w:szCs w:val="24"/>
          <w:lang w:eastAsia="pt-BR"/>
        </w:rPr>
        <w:t>0080500-32.2023.8.16.0000</w:t>
      </w:r>
      <w:r w:rsidR="00657AE8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Pr="00642C21">
        <w:rPr>
          <w:rFonts w:eastAsia="Times New Roman" w:cs="Times New Roman"/>
          <w:sz w:val="20"/>
          <w:szCs w:val="24"/>
          <w:lang w:eastAsia="pt-BR"/>
        </w:rPr>
        <w:t>Colorado</w:t>
      </w:r>
      <w:r w:rsidR="00657AE8">
        <w:rPr>
          <w:rFonts w:eastAsia="Times New Roman" w:cs="Times New Roman"/>
          <w:sz w:val="20"/>
          <w:szCs w:val="24"/>
          <w:lang w:eastAsia="pt-BR"/>
        </w:rPr>
        <w:t xml:space="preserve">. </w:t>
      </w:r>
      <w:r w:rsidR="009B2C73">
        <w:rPr>
          <w:rFonts w:eastAsia="Times New Roman" w:cs="Times New Roman"/>
          <w:sz w:val="20"/>
          <w:szCs w:val="24"/>
          <w:lang w:eastAsia="pt-BR"/>
        </w:rPr>
        <w:t>Data de julgamento: 7-10-2023).</w:t>
      </w:r>
    </w:p>
    <w:p w:rsidRPr="00542403" w:rsidR="00542403" w:rsidP="00542403" w:rsidRDefault="00542403" w14:paraId="288DE6D7" w14:textId="77777777">
      <w:pPr>
        <w:ind w:left="2268" w:firstLine="0"/>
        <w:rPr>
          <w:rFonts w:eastAsia="Times New Roman" w:cs="Times New Roman"/>
          <w:szCs w:val="24"/>
          <w:lang w:eastAsia="pt-BR"/>
        </w:rPr>
      </w:pPr>
    </w:p>
    <w:p w:rsidR="00D87D55" w:rsidP="00A6029A" w:rsidRDefault="005273D6" w14:paraId="6BBCD397" w14:textId="10B16526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Tais constataç</w:t>
      </w:r>
      <w:r w:rsidR="0084366E">
        <w:rPr>
          <w:rFonts w:eastAsia="Times New Roman" w:cs="Times New Roman"/>
          <w:szCs w:val="24"/>
          <w:lang w:eastAsia="pt-BR"/>
        </w:rPr>
        <w:t>ões denotam a absoluta necessidade e adequação da prisão preventiva, como medida cautelar, para a garantia da or</w:t>
      </w:r>
      <w:r w:rsidR="00A6029A">
        <w:rPr>
          <w:rFonts w:eastAsia="Times New Roman" w:cs="Times New Roman"/>
          <w:szCs w:val="24"/>
          <w:lang w:eastAsia="pt-BR"/>
        </w:rPr>
        <w:t>dem pública</w:t>
      </w:r>
      <w:r w:rsidR="00A83229">
        <w:rPr>
          <w:rFonts w:eastAsia="Times New Roman" w:cs="Times New Roman"/>
          <w:szCs w:val="24"/>
          <w:lang w:eastAsia="pt-BR"/>
        </w:rPr>
        <w:t xml:space="preserve">, </w:t>
      </w:r>
      <w:r w:rsidR="001B0F24">
        <w:rPr>
          <w:rFonts w:eastAsia="Times New Roman" w:cs="Times New Roman"/>
          <w:szCs w:val="24"/>
          <w:lang w:eastAsia="pt-BR"/>
        </w:rPr>
        <w:t>em razão da gravidade concreta</w:t>
      </w:r>
      <w:r w:rsidR="007B3A62">
        <w:rPr>
          <w:rFonts w:eastAsia="Times New Roman" w:cs="Times New Roman"/>
          <w:szCs w:val="24"/>
          <w:lang w:eastAsia="pt-BR"/>
        </w:rPr>
        <w:t xml:space="preserve"> </w:t>
      </w:r>
      <w:r w:rsidR="001B0F24">
        <w:rPr>
          <w:rFonts w:eastAsia="Times New Roman" w:cs="Times New Roman"/>
          <w:szCs w:val="24"/>
          <w:lang w:eastAsia="pt-BR"/>
        </w:rPr>
        <w:t>da conduta, da periculosidade do agente e do risco de reiteração</w:t>
      </w:r>
      <w:r w:rsidR="00A83229">
        <w:rPr>
          <w:rFonts w:eastAsia="Times New Roman" w:cs="Times New Roman"/>
          <w:szCs w:val="24"/>
          <w:lang w:eastAsia="pt-BR"/>
        </w:rPr>
        <w:t xml:space="preserve"> (CPP, art. 282, II).</w:t>
      </w:r>
    </w:p>
    <w:p w:rsidR="00F56BB8" w:rsidP="00F56BB8" w:rsidRDefault="00F56BB8" w14:paraId="57D73A16" w14:textId="77777777">
      <w:pPr>
        <w:spacing w:before="240"/>
        <w:rPr>
          <w:rFonts w:eastAsia="Times New Roman" w:cs="Times New Roman"/>
          <w:szCs w:val="24"/>
          <w:lang w:eastAsia="pt-BR"/>
        </w:rPr>
      </w:pPr>
    </w:p>
    <w:p w:rsidR="00EC11A9" w:rsidP="00EC11A9" w:rsidRDefault="0092513C" w14:paraId="6D77F495" w14:textId="77777777">
      <w:pPr>
        <w:spacing w:before="240"/>
        <w:rPr>
          <w:rFonts w:eastAsia="Times New Roman" w:cs="Times New Roman"/>
          <w:szCs w:val="24"/>
          <w:lang w:eastAsia="pt-BR"/>
        </w:rPr>
      </w:pPr>
      <w:proofErr w:type="spellStart"/>
      <w:r>
        <w:rPr>
          <w:rFonts w:eastAsia="Times New Roman" w:cs="Times New Roman"/>
          <w:szCs w:val="24"/>
          <w:lang w:eastAsia="pt-BR"/>
        </w:rPr>
        <w:t>II.III</w:t>
      </w:r>
      <w:proofErr w:type="spellEnd"/>
      <w:r>
        <w:rPr>
          <w:rFonts w:eastAsia="Times New Roman" w:cs="Times New Roman"/>
          <w:szCs w:val="24"/>
          <w:lang w:eastAsia="pt-BR"/>
        </w:rPr>
        <w:t xml:space="preserve"> – DA QUEBRA DE SIGILO</w:t>
      </w:r>
    </w:p>
    <w:p w:rsidR="00EC11A9" w:rsidP="00EC11A9" w:rsidRDefault="00EC11A9" w14:paraId="4D3B5579" w14:textId="77777777">
      <w:pPr>
        <w:spacing w:before="240"/>
        <w:rPr>
          <w:rFonts w:eastAsia="Times New Roman" w:cs="Times New Roman"/>
          <w:szCs w:val="24"/>
          <w:lang w:eastAsia="pt-BR"/>
        </w:rPr>
      </w:pPr>
      <w:r w:rsidRPr="00EC11A9">
        <w:rPr>
          <w:rFonts w:eastAsia="Times New Roman" w:cs="Times New Roman"/>
          <w:szCs w:val="24"/>
          <w:lang w:eastAsia="pt-BR"/>
        </w:rPr>
        <w:t xml:space="preserve">O Ministério Público insurge-se, ainda, contra o indeferimento do pedido de acesso aos dados constantes nos aparelhos de telefonia móvel que venham a ser apreendidos em poder do recorrido. O juízo </w:t>
      </w:r>
      <w:r w:rsidRPr="00EC11A9">
        <w:rPr>
          <w:rFonts w:eastAsia="Times New Roman" w:cs="Times New Roman"/>
          <w:i/>
          <w:iCs/>
          <w:szCs w:val="24"/>
          <w:lang w:eastAsia="pt-BR"/>
        </w:rPr>
        <w:t>a quo</w:t>
      </w:r>
      <w:r w:rsidRPr="00EC11A9">
        <w:rPr>
          <w:rFonts w:eastAsia="Times New Roman" w:cs="Times New Roman"/>
          <w:szCs w:val="24"/>
          <w:lang w:eastAsia="pt-BR"/>
        </w:rPr>
        <w:t xml:space="preserve"> indeferiu a medida como corolário lógico do indeferimento da prisão preventiva.</w:t>
      </w:r>
    </w:p>
    <w:p w:rsidR="00EC11A9" w:rsidP="00EC11A9" w:rsidRDefault="00EC11A9" w14:paraId="037D3D39" w14:textId="77777777">
      <w:pPr>
        <w:spacing w:before="240"/>
        <w:rPr>
          <w:rFonts w:eastAsia="Times New Roman" w:cs="Times New Roman"/>
          <w:szCs w:val="24"/>
          <w:lang w:eastAsia="pt-BR"/>
        </w:rPr>
      </w:pPr>
      <w:r w:rsidRPr="00EC11A9">
        <w:rPr>
          <w:rFonts w:eastAsia="Times New Roman" w:cs="Times New Roman"/>
          <w:szCs w:val="24"/>
          <w:lang w:eastAsia="pt-BR"/>
        </w:rPr>
        <w:t xml:space="preserve">Com razão o </w:t>
      </w:r>
      <w:r w:rsidRPr="00EC11A9">
        <w:rPr>
          <w:rFonts w:eastAsia="Times New Roman" w:cs="Times New Roman"/>
          <w:i/>
          <w:iCs/>
          <w:szCs w:val="24"/>
          <w:lang w:eastAsia="pt-BR"/>
        </w:rPr>
        <w:t>Parquet</w:t>
      </w:r>
      <w:r w:rsidRPr="00EC11A9">
        <w:rPr>
          <w:rFonts w:eastAsia="Times New Roman" w:cs="Times New Roman"/>
          <w:szCs w:val="24"/>
          <w:lang w:eastAsia="pt-BR"/>
        </w:rPr>
        <w:t>.</w:t>
      </w:r>
    </w:p>
    <w:p w:rsidR="00EC11A9" w:rsidP="00792F56" w:rsidRDefault="00EC11A9" w14:paraId="6505EB9D" w14:textId="65FB60F1">
      <w:pPr>
        <w:spacing w:before="240"/>
        <w:rPr>
          <w:rFonts w:eastAsia="Times New Roman" w:cs="Times New Roman"/>
          <w:szCs w:val="24"/>
          <w:lang w:eastAsia="pt-BR"/>
        </w:rPr>
      </w:pPr>
      <w:r w:rsidRPr="00EC11A9">
        <w:rPr>
          <w:rFonts w:eastAsia="Times New Roman" w:cs="Times New Roman"/>
          <w:szCs w:val="24"/>
          <w:lang w:eastAsia="pt-BR"/>
        </w:rPr>
        <w:t xml:space="preserve">A inviolabilidade do sigilo das comunicações, consagrada no artigo 5º, inciso XII, da </w:t>
      </w:r>
      <w:r w:rsidR="00A0065F">
        <w:rPr>
          <w:rFonts w:eastAsia="Times New Roman" w:cs="Times New Roman"/>
          <w:szCs w:val="24"/>
          <w:lang w:eastAsia="pt-BR"/>
        </w:rPr>
        <w:t>Constituição da República de 1988, não ostenta caráter absoluta.</w:t>
      </w:r>
      <w:r w:rsidR="00792F56">
        <w:rPr>
          <w:rFonts w:eastAsia="Times New Roman" w:cs="Times New Roman"/>
          <w:szCs w:val="24"/>
          <w:lang w:eastAsia="pt-BR"/>
        </w:rPr>
        <w:t xml:space="preserve"> </w:t>
      </w:r>
      <w:r w:rsidRPr="00EC11A9">
        <w:rPr>
          <w:rFonts w:eastAsia="Times New Roman" w:cs="Times New Roman"/>
          <w:szCs w:val="24"/>
          <w:lang w:eastAsia="pt-BR"/>
        </w:rPr>
        <w:t xml:space="preserve">Em </w:t>
      </w:r>
      <w:r w:rsidR="00792F56">
        <w:rPr>
          <w:rFonts w:eastAsia="Times New Roman" w:cs="Times New Roman"/>
          <w:szCs w:val="24"/>
          <w:lang w:eastAsia="pt-BR"/>
        </w:rPr>
        <w:t xml:space="preserve">razão do princípio da vedação da proteção deficiente, </w:t>
      </w:r>
      <w:r w:rsidRPr="00EC11A9">
        <w:rPr>
          <w:rFonts w:eastAsia="Times New Roman" w:cs="Times New Roman"/>
          <w:szCs w:val="24"/>
          <w:lang w:eastAsia="pt-BR"/>
        </w:rPr>
        <w:t>direitos fundamentais podem sofrer limitações quando confrontados com outros valores de igual ou maior relevância constitucional, como a segurança pública e a persecução penal efetiva de crimes graves, devendo-se aplicar o princípio da proporcionalidade e a técnica da ponderação de interesses.</w:t>
      </w:r>
    </w:p>
    <w:p w:rsidR="00185CAD" w:rsidP="00185CAD" w:rsidRDefault="00EC11A9" w14:paraId="45734AAA" w14:textId="1B1BBD6C">
      <w:pPr>
        <w:spacing w:before="240"/>
        <w:rPr>
          <w:rFonts w:eastAsia="Times New Roman" w:cs="Times New Roman"/>
          <w:szCs w:val="24"/>
          <w:lang w:eastAsia="pt-BR"/>
        </w:rPr>
      </w:pPr>
      <w:r w:rsidRPr="00EC11A9">
        <w:rPr>
          <w:rFonts w:eastAsia="Times New Roman" w:cs="Times New Roman"/>
          <w:szCs w:val="24"/>
          <w:lang w:eastAsia="pt-BR"/>
        </w:rPr>
        <w:t xml:space="preserve">No caso em apreço, </w:t>
      </w:r>
      <w:r w:rsidR="00FB6C44">
        <w:rPr>
          <w:rFonts w:eastAsia="Times New Roman" w:cs="Times New Roman"/>
          <w:szCs w:val="24"/>
          <w:lang w:eastAsia="pt-BR"/>
        </w:rPr>
        <w:t>a materialidade delitiva</w:t>
      </w:r>
      <w:r w:rsidR="00185CAD">
        <w:rPr>
          <w:rFonts w:eastAsia="Times New Roman" w:cs="Times New Roman"/>
          <w:szCs w:val="24"/>
          <w:lang w:eastAsia="pt-BR"/>
        </w:rPr>
        <w:t xml:space="preserve"> e autoria estão consubstanciadas</w:t>
      </w:r>
      <w:r w:rsidRPr="00EC11A9">
        <w:rPr>
          <w:rFonts w:eastAsia="Times New Roman" w:cs="Times New Roman"/>
          <w:szCs w:val="24"/>
          <w:lang w:eastAsia="pt-BR"/>
        </w:rPr>
        <w:t xml:space="preserve"> na apreensão de vultosa quantidade de entorpecente</w:t>
      </w:r>
      <w:r w:rsidR="00185CAD">
        <w:rPr>
          <w:rFonts w:eastAsia="Times New Roman" w:cs="Times New Roman"/>
          <w:szCs w:val="24"/>
          <w:lang w:eastAsia="pt-BR"/>
        </w:rPr>
        <w:t xml:space="preserve">, armazenadas pelo imputado. </w:t>
      </w:r>
    </w:p>
    <w:p w:rsidR="00EC11A9" w:rsidP="008C4417" w:rsidRDefault="00EC11A9" w14:paraId="1EE3CE3D" w14:textId="2B76D167">
      <w:pPr>
        <w:spacing w:before="240"/>
        <w:rPr>
          <w:rFonts w:eastAsia="Times New Roman" w:cs="Times New Roman"/>
          <w:szCs w:val="24"/>
          <w:lang w:eastAsia="pt-BR"/>
        </w:rPr>
      </w:pPr>
      <w:r w:rsidRPr="00EC11A9">
        <w:rPr>
          <w:rFonts w:eastAsia="Times New Roman" w:cs="Times New Roman"/>
          <w:szCs w:val="24"/>
          <w:lang w:eastAsia="pt-BR"/>
        </w:rPr>
        <w:t xml:space="preserve">A quantidade da droga apreendida </w:t>
      </w:r>
      <w:r w:rsidR="00185CAD">
        <w:rPr>
          <w:rFonts w:eastAsia="Times New Roman" w:cs="Times New Roman"/>
          <w:szCs w:val="24"/>
          <w:lang w:eastAsia="pt-BR"/>
        </w:rPr>
        <w:t xml:space="preserve">e a informação de utilização do local da apreensão como </w:t>
      </w:r>
      <w:r w:rsidR="00BC1AC7">
        <w:rPr>
          <w:rFonts w:eastAsia="Times New Roman" w:cs="Times New Roman"/>
          <w:szCs w:val="24"/>
          <w:lang w:eastAsia="pt-BR"/>
        </w:rPr>
        <w:t xml:space="preserve">centro de logística, </w:t>
      </w:r>
      <w:r w:rsidR="008C4417">
        <w:rPr>
          <w:rFonts w:eastAsia="Times New Roman" w:cs="Times New Roman"/>
          <w:szCs w:val="24"/>
          <w:lang w:eastAsia="pt-BR"/>
        </w:rPr>
        <w:t xml:space="preserve">indicam que o recorrido não agiu isoladamente. </w:t>
      </w:r>
      <w:r w:rsidRPr="00EC11A9">
        <w:rPr>
          <w:rFonts w:eastAsia="Times New Roman" w:cs="Times New Roman"/>
          <w:szCs w:val="24"/>
          <w:lang w:eastAsia="pt-BR"/>
        </w:rPr>
        <w:t xml:space="preserve">O tráfico de drogas dessa magnitude pressupõe uma </w:t>
      </w:r>
      <w:r w:rsidR="008C4417">
        <w:rPr>
          <w:rFonts w:eastAsia="Times New Roman" w:cs="Times New Roman"/>
          <w:szCs w:val="24"/>
          <w:lang w:eastAsia="pt-BR"/>
        </w:rPr>
        <w:t xml:space="preserve">operação </w:t>
      </w:r>
      <w:r w:rsidRPr="00EC11A9">
        <w:rPr>
          <w:rFonts w:eastAsia="Times New Roman" w:cs="Times New Roman"/>
          <w:szCs w:val="24"/>
          <w:lang w:eastAsia="pt-BR"/>
        </w:rPr>
        <w:t>complexa, envolvendo fornecedores, transportadores, financiadores e destinatários finais. Neste contexto, os aparelhos de telefonia celular constituem, hodiernamente, ferramenta essencial para a comunicação entre os membros de organizações criminosas e para a operacionalização do narcotráfico.</w:t>
      </w:r>
    </w:p>
    <w:p w:rsidRPr="00EC11A9" w:rsidR="00EC11A9" w:rsidP="0011576A" w:rsidRDefault="00EC11A9" w14:paraId="34A845E1" w14:textId="11F37D8E">
      <w:pPr>
        <w:spacing w:before="240"/>
        <w:rPr>
          <w:rFonts w:eastAsia="Times New Roman" w:cs="Times New Roman"/>
          <w:szCs w:val="24"/>
          <w:lang w:eastAsia="pt-BR"/>
        </w:rPr>
      </w:pPr>
      <w:r w:rsidRPr="00EC11A9">
        <w:rPr>
          <w:rFonts w:eastAsia="Times New Roman" w:cs="Times New Roman"/>
          <w:szCs w:val="24"/>
          <w:lang w:eastAsia="pt-BR"/>
        </w:rPr>
        <w:t>O acesso aos dados armazenados</w:t>
      </w:r>
      <w:r w:rsidR="00E80977">
        <w:rPr>
          <w:rFonts w:eastAsia="Times New Roman" w:cs="Times New Roman"/>
          <w:szCs w:val="24"/>
          <w:lang w:eastAsia="pt-BR"/>
        </w:rPr>
        <w:t xml:space="preserve"> em aparelhos telefônicos, computadores ou congêneres são </w:t>
      </w:r>
      <w:r w:rsidRPr="00EC11A9">
        <w:rPr>
          <w:rFonts w:eastAsia="Times New Roman" w:cs="Times New Roman"/>
          <w:szCs w:val="24"/>
          <w:lang w:eastAsia="pt-BR"/>
        </w:rPr>
        <w:t>a única via capaz de descortinar a cadeia de comando e identificar os demais coautores ou partícipes da empreitada criminosa, atendendo aos requisitos da Lei n</w:t>
      </w:r>
      <w:r w:rsidR="00E80977">
        <w:rPr>
          <w:rFonts w:eastAsia="Times New Roman" w:cs="Times New Roman"/>
          <w:szCs w:val="24"/>
          <w:lang w:eastAsia="pt-BR"/>
        </w:rPr>
        <w:t>. 9.296 de 1996</w:t>
      </w:r>
      <w:r w:rsidR="0011576A">
        <w:rPr>
          <w:rFonts w:eastAsia="Times New Roman" w:cs="Times New Roman"/>
          <w:szCs w:val="24"/>
          <w:lang w:eastAsia="pt-BR"/>
        </w:rPr>
        <w:t xml:space="preserve">, aplicável </w:t>
      </w:r>
      <w:r w:rsidRPr="00EC11A9">
        <w:rPr>
          <w:rFonts w:eastAsia="Times New Roman" w:cs="Times New Roman"/>
          <w:szCs w:val="24"/>
          <w:lang w:eastAsia="pt-BR"/>
        </w:rPr>
        <w:t>analogicamente quanto à necessidade de autorização judicial para o acesso a dados sigilosos.</w:t>
      </w:r>
    </w:p>
    <w:p w:rsidR="0011576A" w:rsidP="04D1C844" w:rsidRDefault="00EC11A9" w14:paraId="77D9079B" w14:textId="4BB5ED3C">
      <w:pPr>
        <w:spacing w:before="240"/>
        <w:rPr>
          <w:rFonts w:eastAsia="Times New Roman" w:cs="Times New Roman"/>
          <w:lang w:eastAsia="pt-BR"/>
        </w:rPr>
      </w:pPr>
      <w:r w:rsidRPr="04D1C844" w:rsidR="00EC11A9">
        <w:rPr>
          <w:rFonts w:eastAsia="Times New Roman" w:cs="Times New Roman"/>
          <w:lang w:eastAsia="pt-BR"/>
        </w:rPr>
        <w:t xml:space="preserve">Portanto, o afastamento do sigilo mostra-se adequado, necessário e proporcional em sentido estrito, visando </w:t>
      </w:r>
      <w:r w:rsidRPr="04D1C844" w:rsidR="434D6C0D">
        <w:rPr>
          <w:rFonts w:eastAsia="Times New Roman" w:cs="Times New Roman"/>
          <w:lang w:eastAsia="pt-BR"/>
        </w:rPr>
        <w:t>a</w:t>
      </w:r>
      <w:r w:rsidRPr="04D1C844" w:rsidR="00EC11A9">
        <w:rPr>
          <w:rFonts w:eastAsia="Times New Roman" w:cs="Times New Roman"/>
          <w:lang w:eastAsia="pt-BR"/>
        </w:rPr>
        <w:t>o interesse público na elucidação completa dos fatos.</w:t>
      </w:r>
    </w:p>
    <w:p w:rsidR="0011576A" w:rsidP="0011576A" w:rsidRDefault="0011576A" w14:paraId="6870619A" w14:textId="0731682F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A esse respeito:</w:t>
      </w:r>
    </w:p>
    <w:p w:rsidR="00D01DB2" w:rsidP="0011576A" w:rsidRDefault="00D01DB2" w14:paraId="499394DF" w14:textId="77777777">
      <w:pPr>
        <w:spacing w:before="240"/>
        <w:rPr>
          <w:rFonts w:eastAsia="Times New Roman" w:cs="Times New Roman"/>
          <w:szCs w:val="24"/>
          <w:lang w:eastAsia="pt-BR"/>
        </w:rPr>
      </w:pPr>
    </w:p>
    <w:p w:rsidR="00D01DB2" w:rsidP="00D01DB2" w:rsidRDefault="00D01DB2" w14:paraId="11523388" w14:textId="278961EC">
      <w:pPr>
        <w:ind w:left="2268" w:firstLine="0"/>
        <w:rPr>
          <w:rFonts w:eastAsia="Times New Roman" w:cs="Times New Roman"/>
          <w:sz w:val="20"/>
          <w:szCs w:val="20"/>
          <w:lang w:eastAsia="pt-BR"/>
        </w:rPr>
      </w:pPr>
      <w:r w:rsidRPr="00D01DB2">
        <w:rPr>
          <w:rFonts w:eastAsia="Times New Roman" w:cs="Times New Roman"/>
          <w:sz w:val="20"/>
          <w:szCs w:val="20"/>
          <w:lang w:eastAsia="pt-BR"/>
        </w:rPr>
        <w:t>AGRAVO REGIMENTAL NO HABEAS CORPUS. PROCESSO PENAL. ASSOCIAÇÃO PARA O TRÁFICO DE ENTORPECENTES. NULIDADE. NÃO OCORRÊNCIA. INGRESSO EM DOMICÍLIO. EXISTÊNCIA DE FUNDADAS RAZÕES. NULIDADE DA QUEBRA DE SIGILO DOS DADOS TELEFÔNICOS. INEXISTÊNCIA. DEMONSTRADA A ESSENCIALIDADE DA MEDIDA. QUEBRA DA CADEIA DE CUSTÓDIA DA PROVA DIGITAL. NÃO VERIFICAÇÃO. NECESSIDADE DE REVOLVIMENTO DO CONJUNTO FÁTICO-PROBATÓRIO. IMPOSSIBILIDADE NA VIA ELEITA. DECISÃO AGRAVADA MANTIDA. AGRAVO DESPROVIDO.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sz w:val="20"/>
          <w:szCs w:val="20"/>
          <w:lang w:eastAsia="pt-BR"/>
        </w:rPr>
        <w:t>I - O Supremo Tribunal Federal, no julgamento do Recurso Extraordinário n. 603.616/RO, no qual se enfrentou o Tema 280 de Repercussão Geral, fixou o entendimento de que "a entrada forçada em domicílio sem mandado judicial só é lícita, mesmo em período noturno, quando amparada em fundadas razões, devidamente justificadas a posteriori, que indiquem que dentro da casa ocorre situação de flagrante delito, sob pena de responsabilidade disciplinar, civil e penal do agente ou da autoridade, e de nulidade dos atos praticados".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sz w:val="20"/>
          <w:szCs w:val="20"/>
          <w:lang w:eastAsia="pt-BR"/>
        </w:rPr>
        <w:t xml:space="preserve">II - No julgamento do HC n. 598.051/SP, em 2/3/2021, pela Sexta Turma desta Corte Superior, assentou-se que não houve a concessão de salvo-conduto a todas as condenações por tráfico ilícito de drogas praticadas em domicílio, devendo-se analisar, caso a caso, as circunstâncias de cada prisão em flagrante (HC n. 598.051/SP, Sexta Turma, Rel. Min. Rogério </w:t>
      </w:r>
      <w:proofErr w:type="spellStart"/>
      <w:r w:rsidRPr="00D01DB2">
        <w:rPr>
          <w:rFonts w:eastAsia="Times New Roman" w:cs="Times New Roman"/>
          <w:sz w:val="20"/>
          <w:szCs w:val="20"/>
          <w:lang w:eastAsia="pt-BR"/>
        </w:rPr>
        <w:t>Schietti</w:t>
      </w:r>
      <w:proofErr w:type="spellEnd"/>
      <w:r w:rsidRPr="00D01DB2">
        <w:rPr>
          <w:rFonts w:eastAsia="Times New Roman" w:cs="Times New Roman"/>
          <w:sz w:val="20"/>
          <w:szCs w:val="20"/>
          <w:lang w:eastAsia="pt-BR"/>
        </w:rPr>
        <w:t xml:space="preserve"> Cruz, </w:t>
      </w:r>
      <w:proofErr w:type="spellStart"/>
      <w:r w:rsidRPr="00D01DB2">
        <w:rPr>
          <w:rFonts w:eastAsia="Times New Roman" w:cs="Times New Roman"/>
          <w:sz w:val="20"/>
          <w:szCs w:val="20"/>
          <w:lang w:eastAsia="pt-BR"/>
        </w:rPr>
        <w:t>DJe</w:t>
      </w:r>
      <w:proofErr w:type="spellEnd"/>
      <w:r w:rsidRPr="00D01DB2">
        <w:rPr>
          <w:rFonts w:eastAsia="Times New Roman" w:cs="Times New Roman"/>
          <w:sz w:val="20"/>
          <w:szCs w:val="20"/>
          <w:lang w:eastAsia="pt-BR"/>
        </w:rPr>
        <w:t xml:space="preserve"> de 15/3/2021).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sz w:val="20"/>
          <w:szCs w:val="20"/>
          <w:lang w:eastAsia="pt-BR"/>
        </w:rPr>
        <w:t>III - Nessa linha, o Superior Tribunal de Justiça compreende que é possível o ingresso de policiais em domicílio, mesmo sem mandado judicial ou consentimento do morador, caso haja fundadas razões da ocorrência da prática de crime no local, à luz do artigo 240 do Código de Processo Penal.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sz w:val="20"/>
          <w:szCs w:val="20"/>
          <w:lang w:eastAsia="pt-BR"/>
        </w:rPr>
        <w:t>IV - Na hipótese, conforme consignado na decisão agravada, diante da extensa investigação realizada, das informações recebidas e das diligências prévias, verifica-se que havia fundadas razões da ocorrência do crime cometido pelos acusados, aptas ao embasamento das buscas domiciliares. Efetivamente, em que pese a irresignação da Defesa, fato é que os agravantes restaram condenados com amparo em provas de autoria e materialidade do delito, sob a égide da confirmação judicial.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sz w:val="20"/>
          <w:szCs w:val="20"/>
          <w:lang w:eastAsia="pt-BR"/>
        </w:rPr>
        <w:t>V - Não prospera a alegação de nulidade da quebra de sigilo dos dados telefônicos do celular da adolescente. As instâncias ordinárias, ao tratarem do tema, especificaram que o objetivo da referida quebra de sigilo não era a apuração da prática de atos infracionais pelos adolescentes envolvidos, mas sim dos crimes praticados pelos acusados, todos maiores, os quais foram identificados a partir dos desdobramentos das investigações e da prova produzida a partir dos dados obtidos. Assim, não há falar em incompetência do Juízo de origem, na medida em que os fatos investigados são de competência daquele juízo criminal.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b/>
          <w:bCs/>
          <w:sz w:val="20"/>
          <w:szCs w:val="20"/>
          <w:lang w:eastAsia="pt-BR"/>
        </w:rPr>
        <w:t xml:space="preserve">VI - Considerando que a quebra de sigilo de dados em questão foi devidamente decretada por decisão judicial, após pedido expresso da autoridade competente, no seio de investigação formal, tendo, como referência, </w:t>
      </w:r>
      <w:proofErr w:type="gramStart"/>
      <w:r w:rsidRPr="00D01DB2">
        <w:rPr>
          <w:rFonts w:eastAsia="Times New Roman" w:cs="Times New Roman"/>
          <w:b/>
          <w:bCs/>
          <w:sz w:val="20"/>
          <w:szCs w:val="20"/>
          <w:lang w:eastAsia="pt-BR"/>
        </w:rPr>
        <w:t>fatos concretos</w:t>
      </w:r>
      <w:proofErr w:type="gramEnd"/>
      <w:r w:rsidRPr="00D01DB2">
        <w:rPr>
          <w:rFonts w:eastAsia="Times New Roman" w:cs="Times New Roman"/>
          <w:b/>
          <w:bCs/>
          <w:sz w:val="20"/>
          <w:szCs w:val="20"/>
          <w:lang w:eastAsia="pt-BR"/>
        </w:rPr>
        <w:t xml:space="preserve"> amparados no suposto cometimento de crimes graves pelos acusados, restou devidamente demonstrada a essencialidade da medida. Precedente.</w:t>
      </w:r>
      <w:r>
        <w:rPr>
          <w:rFonts w:eastAsia="Times New Roman" w:cs="Times New Roman"/>
          <w:b/>
          <w:bCs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sz w:val="20"/>
          <w:szCs w:val="20"/>
          <w:lang w:eastAsia="pt-BR"/>
        </w:rPr>
        <w:t>VII - A jurisprudência desta Corte Superior é firme no sentido de que a cadeia de custódia consiste no caminho idôneo a ser percorrido pela prova até sua análise pelo expert, de modo que a ocorrência de qualquer interferência indevida durante sua tramitação probatória pode resultar em sua imprestabilidade para o processo de referência.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sz w:val="20"/>
          <w:szCs w:val="20"/>
          <w:lang w:eastAsia="pt-BR"/>
        </w:rPr>
        <w:t>Precedente.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sz w:val="20"/>
          <w:szCs w:val="20"/>
          <w:lang w:eastAsia="pt-BR"/>
        </w:rPr>
        <w:t>VIII - No caso concreto, não restou comprovada qualquer circunstância capaz de sugerir a adulteração da prova, ou mesmo interferência indevida em seu caminho, capaz de invalidá-la. Com efeito, rever o entendimento firmado no acórdão encontra impedimento na impossibilidade de amplo exame da matéria fático-probatória, procedimento, a toda evidência, incompatível com a via do habeas corpus e do seu recurso ordinário. Precedentes.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sz w:val="20"/>
          <w:szCs w:val="20"/>
          <w:lang w:eastAsia="pt-BR"/>
        </w:rPr>
        <w:t>IX - Neste agravo regimental, portanto, não foram apresentados argumentos capazes de alterar o entendimento anteriormente firmado, devendo ser mantida a decisão impugnada por seus próprios e jurídicos fundamentos.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sz w:val="20"/>
          <w:szCs w:val="20"/>
          <w:lang w:eastAsia="pt-BR"/>
        </w:rPr>
        <w:t>Agravo regimental desprovido.</w:t>
      </w:r>
      <w:r>
        <w:rPr>
          <w:rFonts w:eastAsia="Times New Roman" w:cs="Times New Roman"/>
          <w:sz w:val="20"/>
          <w:szCs w:val="20"/>
          <w:lang w:eastAsia="pt-BR"/>
        </w:rPr>
        <w:t xml:space="preserve"> </w:t>
      </w:r>
      <w:r w:rsidRPr="00D01DB2">
        <w:rPr>
          <w:rFonts w:eastAsia="Times New Roman" w:cs="Times New Roman"/>
          <w:sz w:val="20"/>
          <w:szCs w:val="20"/>
          <w:lang w:eastAsia="pt-BR"/>
        </w:rPr>
        <w:t>(</w:t>
      </w:r>
      <w:r>
        <w:rPr>
          <w:rFonts w:eastAsia="Times New Roman" w:cs="Times New Roman"/>
          <w:sz w:val="20"/>
          <w:szCs w:val="20"/>
          <w:lang w:eastAsia="pt-BR"/>
        </w:rPr>
        <w:t xml:space="preserve">STJ. Quinta Turma. Relator: Ministro </w:t>
      </w:r>
      <w:proofErr w:type="spellStart"/>
      <w:r>
        <w:rPr>
          <w:rFonts w:eastAsia="Times New Roman" w:cs="Times New Roman"/>
          <w:sz w:val="20"/>
          <w:szCs w:val="20"/>
          <w:lang w:eastAsia="pt-BR"/>
        </w:rPr>
        <w:t>Messod</w:t>
      </w:r>
      <w:proofErr w:type="spellEnd"/>
      <w:r>
        <w:rPr>
          <w:rFonts w:eastAsia="Times New Roman" w:cs="Times New Roman"/>
          <w:sz w:val="20"/>
          <w:szCs w:val="20"/>
          <w:lang w:eastAsia="pt-BR"/>
        </w:rPr>
        <w:t xml:space="preserve"> Azulay Neto. </w:t>
      </w:r>
      <w:r w:rsidRPr="00D01DB2">
        <w:rPr>
          <w:rFonts w:eastAsia="Times New Roman" w:cs="Times New Roman"/>
          <w:sz w:val="20"/>
          <w:szCs w:val="20"/>
          <w:lang w:eastAsia="pt-BR"/>
        </w:rPr>
        <w:t>AgRg no HC n. 771.217/SP</w:t>
      </w:r>
      <w:r>
        <w:rPr>
          <w:rFonts w:eastAsia="Times New Roman" w:cs="Times New Roman"/>
          <w:sz w:val="20"/>
          <w:szCs w:val="20"/>
          <w:lang w:eastAsia="pt-BR"/>
        </w:rPr>
        <w:t>. Data de julgamento: 24-6-2026. Data de publicação: 27-6-2024).</w:t>
      </w:r>
    </w:p>
    <w:p w:rsidR="0011576A" w:rsidP="00EC11A9" w:rsidRDefault="0011576A" w14:paraId="66F239F7" w14:textId="77777777">
      <w:pPr>
        <w:spacing w:before="240"/>
        <w:rPr>
          <w:rFonts w:eastAsia="Times New Roman" w:cs="Times New Roman"/>
          <w:szCs w:val="24"/>
          <w:lang w:eastAsia="pt-BR"/>
        </w:rPr>
      </w:pPr>
    </w:p>
    <w:p w:rsidR="002600C1" w:rsidP="00EC11A9" w:rsidRDefault="00EC11A9" w14:paraId="697D8B8E" w14:textId="4935B401">
      <w:pPr>
        <w:spacing w:before="240"/>
        <w:rPr>
          <w:rFonts w:eastAsia="Times New Roman" w:cs="Times New Roman"/>
          <w:szCs w:val="24"/>
          <w:lang w:eastAsia="pt-BR"/>
        </w:rPr>
      </w:pPr>
      <w:r w:rsidRPr="00EC11A9">
        <w:rPr>
          <w:rFonts w:eastAsia="Times New Roman" w:cs="Times New Roman"/>
          <w:szCs w:val="24"/>
          <w:lang w:eastAsia="pt-BR"/>
        </w:rPr>
        <w:t>Dessa forma, a reforma da decisão também neste ponto é medida imperativa, para o fim de autorizar a análise e extração de dados</w:t>
      </w:r>
      <w:r w:rsidR="002600C1">
        <w:rPr>
          <w:rFonts w:eastAsia="Times New Roman" w:cs="Times New Roman"/>
          <w:szCs w:val="24"/>
          <w:lang w:eastAsia="pt-BR"/>
        </w:rPr>
        <w:t xml:space="preserve"> </w:t>
      </w:r>
      <w:r w:rsidRPr="00EC11A9">
        <w:rPr>
          <w:rFonts w:eastAsia="Times New Roman" w:cs="Times New Roman"/>
          <w:szCs w:val="24"/>
          <w:lang w:eastAsia="pt-BR"/>
        </w:rPr>
        <w:t>de eventuais aparelhos celulares</w:t>
      </w:r>
      <w:r w:rsidR="002600C1">
        <w:rPr>
          <w:rFonts w:eastAsia="Times New Roman" w:cs="Times New Roman"/>
          <w:szCs w:val="24"/>
          <w:lang w:eastAsia="pt-BR"/>
        </w:rPr>
        <w:t xml:space="preserve">, computadores ou outros eletrônicos </w:t>
      </w:r>
      <w:r w:rsidRPr="00EC11A9">
        <w:rPr>
          <w:rFonts w:eastAsia="Times New Roman" w:cs="Times New Roman"/>
          <w:szCs w:val="24"/>
          <w:lang w:eastAsia="pt-BR"/>
        </w:rPr>
        <w:t>que venham a ser apreendidos em posse d</w:t>
      </w:r>
      <w:r w:rsidR="002600C1">
        <w:rPr>
          <w:rFonts w:eastAsia="Times New Roman" w:cs="Times New Roman"/>
          <w:szCs w:val="24"/>
          <w:lang w:eastAsia="pt-BR"/>
        </w:rPr>
        <w:t>o recorrido.</w:t>
      </w:r>
    </w:p>
    <w:p w:rsidR="00EC11A9" w:rsidP="00F56BB8" w:rsidRDefault="00EC11A9" w14:paraId="3A9B8A8A" w14:textId="77777777">
      <w:pPr>
        <w:spacing w:before="240"/>
        <w:rPr>
          <w:rFonts w:eastAsia="Times New Roman" w:cs="Times New Roman"/>
          <w:szCs w:val="24"/>
          <w:lang w:eastAsia="pt-BR"/>
        </w:rPr>
      </w:pPr>
    </w:p>
    <w:p w:rsidR="0092513C" w:rsidP="00F56BB8" w:rsidRDefault="0092513C" w14:paraId="1E0D6B2F" w14:textId="14E546E3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II.IV – DOS HONORÁRIOS DATIVOS</w:t>
      </w:r>
    </w:p>
    <w:p w:rsidR="00460599" w:rsidP="00C5111A" w:rsidRDefault="00C5111A" w14:paraId="7891B74C" w14:textId="3CD4BFC8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 xml:space="preserve">Em atenção ao contido no item 1.15 da Resolução Conjunta n. 6/2024 – PGE/SEFA, arbitram-se em R$ 450,00 (quatrocentos e cinquenta reais) os honorários dativos devidos à advogada </w:t>
      </w:r>
      <w:r w:rsidR="00460599">
        <w:rPr>
          <w:rFonts w:eastAsia="Times New Roman" w:cs="Times New Roman"/>
          <w:szCs w:val="24"/>
          <w:lang w:eastAsia="pt-BR"/>
        </w:rPr>
        <w:t xml:space="preserve">Bárbara Thais dias Vilela, inscrita na OAB PR sob o n. </w:t>
      </w:r>
      <w:r w:rsidR="0064150C">
        <w:rPr>
          <w:rFonts w:eastAsia="Times New Roman" w:cs="Times New Roman"/>
          <w:szCs w:val="24"/>
          <w:lang w:eastAsia="pt-BR"/>
        </w:rPr>
        <w:t>80.210.</w:t>
      </w:r>
    </w:p>
    <w:p w:rsidR="00C5111A" w:rsidP="00C5111A" w:rsidRDefault="00C5111A" w14:paraId="7A28C206" w14:textId="77777777">
      <w:pPr>
        <w:spacing w:before="240"/>
        <w:rPr>
          <w:rFonts w:eastAsia="Times New Roman" w:cs="Times New Roman"/>
          <w:szCs w:val="24"/>
          <w:lang w:eastAsia="pt-BR"/>
        </w:rPr>
      </w:pPr>
      <w:r>
        <w:rPr>
          <w:rFonts w:eastAsia="Times New Roman" w:cs="Times New Roman"/>
          <w:szCs w:val="24"/>
          <w:lang w:eastAsia="pt-BR"/>
        </w:rPr>
        <w:t>Servirá o presente pronunciamento como certidão de honorários, para a finalidade de requerimento administrativo da verba.</w:t>
      </w:r>
    </w:p>
    <w:p w:rsidR="0092513C" w:rsidP="00F56BB8" w:rsidRDefault="0092513C" w14:paraId="51FF74F8" w14:textId="77777777">
      <w:pPr>
        <w:spacing w:before="240"/>
        <w:rPr>
          <w:rFonts w:eastAsia="Times New Roman" w:cs="Times New Roman"/>
          <w:szCs w:val="24"/>
          <w:lang w:eastAsia="pt-BR"/>
        </w:rPr>
      </w:pPr>
    </w:p>
    <w:p w:rsidR="0060292A" w:rsidP="0060292A" w:rsidRDefault="00F56BB8" w14:paraId="64D949B9" w14:textId="5AD14C33">
      <w:pPr>
        <w:spacing w:before="240"/>
        <w:rPr>
          <w:rFonts w:eastAsia="Times New Roman" w:cs="Times New Roman"/>
          <w:szCs w:val="24"/>
          <w:lang w:eastAsia="pt-BR"/>
        </w:rPr>
      </w:pPr>
      <w:r w:rsidRPr="00507B84">
        <w:rPr>
          <w:rFonts w:eastAsia="Times New Roman" w:cs="Times New Roman"/>
          <w:szCs w:val="24"/>
          <w:lang w:eastAsia="pt-BR"/>
        </w:rPr>
        <w:t>II.</w:t>
      </w:r>
      <w:r w:rsidR="0011576A">
        <w:rPr>
          <w:rFonts w:eastAsia="Times New Roman" w:cs="Times New Roman"/>
          <w:szCs w:val="24"/>
          <w:lang w:eastAsia="pt-BR"/>
        </w:rPr>
        <w:t>V</w:t>
      </w:r>
      <w:r w:rsidRPr="00507B84">
        <w:rPr>
          <w:rFonts w:eastAsia="Times New Roman" w:cs="Times New Roman"/>
          <w:szCs w:val="24"/>
          <w:lang w:eastAsia="pt-BR"/>
        </w:rPr>
        <w:t xml:space="preserve"> – DA CONCLUSÃO</w:t>
      </w:r>
    </w:p>
    <w:p w:rsidRPr="0060292A" w:rsidR="005402B3" w:rsidP="0060292A" w:rsidRDefault="005402B3" w14:paraId="44C89BAE" w14:textId="561A5B34">
      <w:pPr>
        <w:spacing w:before="240"/>
        <w:rPr>
          <w:rFonts w:eastAsia="Times New Roman" w:cs="Times New Roman"/>
          <w:szCs w:val="24"/>
          <w:lang w:eastAsia="pt-BR"/>
        </w:rPr>
      </w:pPr>
      <w:r>
        <w:t>Pela conjugação das premissas deduzidas, a conclusão a ser adotada consiste em conhecer e</w:t>
      </w:r>
      <w:r w:rsidR="0060292A">
        <w:t xml:space="preserve"> dar provimento ao recurso.</w:t>
      </w:r>
    </w:p>
    <w:p w:rsidR="005402B3" w:rsidP="005402B3" w:rsidRDefault="005402B3" w14:paraId="5F094A82" w14:textId="77777777">
      <w:pPr>
        <w:pStyle w:val="PargrafodaLista"/>
        <w:ind w:left="0"/>
        <w:contextualSpacing w:val="0"/>
      </w:pPr>
      <w:r>
        <w:t>É como voto.</w:t>
      </w:r>
    </w:p>
    <w:p w:rsidR="00F56BB8" w:rsidP="00F56BB8" w:rsidRDefault="00F56BB8" w14:paraId="48719C0D" w14:textId="77777777">
      <w:pPr>
        <w:spacing w:before="240"/>
        <w:rPr>
          <w:rFonts w:eastAsia="Times New Roman" w:cs="Times New Roman"/>
          <w:szCs w:val="24"/>
          <w:lang w:eastAsia="pt-BR"/>
        </w:rPr>
      </w:pPr>
    </w:p>
    <w:p w:rsidRPr="001B693E" w:rsidR="00B46E8E" w:rsidP="001B693E" w:rsidRDefault="00F56BB8" w14:paraId="7850D6A8" w14:textId="3C2F8637">
      <w:pPr>
        <w:spacing w:before="240"/>
        <w:rPr>
          <w:rFonts w:eastAsia="Times New Roman" w:cs="Times New Roman"/>
          <w:b/>
          <w:szCs w:val="24"/>
          <w:lang w:eastAsia="pt-BR"/>
        </w:rPr>
      </w:pPr>
      <w:r w:rsidRPr="006E5FE4">
        <w:rPr>
          <w:rFonts w:eastAsia="Times New Roman" w:cs="Times New Roman"/>
          <w:b/>
          <w:szCs w:val="24"/>
          <w:lang w:eastAsia="pt-BR"/>
        </w:rPr>
        <w:t xml:space="preserve">III </w:t>
      </w:r>
      <w:r w:rsidR="00A6029A">
        <w:rPr>
          <w:rFonts w:eastAsia="Times New Roman" w:cs="Times New Roman"/>
          <w:b/>
          <w:szCs w:val="24"/>
          <w:lang w:eastAsia="pt-BR"/>
        </w:rPr>
        <w:t>–</w:t>
      </w:r>
      <w:r w:rsidRPr="006E5FE4">
        <w:rPr>
          <w:rFonts w:eastAsia="Times New Roman" w:cs="Times New Roman"/>
          <w:b/>
          <w:szCs w:val="24"/>
          <w:lang w:eastAsia="pt-BR"/>
        </w:rPr>
        <w:t xml:space="preserve"> DECISÃO</w:t>
      </w:r>
    </w:p>
    <w:sectPr w:rsidRPr="001B693E" w:rsidR="00B46E8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34A4E"/>
    <w:multiLevelType w:val="multilevel"/>
    <w:tmpl w:val="ACEC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66955022">
    <w:abstractNumId w:val="1"/>
  </w:num>
  <w:num w:numId="2" w16cid:durableId="97302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42"/>
    <w:rsid w:val="00013928"/>
    <w:rsid w:val="00022516"/>
    <w:rsid w:val="000346FC"/>
    <w:rsid w:val="00051876"/>
    <w:rsid w:val="00056925"/>
    <w:rsid w:val="000B27AC"/>
    <w:rsid w:val="000D2C9A"/>
    <w:rsid w:val="000E779F"/>
    <w:rsid w:val="00111058"/>
    <w:rsid w:val="00113287"/>
    <w:rsid w:val="00113E8E"/>
    <w:rsid w:val="0011576A"/>
    <w:rsid w:val="00116507"/>
    <w:rsid w:val="00125130"/>
    <w:rsid w:val="00146748"/>
    <w:rsid w:val="00157F8E"/>
    <w:rsid w:val="00165C47"/>
    <w:rsid w:val="001736B0"/>
    <w:rsid w:val="0018213F"/>
    <w:rsid w:val="00185CAD"/>
    <w:rsid w:val="001A1E9E"/>
    <w:rsid w:val="001B0F24"/>
    <w:rsid w:val="001B2990"/>
    <w:rsid w:val="001B693E"/>
    <w:rsid w:val="001C2D4C"/>
    <w:rsid w:val="001C2DA3"/>
    <w:rsid w:val="001C3C91"/>
    <w:rsid w:val="001E422C"/>
    <w:rsid w:val="001F6533"/>
    <w:rsid w:val="00200444"/>
    <w:rsid w:val="0020410D"/>
    <w:rsid w:val="00216297"/>
    <w:rsid w:val="00241301"/>
    <w:rsid w:val="002557CA"/>
    <w:rsid w:val="002600C1"/>
    <w:rsid w:val="00261EDF"/>
    <w:rsid w:val="002669D7"/>
    <w:rsid w:val="00291A02"/>
    <w:rsid w:val="002955FA"/>
    <w:rsid w:val="002A5E31"/>
    <w:rsid w:val="002B1FF3"/>
    <w:rsid w:val="0031384B"/>
    <w:rsid w:val="00352775"/>
    <w:rsid w:val="003714E1"/>
    <w:rsid w:val="003C148E"/>
    <w:rsid w:val="003C638E"/>
    <w:rsid w:val="003D6FD9"/>
    <w:rsid w:val="004002B0"/>
    <w:rsid w:val="0041003F"/>
    <w:rsid w:val="004218CE"/>
    <w:rsid w:val="0043116C"/>
    <w:rsid w:val="004315FA"/>
    <w:rsid w:val="00452010"/>
    <w:rsid w:val="0045225A"/>
    <w:rsid w:val="004565E9"/>
    <w:rsid w:val="00460599"/>
    <w:rsid w:val="00461F9B"/>
    <w:rsid w:val="00473749"/>
    <w:rsid w:val="004953AE"/>
    <w:rsid w:val="004A1391"/>
    <w:rsid w:val="004B28BE"/>
    <w:rsid w:val="004D3080"/>
    <w:rsid w:val="004E2ECB"/>
    <w:rsid w:val="004F7D2E"/>
    <w:rsid w:val="00501832"/>
    <w:rsid w:val="00507CBA"/>
    <w:rsid w:val="005273D6"/>
    <w:rsid w:val="005305DB"/>
    <w:rsid w:val="005313E6"/>
    <w:rsid w:val="00535407"/>
    <w:rsid w:val="005402B3"/>
    <w:rsid w:val="00542403"/>
    <w:rsid w:val="005445FA"/>
    <w:rsid w:val="0055142F"/>
    <w:rsid w:val="00556541"/>
    <w:rsid w:val="005843B5"/>
    <w:rsid w:val="005930F1"/>
    <w:rsid w:val="00597937"/>
    <w:rsid w:val="00597E1B"/>
    <w:rsid w:val="005A2C92"/>
    <w:rsid w:val="005B4039"/>
    <w:rsid w:val="005C2BF1"/>
    <w:rsid w:val="005E4ADE"/>
    <w:rsid w:val="005F6E60"/>
    <w:rsid w:val="0060292A"/>
    <w:rsid w:val="00613EC2"/>
    <w:rsid w:val="00617069"/>
    <w:rsid w:val="00624B2B"/>
    <w:rsid w:val="0064150C"/>
    <w:rsid w:val="00647D53"/>
    <w:rsid w:val="00657AE8"/>
    <w:rsid w:val="00672942"/>
    <w:rsid w:val="00681F47"/>
    <w:rsid w:val="006A3175"/>
    <w:rsid w:val="006C1011"/>
    <w:rsid w:val="006C49CA"/>
    <w:rsid w:val="006D6D11"/>
    <w:rsid w:val="006F1775"/>
    <w:rsid w:val="00725976"/>
    <w:rsid w:val="00736689"/>
    <w:rsid w:val="00736CE1"/>
    <w:rsid w:val="00754271"/>
    <w:rsid w:val="0076493D"/>
    <w:rsid w:val="007719BF"/>
    <w:rsid w:val="007844CF"/>
    <w:rsid w:val="00792F56"/>
    <w:rsid w:val="00794062"/>
    <w:rsid w:val="007964BC"/>
    <w:rsid w:val="007B3A62"/>
    <w:rsid w:val="007B4F68"/>
    <w:rsid w:val="007D2B59"/>
    <w:rsid w:val="007E68F7"/>
    <w:rsid w:val="008077B8"/>
    <w:rsid w:val="0084366E"/>
    <w:rsid w:val="00877419"/>
    <w:rsid w:val="008825DB"/>
    <w:rsid w:val="008A3E52"/>
    <w:rsid w:val="008C4417"/>
    <w:rsid w:val="008C7C32"/>
    <w:rsid w:val="008E444A"/>
    <w:rsid w:val="008E61A9"/>
    <w:rsid w:val="00917DA5"/>
    <w:rsid w:val="0092513C"/>
    <w:rsid w:val="009528D9"/>
    <w:rsid w:val="009673DC"/>
    <w:rsid w:val="00973737"/>
    <w:rsid w:val="009A2B03"/>
    <w:rsid w:val="009A3DA6"/>
    <w:rsid w:val="009B2C73"/>
    <w:rsid w:val="009B36EE"/>
    <w:rsid w:val="009B722F"/>
    <w:rsid w:val="009D0D3E"/>
    <w:rsid w:val="009F154E"/>
    <w:rsid w:val="00A0065F"/>
    <w:rsid w:val="00A3366B"/>
    <w:rsid w:val="00A33A4F"/>
    <w:rsid w:val="00A6029A"/>
    <w:rsid w:val="00A8266D"/>
    <w:rsid w:val="00A83229"/>
    <w:rsid w:val="00A86A3F"/>
    <w:rsid w:val="00A90187"/>
    <w:rsid w:val="00AA28DF"/>
    <w:rsid w:val="00AA67F0"/>
    <w:rsid w:val="00AE47D1"/>
    <w:rsid w:val="00B27F39"/>
    <w:rsid w:val="00B37BEE"/>
    <w:rsid w:val="00B44758"/>
    <w:rsid w:val="00B46E8E"/>
    <w:rsid w:val="00B51D78"/>
    <w:rsid w:val="00B6687E"/>
    <w:rsid w:val="00BA05D2"/>
    <w:rsid w:val="00BB1A7D"/>
    <w:rsid w:val="00BC1AC7"/>
    <w:rsid w:val="00BC64BE"/>
    <w:rsid w:val="00BE412D"/>
    <w:rsid w:val="00BF756D"/>
    <w:rsid w:val="00C07897"/>
    <w:rsid w:val="00C2240B"/>
    <w:rsid w:val="00C34D49"/>
    <w:rsid w:val="00C45EE8"/>
    <w:rsid w:val="00C5111A"/>
    <w:rsid w:val="00C7063D"/>
    <w:rsid w:val="00CA04B1"/>
    <w:rsid w:val="00CA3194"/>
    <w:rsid w:val="00CA37B0"/>
    <w:rsid w:val="00CA5286"/>
    <w:rsid w:val="00CA6042"/>
    <w:rsid w:val="00CB5201"/>
    <w:rsid w:val="00CC70B6"/>
    <w:rsid w:val="00D01DB2"/>
    <w:rsid w:val="00D032DA"/>
    <w:rsid w:val="00D10294"/>
    <w:rsid w:val="00D12103"/>
    <w:rsid w:val="00D172D7"/>
    <w:rsid w:val="00D37894"/>
    <w:rsid w:val="00D7588D"/>
    <w:rsid w:val="00D87D55"/>
    <w:rsid w:val="00DC37B4"/>
    <w:rsid w:val="00DC77BE"/>
    <w:rsid w:val="00DE77F2"/>
    <w:rsid w:val="00E02927"/>
    <w:rsid w:val="00E266B4"/>
    <w:rsid w:val="00E47663"/>
    <w:rsid w:val="00E80977"/>
    <w:rsid w:val="00E80A59"/>
    <w:rsid w:val="00E95626"/>
    <w:rsid w:val="00EA69C4"/>
    <w:rsid w:val="00EC11A9"/>
    <w:rsid w:val="00EC1AF6"/>
    <w:rsid w:val="00EC406D"/>
    <w:rsid w:val="00EF5B39"/>
    <w:rsid w:val="00F02878"/>
    <w:rsid w:val="00F02B89"/>
    <w:rsid w:val="00F0385D"/>
    <w:rsid w:val="00F04F1B"/>
    <w:rsid w:val="00F27837"/>
    <w:rsid w:val="00F56BB8"/>
    <w:rsid w:val="00F60495"/>
    <w:rsid w:val="00F80CF2"/>
    <w:rsid w:val="00FB6C44"/>
    <w:rsid w:val="00FD0749"/>
    <w:rsid w:val="00FE0C12"/>
    <w:rsid w:val="00FE184C"/>
    <w:rsid w:val="00FE1F07"/>
    <w:rsid w:val="00FE6D3A"/>
    <w:rsid w:val="04D1C844"/>
    <w:rsid w:val="18E7DB43"/>
    <w:rsid w:val="2DA133E3"/>
    <w:rsid w:val="34620ADC"/>
    <w:rsid w:val="3ACA48A2"/>
    <w:rsid w:val="434D6C0D"/>
    <w:rsid w:val="4D460FF9"/>
    <w:rsid w:val="5BDFECF9"/>
    <w:rsid w:val="6A682CB2"/>
    <w:rsid w:val="6A68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85615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styleId="CitaoChar" w:customStyle="1">
    <w:name w:val="Citação Char"/>
    <w:basedOn w:val="Fontepargpadro"/>
    <w:link w:val="Citao"/>
    <w:uiPriority w:val="29"/>
    <w:rsid w:val="00165C47"/>
    <w:rPr>
      <w:rFonts w:ascii="Times New Roman" w:hAnsi="Times New Roman" w:eastAsia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8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d658cdf7a47de451f1a3f98b449eaa06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0705190bd1798fcf53291ac4d5a6d4d7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D7AFFB-0B0A-4FE0-BE47-A0D18260AD9B}"/>
</file>

<file path=customXml/itemProps2.xml><?xml version="1.0" encoding="utf-8"?>
<ds:datastoreItem xmlns:ds="http://schemas.openxmlformats.org/officeDocument/2006/customXml" ds:itemID="{1D75B026-B2AE-42DC-8951-55F2071FA6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0BBA1B-C17B-48AE-871E-FD5DA2C7C0CD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Tribunal de Justiça do Estado do Paraná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Vitor Soffredi de Campos Veiga</cp:lastModifiedBy>
  <cp:revision>114</cp:revision>
  <cp:lastPrinted>2025-07-11T18:35:00Z</cp:lastPrinted>
  <dcterms:created xsi:type="dcterms:W3CDTF">2025-11-17T21:45:00Z</dcterms:created>
  <dcterms:modified xsi:type="dcterms:W3CDTF">2025-11-19T22:32:24Z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371800</vt:r8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