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E394" w14:textId="51F293A2" w:rsidR="00157F8E" w:rsidRDefault="00157F8E" w:rsidP="00146748">
      <w:pPr>
        <w:ind w:firstLine="0"/>
        <w:rPr>
          <w:b/>
        </w:rPr>
      </w:pPr>
      <w:r>
        <w:rPr>
          <w:b/>
        </w:rPr>
        <w:t>DIREITO PENAL E PROCESSUAL PENAL.</w:t>
      </w:r>
      <w:r w:rsidR="009A3DA6">
        <w:rPr>
          <w:b/>
        </w:rPr>
        <w:t xml:space="preserve"> RECURSO EM SENTIDO ESTRITO. </w:t>
      </w:r>
      <w:r w:rsidR="004565E9">
        <w:rPr>
          <w:b/>
        </w:rPr>
        <w:t>PRISÃO PREVENTIVA. PERICULUM LIBERTATIS. REITERAÇÃO DELITIVA. GARANTIA DA ORDEM PÚBLICA.</w:t>
      </w:r>
    </w:p>
    <w:p w14:paraId="153FB66C" w14:textId="46D4B404" w:rsid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07E8DDDA" w14:textId="66AC5358" w:rsidR="00022516" w:rsidRPr="00146748" w:rsidRDefault="00022516" w:rsidP="00146748">
      <w:pPr>
        <w:ind w:firstLine="0"/>
        <w:rPr>
          <w:b/>
        </w:rPr>
      </w:pPr>
      <w:r>
        <w:rPr>
          <w:b/>
        </w:rPr>
        <w:t xml:space="preserve">Recurso em sentido estrito interposto contra decisão que concedeu </w:t>
      </w:r>
      <w:r w:rsidR="00D7588D">
        <w:rPr>
          <w:b/>
        </w:rPr>
        <w:t>a liberdade provisória ao flagranteado.</w:t>
      </w:r>
    </w:p>
    <w:p w14:paraId="02435230" w14:textId="2D824473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II. QUESTÃO EM DISCUSSÃO</w:t>
      </w:r>
    </w:p>
    <w:p w14:paraId="19091325" w14:textId="7D269807" w:rsidR="00D7588D" w:rsidRPr="00D7588D" w:rsidRDefault="00D7588D" w:rsidP="00146748">
      <w:pPr>
        <w:ind w:firstLine="0"/>
        <w:rPr>
          <w:b/>
        </w:rPr>
      </w:pPr>
      <w:r>
        <w:rPr>
          <w:b/>
        </w:rPr>
        <w:t xml:space="preserve">Caracterização do </w:t>
      </w:r>
      <w:r>
        <w:rPr>
          <w:b/>
          <w:i/>
          <w:iCs/>
        </w:rPr>
        <w:t>periculum libertatis</w:t>
      </w:r>
      <w:r>
        <w:rPr>
          <w:b/>
        </w:rPr>
        <w:t>.</w:t>
      </w:r>
    </w:p>
    <w:p w14:paraId="7BD502AF" w14:textId="7C064EC7" w:rsid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6EAD269B" w14:textId="7BEFF48D" w:rsidR="00A86A3F" w:rsidRPr="00146748" w:rsidRDefault="00A86A3F" w:rsidP="00146748">
      <w:pPr>
        <w:ind w:firstLine="0"/>
        <w:rPr>
          <w:b/>
        </w:rPr>
      </w:pPr>
      <w:r>
        <w:rPr>
          <w:b/>
        </w:rPr>
        <w:t xml:space="preserve">A reiteração delitiva, matizada em sucessivas prisões em flagrantes por crimes patrimoniais, denota risco concreto de reiteração delitiva </w:t>
      </w:r>
      <w:r w:rsidR="004565E9">
        <w:rPr>
          <w:b/>
        </w:rPr>
        <w:t>a determinar a necessidade e adequação da prisão preventiva para garantia da ordem pública.</w:t>
      </w:r>
    </w:p>
    <w:p w14:paraId="6AF28E16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7641D84D" w14:textId="3F85AC8D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 xml:space="preserve">Recurso conhecido e </w:t>
      </w:r>
      <w:r w:rsidR="00DE77F2">
        <w:rPr>
          <w:b/>
        </w:rPr>
        <w:t>provido.</w:t>
      </w:r>
    </w:p>
    <w:p w14:paraId="34905683" w14:textId="72DC769A" w:rsidR="00146748" w:rsidRDefault="00146748" w:rsidP="00146748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14:paraId="206717D3" w14:textId="77777777" w:rsidR="001C2D4C" w:rsidRDefault="001C2D4C" w:rsidP="00146748">
      <w:pPr>
        <w:ind w:firstLine="0"/>
        <w:rPr>
          <w:b/>
        </w:rPr>
      </w:pPr>
      <w:r>
        <w:rPr>
          <w:b/>
        </w:rPr>
        <w:lastRenderedPageBreak/>
        <w:t>V. I. Legislação</w:t>
      </w:r>
    </w:p>
    <w:p w14:paraId="1E429F3C" w14:textId="35A298EC" w:rsidR="00E80A59" w:rsidRDefault="00E80A59" w:rsidP="00146748">
      <w:pPr>
        <w:ind w:firstLine="0"/>
        <w:rPr>
          <w:b/>
        </w:rPr>
      </w:pPr>
      <w:r>
        <w:rPr>
          <w:b/>
        </w:rPr>
        <w:t>CPP: art. 312.</w:t>
      </w:r>
    </w:p>
    <w:p w14:paraId="4D2CBAE5" w14:textId="5E704197" w:rsidR="005930F1" w:rsidRDefault="005930F1" w:rsidP="00146748">
      <w:pPr>
        <w:ind w:firstLine="0"/>
        <w:rPr>
          <w:b/>
        </w:rPr>
      </w:pPr>
      <w:r>
        <w:rPr>
          <w:b/>
        </w:rPr>
        <w:t xml:space="preserve">CP: art. </w:t>
      </w:r>
      <w:r w:rsidR="0031384B">
        <w:rPr>
          <w:b/>
        </w:rPr>
        <w:t>157, § 2º, VII.</w:t>
      </w:r>
    </w:p>
    <w:p w14:paraId="53E5E578" w14:textId="77777777" w:rsidR="001C2D4C" w:rsidRDefault="001C2D4C" w:rsidP="00146748">
      <w:pPr>
        <w:ind w:firstLine="0"/>
        <w:rPr>
          <w:b/>
        </w:rPr>
      </w:pPr>
      <w:r>
        <w:rPr>
          <w:b/>
        </w:rPr>
        <w:t xml:space="preserve">V. II. </w:t>
      </w:r>
      <w:r w:rsidR="00146748" w:rsidRPr="00146748">
        <w:rPr>
          <w:b/>
        </w:rPr>
        <w:t>Jurisprudência</w:t>
      </w:r>
    </w:p>
    <w:p w14:paraId="174DAF25" w14:textId="77777777" w:rsidR="00EF5B39" w:rsidRPr="00EF5B39" w:rsidRDefault="00EF5B39" w:rsidP="00EF5B39">
      <w:pPr>
        <w:ind w:firstLine="0"/>
        <w:rPr>
          <w:b/>
        </w:rPr>
      </w:pPr>
      <w:r w:rsidRPr="00EF5B39">
        <w:rPr>
          <w:b/>
        </w:rPr>
        <w:t>TJPR. 3ª Câmara Criminal. 0091332-27.2023.8.16.0000. Relator: Desembargador Mário Nini Azzolini. Data de julgamento: 30-10-2023</w:t>
      </w:r>
    </w:p>
    <w:p w14:paraId="62116515" w14:textId="55CE5962" w:rsidR="00EF5B39" w:rsidRDefault="00EF5B39" w:rsidP="00146748">
      <w:pPr>
        <w:ind w:firstLine="0"/>
        <w:rPr>
          <w:b/>
        </w:rPr>
      </w:pPr>
      <w:r w:rsidRPr="00EF5B39">
        <w:rPr>
          <w:b/>
        </w:rPr>
        <w:t>TJPR. 1ª Câmara Criminal. Relator: Desembargador: Desembargador Substituto Sergio Luiz Patitucci. 0080500-32.2023.8.16.0000. Colorado. Data de julgamento: 7-10-2023</w:t>
      </w:r>
      <w:r w:rsidR="004565E9">
        <w:rPr>
          <w:b/>
        </w:rPr>
        <w:t>.</w:t>
      </w:r>
    </w:p>
    <w:p w14:paraId="019BC04E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</w:p>
    <w:p w14:paraId="39B4AB3C" w14:textId="77777777" w:rsidR="004218CE" w:rsidRDefault="00AA28DF" w:rsidP="004218CE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1C6D003B" w14:textId="77777777" w:rsidR="004218CE" w:rsidRDefault="00AA28DF" w:rsidP="004218CE">
      <w:pPr>
        <w:pStyle w:val="PargrafodaLista"/>
        <w:ind w:left="0"/>
        <w:contextualSpacing w:val="0"/>
      </w:pPr>
      <w:r>
        <w:t>Cuida-se de</w:t>
      </w:r>
      <w:r w:rsidR="004B28BE">
        <w:t xml:space="preserve"> recurso em sentido estrito interposto pelo Ministério Público do Estado do Paraná em face de </w:t>
      </w:r>
      <w:r w:rsidR="00C7063D">
        <w:t xml:space="preserve">Angelo Gabriel Vicente Pinto Madruga, tendo como objeto decisão proferida pelo juízo da 8ª Vara </w:t>
      </w:r>
      <w:r w:rsidR="003714E1">
        <w:t>Criminal</w:t>
      </w:r>
      <w:r w:rsidR="00C7063D">
        <w:t xml:space="preserve"> de Curitiba, </w:t>
      </w:r>
      <w:r w:rsidR="00F02B89">
        <w:t>que concedeu liberdade provisória ao imputado</w:t>
      </w:r>
      <w:r w:rsidR="00261EDF">
        <w:t xml:space="preserve">, em detrimento do pedido ministerial de decretação da prisão preventiva (evento </w:t>
      </w:r>
      <w:r w:rsidR="00BA05D2">
        <w:t>18.1 – autos de origem).</w:t>
      </w:r>
    </w:p>
    <w:p w14:paraId="5F677818" w14:textId="522A90A5" w:rsidR="00EA69C4" w:rsidRPr="00EA69C4" w:rsidRDefault="000B27AC" w:rsidP="004218CE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Sustenta </w:t>
      </w:r>
      <w:r w:rsidR="00EA69C4">
        <w:rPr>
          <w:bCs/>
        </w:rPr>
        <w:t xml:space="preserve">o </w:t>
      </w:r>
      <w:r w:rsidR="005C2BF1" w:rsidRPr="004218CE">
        <w:rPr>
          <w:bCs/>
          <w:i/>
          <w:iCs/>
        </w:rPr>
        <w:t>Parquet</w:t>
      </w:r>
      <w:r w:rsidR="00EA69C4">
        <w:rPr>
          <w:bCs/>
          <w:i/>
          <w:iCs/>
        </w:rPr>
        <w:t xml:space="preserve">, </w:t>
      </w:r>
      <w:r w:rsidR="00EA69C4">
        <w:rPr>
          <w:bCs/>
        </w:rPr>
        <w:t xml:space="preserve">em síntese, que a multiplicidade de anotações criminais, apesar da primariedade técnica, </w:t>
      </w:r>
      <w:r w:rsidR="00B27F39">
        <w:rPr>
          <w:bCs/>
        </w:rPr>
        <w:t xml:space="preserve">caracteriza risco concreto de reiteração delitiva. A prisão preventiva seria, pois, necessária para garantia da ordem pública (evento </w:t>
      </w:r>
      <w:r w:rsidR="007844CF">
        <w:rPr>
          <w:bCs/>
        </w:rPr>
        <w:t>25.1 – autos de origem).</w:t>
      </w:r>
    </w:p>
    <w:p w14:paraId="69483809" w14:textId="0D76B82A" w:rsidR="004218CE" w:rsidRDefault="007844CF" w:rsidP="004218CE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Nas contrarrazões, a defesa se manifestou pelo desprovimento do repto (evento </w:t>
      </w:r>
      <w:r w:rsidR="00FE1F07">
        <w:rPr>
          <w:bCs/>
        </w:rPr>
        <w:t xml:space="preserve">57.1 – autos </w:t>
      </w:r>
      <w:r w:rsidR="00A90187">
        <w:rPr>
          <w:bCs/>
        </w:rPr>
        <w:t xml:space="preserve">n. </w:t>
      </w:r>
      <w:r w:rsidR="00A90187" w:rsidRPr="00A90187">
        <w:rPr>
          <w:bCs/>
        </w:rPr>
        <w:t>0002745-19.2025.8.16.0013</w:t>
      </w:r>
      <w:r w:rsidR="00FE1F07">
        <w:rPr>
          <w:bCs/>
        </w:rPr>
        <w:t>).</w:t>
      </w:r>
    </w:p>
    <w:p w14:paraId="524C509D" w14:textId="77777777" w:rsidR="009528D9" w:rsidRDefault="00B51D78" w:rsidP="004218CE">
      <w:pPr>
        <w:pStyle w:val="PargrafodaLista"/>
        <w:ind w:left="0"/>
        <w:contextualSpacing w:val="0"/>
        <w:rPr>
          <w:bCs/>
        </w:rPr>
      </w:pPr>
      <w:r>
        <w:rPr>
          <w:bCs/>
        </w:rPr>
        <w:t>Opinou a Procuradoria-Geral de Justiça pelo conhecimento e provimento do recurso</w:t>
      </w:r>
      <w:r w:rsidR="00617069">
        <w:rPr>
          <w:bCs/>
        </w:rPr>
        <w:t xml:space="preserve">, argumentando que a prisão em flagrante aconteceu um dia após a concessão de liberdade provisória em outro feito (evento </w:t>
      </w:r>
      <w:r w:rsidR="009528D9">
        <w:rPr>
          <w:bCs/>
        </w:rPr>
        <w:t>14.1 – autos de origem).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58308699" w14:textId="1FA473F4" w:rsidR="009F154E" w:rsidRDefault="009F154E" w:rsidP="00877419">
      <w:pPr>
        <w:pStyle w:val="PargrafodaLista"/>
        <w:ind w:left="0"/>
        <w:contextualSpacing w:val="0"/>
      </w:pPr>
      <w:r>
        <w:t>Satisfeitos os pressupostos de admissibilidade recursal, conhece-se do recurso interposto.</w:t>
      </w:r>
    </w:p>
    <w:p w14:paraId="5A846A86" w14:textId="77777777" w:rsidR="009F154E" w:rsidRDefault="009F154E" w:rsidP="00877419">
      <w:pPr>
        <w:pStyle w:val="PargrafodaLista"/>
        <w:ind w:left="0"/>
        <w:contextualSpacing w:val="0"/>
      </w:pPr>
    </w:p>
    <w:p w14:paraId="483C3219" w14:textId="17AABA3A" w:rsidR="009F154E" w:rsidRDefault="009F154E" w:rsidP="00877419">
      <w:pPr>
        <w:pStyle w:val="PargrafodaLista"/>
        <w:ind w:left="0"/>
        <w:contextualSpacing w:val="0"/>
      </w:pPr>
      <w:r>
        <w:t>II.II – DA PRISÃO PREVENTIVA</w:t>
      </w:r>
    </w:p>
    <w:p w14:paraId="1DEFB614" w14:textId="77777777" w:rsidR="004953AE" w:rsidRDefault="00116507" w:rsidP="004953AE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t xml:space="preserve">Circunscreve-se a controvérsia recursal </w:t>
      </w:r>
      <w:r w:rsidR="00BF756D">
        <w:t xml:space="preserve">ao exame do </w:t>
      </w:r>
      <w:r w:rsidR="00CA37B0">
        <w:rPr>
          <w:i/>
          <w:iCs/>
        </w:rPr>
        <w:t>periculum libertatis</w:t>
      </w:r>
      <w:r w:rsidR="00CA37B0">
        <w:t xml:space="preserve"> (CPP, art. 312)</w:t>
      </w:r>
      <w:r w:rsidR="00F56BB8">
        <w:rPr>
          <w:rFonts w:eastAsia="Times New Roman" w:cs="Times New Roman"/>
          <w:szCs w:val="24"/>
          <w:lang w:eastAsia="pt-BR"/>
        </w:rPr>
        <w:t>, requisito para decretação de prisão preventiva como medida destinada ao acautelamento da ordem pública.</w:t>
      </w:r>
    </w:p>
    <w:p w14:paraId="20F8CCFA" w14:textId="107451D3" w:rsidR="00200444" w:rsidRDefault="004953AE" w:rsidP="00FE184C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O </w:t>
      </w:r>
      <w:r w:rsidR="00F56BB8">
        <w:rPr>
          <w:rFonts w:eastAsia="Times New Roman" w:cs="Times New Roman"/>
          <w:szCs w:val="24"/>
          <w:lang w:eastAsia="pt-BR"/>
        </w:rPr>
        <w:t>imputado</w:t>
      </w:r>
      <w:r w:rsidR="0020410D">
        <w:rPr>
          <w:rFonts w:eastAsia="Times New Roman" w:cs="Times New Roman"/>
          <w:szCs w:val="24"/>
          <w:lang w:eastAsia="pt-BR"/>
        </w:rPr>
        <w:t xml:space="preserve"> Angelo Gabriel Vicente Pinto Madruga foi preso em situação de flagrante delito, pela prática, em tese, da conduta capitulada no artigo </w:t>
      </w:r>
      <w:r w:rsidR="00461F9B">
        <w:rPr>
          <w:rFonts w:eastAsia="Times New Roman" w:cs="Times New Roman"/>
          <w:szCs w:val="24"/>
          <w:lang w:eastAsia="pt-BR"/>
        </w:rPr>
        <w:t>157, § 2º, inciso VII, do Código Penal</w:t>
      </w:r>
      <w:r w:rsidR="00200444">
        <w:rPr>
          <w:rFonts w:eastAsia="Times New Roman" w:cs="Times New Roman"/>
          <w:szCs w:val="24"/>
          <w:lang w:eastAsia="pt-BR"/>
        </w:rPr>
        <w:t xml:space="preserve"> (evento 1.3 – autos de origem).</w:t>
      </w:r>
    </w:p>
    <w:p w14:paraId="4BE4DF37" w14:textId="59FF1C2E" w:rsidR="00FE184C" w:rsidRDefault="00FE184C" w:rsidP="00FE184C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No prelúdio da audiência de custódia, o </w:t>
      </w:r>
      <w:r w:rsidR="00C34D49">
        <w:rPr>
          <w:rFonts w:eastAsia="Times New Roman" w:cs="Times New Roman"/>
          <w:szCs w:val="24"/>
          <w:lang w:eastAsia="pt-BR"/>
        </w:rPr>
        <w:t>flagranteado foi beneficiado com a concessão da liberdade provisória, mediante aplicação da medida cautelar de monitoramento eletrônico</w:t>
      </w:r>
      <w:r w:rsidR="00216297">
        <w:rPr>
          <w:rFonts w:eastAsia="Times New Roman" w:cs="Times New Roman"/>
          <w:szCs w:val="24"/>
          <w:lang w:eastAsia="pt-BR"/>
        </w:rPr>
        <w:t>. Tal decisão fundamentou-se na ausência de risco à ordem pública e na primariedade do imputado (evento 18.1 – autos de origem).</w:t>
      </w:r>
    </w:p>
    <w:p w14:paraId="78327AE7" w14:textId="19A1A31A" w:rsidR="00F56BB8" w:rsidRDefault="005843B5" w:rsidP="00F56BB8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Embora tecnicamente primário, o </w:t>
      </w:r>
      <w:r w:rsidR="00E95626">
        <w:rPr>
          <w:rFonts w:eastAsia="Times New Roman" w:cs="Times New Roman"/>
          <w:szCs w:val="24"/>
          <w:lang w:eastAsia="pt-BR"/>
        </w:rPr>
        <w:t xml:space="preserve">recorrido responde, em outras ações penais, por crimes patrimoniais. Sua prisão em flagrante, nesta persecução, ocorreu </w:t>
      </w:r>
      <w:r w:rsidR="00113287">
        <w:rPr>
          <w:rFonts w:eastAsia="Times New Roman" w:cs="Times New Roman"/>
          <w:szCs w:val="24"/>
          <w:lang w:eastAsia="pt-BR"/>
        </w:rPr>
        <w:t>poucos dias após concessão de liberdade provisória nos autos n.</w:t>
      </w:r>
      <w:r w:rsidR="00113287" w:rsidRPr="00113287">
        <w:rPr>
          <w:rFonts w:eastAsia="Times New Roman" w:cs="Times New Roman"/>
          <w:szCs w:val="24"/>
          <w:lang w:eastAsia="pt-BR"/>
        </w:rPr>
        <w:t xml:space="preserve"> 0000149-95.2025.8.16.0196 e </w:t>
      </w:r>
      <w:r w:rsidR="00113287">
        <w:rPr>
          <w:rFonts w:eastAsia="Times New Roman" w:cs="Times New Roman"/>
          <w:szCs w:val="24"/>
          <w:lang w:eastAsia="pt-BR"/>
        </w:rPr>
        <w:t xml:space="preserve">n. </w:t>
      </w:r>
      <w:r w:rsidR="00113287" w:rsidRPr="00113287">
        <w:rPr>
          <w:rFonts w:eastAsia="Times New Roman" w:cs="Times New Roman"/>
          <w:szCs w:val="24"/>
          <w:lang w:eastAsia="pt-BR"/>
        </w:rPr>
        <w:t>0000846- 19.2025.8.16.0196</w:t>
      </w:r>
      <w:r w:rsidR="00535407">
        <w:rPr>
          <w:rFonts w:eastAsia="Times New Roman" w:cs="Times New Roman"/>
          <w:szCs w:val="24"/>
          <w:lang w:eastAsia="pt-BR"/>
        </w:rPr>
        <w:t xml:space="preserve">. Atualmente, encontra-se preso preventivamente </w:t>
      </w:r>
      <w:r w:rsidR="00EC1AF6">
        <w:rPr>
          <w:rFonts w:eastAsia="Times New Roman" w:cs="Times New Roman"/>
          <w:szCs w:val="24"/>
          <w:lang w:eastAsia="pt-BR"/>
        </w:rPr>
        <w:t xml:space="preserve">por outra ação penal, </w:t>
      </w:r>
      <w:r w:rsidR="00D10294">
        <w:rPr>
          <w:rFonts w:eastAsia="Times New Roman" w:cs="Times New Roman"/>
          <w:szCs w:val="24"/>
          <w:lang w:eastAsia="pt-BR"/>
        </w:rPr>
        <w:t xml:space="preserve">processada nos autos n. </w:t>
      </w:r>
      <w:r w:rsidR="00D10294" w:rsidRPr="00D10294">
        <w:rPr>
          <w:rFonts w:eastAsia="Times New Roman" w:cs="Times New Roman"/>
          <w:szCs w:val="24"/>
          <w:lang w:eastAsia="pt-BR"/>
        </w:rPr>
        <w:t>0001507-95.2025.8.16.0196</w:t>
      </w:r>
      <w:r w:rsidR="00D10294">
        <w:rPr>
          <w:rFonts w:eastAsia="Times New Roman" w:cs="Times New Roman"/>
          <w:szCs w:val="24"/>
          <w:lang w:eastAsia="pt-BR"/>
        </w:rPr>
        <w:t>, sob acusação da prática de receptação</w:t>
      </w:r>
      <w:r w:rsidR="005445FA">
        <w:rPr>
          <w:rFonts w:eastAsia="Times New Roman" w:cs="Times New Roman"/>
          <w:szCs w:val="24"/>
          <w:lang w:eastAsia="pt-BR"/>
        </w:rPr>
        <w:t xml:space="preserve"> e adulteração de sinal de veículo automotor, inclusive portando um simulacro de arma de fogo.</w:t>
      </w:r>
    </w:p>
    <w:p w14:paraId="356ED3A1" w14:textId="4379F5D7" w:rsidR="00F56BB8" w:rsidRDefault="00F56BB8" w:rsidP="00F56BB8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 multiplicidade de anotações criminais, inclusive por fatos recentes, configura risco concreto de reiteração delitiva a ensejar aplicação de medi</w:t>
      </w:r>
      <w:r w:rsidR="00FE184C">
        <w:rPr>
          <w:rFonts w:eastAsia="Times New Roman" w:cs="Times New Roman"/>
          <w:szCs w:val="24"/>
          <w:lang w:eastAsia="pt-BR"/>
        </w:rPr>
        <w:t>d</w:t>
      </w:r>
      <w:r>
        <w:rPr>
          <w:rFonts w:eastAsia="Times New Roman" w:cs="Times New Roman"/>
          <w:szCs w:val="24"/>
          <w:lang w:eastAsia="pt-BR"/>
        </w:rPr>
        <w:t>a cautelar corpórea para acautelamento da ordem pública</w:t>
      </w:r>
      <w:r w:rsidR="009B2C73">
        <w:rPr>
          <w:rFonts w:eastAsia="Times New Roman" w:cs="Times New Roman"/>
          <w:szCs w:val="24"/>
          <w:lang w:eastAsia="pt-BR"/>
        </w:rPr>
        <w:t xml:space="preserve"> </w:t>
      </w:r>
      <w:r w:rsidR="002A5E31">
        <w:rPr>
          <w:rFonts w:eastAsia="Times New Roman" w:cs="Times New Roman"/>
          <w:szCs w:val="24"/>
          <w:lang w:eastAsia="pt-BR"/>
        </w:rPr>
        <w:t>(evento 9.1 – autos de origem).</w:t>
      </w:r>
    </w:p>
    <w:p w14:paraId="0B71028F" w14:textId="77777777" w:rsidR="00542403" w:rsidRDefault="00F56BB8" w:rsidP="00542403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Sobre o tema:</w:t>
      </w:r>
    </w:p>
    <w:p w14:paraId="7169A193" w14:textId="77777777" w:rsidR="00542403" w:rsidRDefault="00542403" w:rsidP="00542403">
      <w:pPr>
        <w:spacing w:before="240"/>
        <w:rPr>
          <w:rFonts w:eastAsia="Times New Roman" w:cs="Times New Roman"/>
          <w:szCs w:val="24"/>
          <w:lang w:eastAsia="pt-BR"/>
        </w:rPr>
      </w:pPr>
    </w:p>
    <w:p w14:paraId="3F9DB962" w14:textId="2DA3E2E4" w:rsidR="00657AE8" w:rsidRDefault="00F56BB8" w:rsidP="00542403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  <w:r w:rsidRPr="00642C21">
        <w:rPr>
          <w:rFonts w:eastAsia="Times New Roman" w:cs="Times New Roman"/>
          <w:sz w:val="20"/>
          <w:szCs w:val="24"/>
          <w:lang w:eastAsia="pt-BR"/>
        </w:rPr>
        <w:t>HABEAS CORPUS. CRIMES</w:t>
      </w:r>
      <w:r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DE ESTUPRO DE VULNERÁVEL. ART. 217-A, CAPUT, DO CÓDIGO PENAL. PEDIDO DE RECONHECIMENTO DE NULIDADE DO INTERROGATÓRIO NÃO CONHECIDO. SUPRESSÃO DE INSTÂNCIA. PEDIDO DE REVOGAÇÃO DA PRISÃO PREVENTIVA NÃO ACOLHIDO. MATERIALIDADE E INDÍCIOS SUFICIENTES DE AUTORIA. GRAVIDADE CONCRETA DA CONDUTA E PERICULOSIDADE DO AGENTE EVIDENCIADAS PELAS CIRCUNSTÂNCIAS DA AÇÃO DELITUOSA. PACIENTE QUE SUPOSTAMENTE SE APROVEITOU DE CARGO EM ORGANIZAÇÃO RELIGIOSA E DA CONFIANÇA DA FAMÍLIA DA VÍTIMA PARA PRATICAR OS CRIMES. VÍTIMA QUE RELATOU AMEAÇAS PARA NÃO COMUNICAR OS FATOS. PERICULOSIDADE ACENTUADA QUE AUTORIZA A DECRETAÇÃO DA PRISÃO. PRECEDENTES DO STJ. </w:t>
      </w:r>
      <w:r w:rsidRPr="00642C21">
        <w:rPr>
          <w:rFonts w:eastAsia="Times New Roman" w:cs="Times New Roman"/>
          <w:b/>
          <w:sz w:val="20"/>
          <w:szCs w:val="24"/>
          <w:lang w:eastAsia="pt-BR"/>
        </w:rPr>
        <w:t>RISCO CONCRETO DE REITERAÇÃO DELITIVA TAMBÉM EVIDENCIADO. EXISTÊNCIA DE OUTRAS ANOTAÇÕES CRIMINAIS E REGISTRO RECENTE DE BOLETIM DE OCORRÊNCIA POR CRIME DA MESMA NATUREZA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. TESE DE INOCÊNCIA QUE DEVERÁ SER ANALISADA PELO JUÍZO CRIMINAL APÓS A INSTRUÇÃO PROBATÓRIA. </w:t>
      </w:r>
      <w:r w:rsidRPr="00642C21">
        <w:rPr>
          <w:rFonts w:eastAsia="Times New Roman" w:cs="Times New Roman"/>
          <w:b/>
          <w:sz w:val="20"/>
          <w:szCs w:val="24"/>
          <w:lang w:eastAsia="pt-BR"/>
        </w:rPr>
        <w:t xml:space="preserve">CONDIÇÕES PESSOAIS INSUFICIENTES PARA AFASTAR A NECESSIDADE DA </w:t>
      </w:r>
      <w:r w:rsidR="00542403">
        <w:rPr>
          <w:rFonts w:eastAsia="Times New Roman" w:cs="Times New Roman"/>
          <w:b/>
          <w:sz w:val="20"/>
          <w:szCs w:val="24"/>
          <w:lang w:eastAsia="pt-BR"/>
        </w:rPr>
        <w:t>U</w:t>
      </w:r>
      <w:r w:rsidR="00542403" w:rsidRPr="00642C21">
        <w:rPr>
          <w:rFonts w:eastAsia="Times New Roman" w:cs="Times New Roman"/>
          <w:b/>
          <w:sz w:val="20"/>
          <w:szCs w:val="24"/>
          <w:lang w:eastAsia="pt-BR"/>
        </w:rPr>
        <w:t>LTIMA</w:t>
      </w:r>
      <w:r w:rsidRPr="00642C21">
        <w:rPr>
          <w:rFonts w:eastAsia="Times New Roman" w:cs="Times New Roman"/>
          <w:b/>
          <w:sz w:val="20"/>
          <w:szCs w:val="24"/>
          <w:lang w:eastAsia="pt-BR"/>
        </w:rPr>
        <w:t xml:space="preserve"> RATIO. MEDIDAS CAUTELARES ALTERNATIVAS INADEQUADAS. ORDEM PARCIALMENTE CONHECIDA E, NESTA EXTENSÃO, DENEGADA</w:t>
      </w:r>
      <w:r w:rsidRPr="00642C21">
        <w:rPr>
          <w:rFonts w:eastAsia="Times New Roman" w:cs="Times New Roman"/>
          <w:sz w:val="20"/>
          <w:szCs w:val="24"/>
          <w:lang w:eastAsia="pt-BR"/>
        </w:rPr>
        <w:t>.</w:t>
      </w:r>
      <w:r w:rsidR="00542403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642C21">
        <w:rPr>
          <w:rFonts w:eastAsia="Times New Roman" w:cs="Times New Roman"/>
          <w:sz w:val="20"/>
          <w:szCs w:val="24"/>
          <w:lang w:eastAsia="pt-BR"/>
        </w:rPr>
        <w:t>(TJPR</w:t>
      </w:r>
      <w:r w:rsidR="00542403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3ª Câmara Criminal. </w:t>
      </w:r>
      <w:r w:rsidRPr="00642C21">
        <w:rPr>
          <w:rFonts w:eastAsia="Times New Roman" w:cs="Times New Roman"/>
          <w:sz w:val="20"/>
          <w:szCs w:val="24"/>
          <w:lang w:eastAsia="pt-BR"/>
        </w:rPr>
        <w:t>0091332-27.2023.8.16.0000</w:t>
      </w:r>
      <w:r w:rsidR="00657AE8">
        <w:rPr>
          <w:rFonts w:eastAsia="Times New Roman" w:cs="Times New Roman"/>
          <w:sz w:val="20"/>
          <w:szCs w:val="24"/>
          <w:lang w:eastAsia="pt-BR"/>
        </w:rPr>
        <w:t>. Relator: Desembargador Mário Nini Azzolini. Data de julgamento: 30-10-2023).</w:t>
      </w:r>
    </w:p>
    <w:p w14:paraId="4B4250EA" w14:textId="77777777" w:rsidR="00657AE8" w:rsidRDefault="00657AE8" w:rsidP="00542403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</w:p>
    <w:p w14:paraId="4386801B" w14:textId="767130B9" w:rsidR="00657AE8" w:rsidRDefault="00F56BB8" w:rsidP="00542403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  <w:r>
        <w:rPr>
          <w:rFonts w:eastAsia="Times New Roman" w:cs="Times New Roman"/>
          <w:sz w:val="20"/>
          <w:szCs w:val="24"/>
          <w:lang w:eastAsia="pt-BR"/>
        </w:rPr>
        <w:t>HABEAS CORPUS CRIME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 – </w:t>
      </w:r>
      <w:r>
        <w:rPr>
          <w:rFonts w:eastAsia="Times New Roman" w:cs="Times New Roman"/>
          <w:sz w:val="20"/>
          <w:szCs w:val="24"/>
          <w:lang w:eastAsia="pt-BR"/>
        </w:rPr>
        <w:t xml:space="preserve">VIOLÊNCIA DOMÉSTICA </w:t>
      </w:r>
      <w:r w:rsidRPr="00642C21">
        <w:rPr>
          <w:rFonts w:eastAsia="Times New Roman" w:cs="Times New Roman"/>
          <w:sz w:val="20"/>
          <w:szCs w:val="24"/>
          <w:lang w:eastAsia="pt-BR"/>
        </w:rPr>
        <w:t>– DESCUMPRIMENTO DE MEDIDA PROTETIVA FACE A MENOR DE IDADE – ART. 25 DA LEI 14.344/22 –</w:t>
      </w:r>
      <w:r>
        <w:rPr>
          <w:rFonts w:eastAsia="Times New Roman" w:cs="Times New Roman"/>
          <w:sz w:val="20"/>
          <w:szCs w:val="24"/>
          <w:lang w:eastAsia="pt-BR"/>
        </w:rPr>
        <w:t xml:space="preserve"> INSURGÊNCIA DA DEFESA </w:t>
      </w:r>
      <w:r w:rsidRPr="00642C21">
        <w:rPr>
          <w:rFonts w:eastAsia="Times New Roman" w:cs="Times New Roman"/>
          <w:sz w:val="20"/>
          <w:szCs w:val="24"/>
          <w:lang w:eastAsia="pt-BR"/>
        </w:rPr>
        <w:t>–</w:t>
      </w:r>
      <w:r>
        <w:rPr>
          <w:rFonts w:eastAsia="Times New Roman" w:cs="Times New Roman"/>
          <w:sz w:val="20"/>
          <w:szCs w:val="24"/>
          <w:lang w:eastAsia="pt-BR"/>
        </w:rPr>
        <w:t xml:space="preserve"> REVOGAÇÃO DA PRISÃO PREVENTIVA – FUMUS COMISSI DELICTI E PERICULUM LIBERTATIS DEVIDAMENTE COMPROVADOS – REQUISITOS DA PRISÃO PREVENTIVA QUE SE MOSTRAM PRESENTES – RISCO DE REITERAÇÃO DELITIVA – </w:t>
      </w:r>
      <w:r w:rsidRPr="001067E1">
        <w:rPr>
          <w:rFonts w:eastAsia="Times New Roman" w:cs="Times New Roman"/>
          <w:b/>
          <w:sz w:val="20"/>
          <w:szCs w:val="24"/>
          <w:lang w:eastAsia="pt-BR"/>
        </w:rPr>
        <w:t>PACIENTE COM ANOTAÇÕES CRIMINAIS – GRAVIDADE CONCRETA DA CONDUTA – AUSÊNCIA DE FREIOS INIBITÓRIOS</w:t>
      </w:r>
      <w:r>
        <w:rPr>
          <w:rFonts w:eastAsia="Times New Roman" w:cs="Times New Roman"/>
          <w:sz w:val="20"/>
          <w:szCs w:val="24"/>
          <w:lang w:eastAsia="pt-BR"/>
        </w:rPr>
        <w:t xml:space="preserve"> – MANUTENÇÃO NECESSÁRIA PARA SALVAGUARDAR A INTEGRIDADE FÍSICA E PSICOLÓGICA DA VÍTIMA 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– CONSTRANGIMENTO ILEGAL NÃO CONFIGURADO – </w:t>
      </w:r>
      <w:r>
        <w:rPr>
          <w:rFonts w:eastAsia="Times New Roman" w:cs="Times New Roman"/>
          <w:sz w:val="20"/>
          <w:szCs w:val="24"/>
          <w:lang w:eastAsia="pt-BR"/>
        </w:rPr>
        <w:t>PRISÃO PREVENTIVA MANTIDA – ORDEM DENEGADA</w:t>
      </w:r>
      <w:r w:rsidRPr="00642C21">
        <w:rPr>
          <w:rFonts w:eastAsia="Times New Roman" w:cs="Times New Roman"/>
          <w:sz w:val="20"/>
          <w:szCs w:val="24"/>
          <w:lang w:eastAsia="pt-BR"/>
        </w:rPr>
        <w:t>.</w:t>
      </w:r>
      <w:r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642C21">
        <w:rPr>
          <w:rFonts w:eastAsia="Times New Roman" w:cs="Times New Roman"/>
          <w:sz w:val="20"/>
          <w:szCs w:val="24"/>
          <w:lang w:eastAsia="pt-BR"/>
        </w:rPr>
        <w:t>(TJPR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642C21">
        <w:rPr>
          <w:rFonts w:eastAsia="Times New Roman" w:cs="Times New Roman"/>
          <w:sz w:val="20"/>
          <w:szCs w:val="24"/>
          <w:lang w:eastAsia="pt-BR"/>
        </w:rPr>
        <w:t>1ª Câmara Criminal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="009B2C73">
        <w:rPr>
          <w:rFonts w:eastAsia="Times New Roman" w:cs="Times New Roman"/>
          <w:sz w:val="20"/>
          <w:szCs w:val="24"/>
          <w:lang w:eastAsia="pt-BR"/>
        </w:rPr>
        <w:t xml:space="preserve">Relator: Desembargador: Desembargador Substituto Sergio Luiz Patitucci. </w:t>
      </w:r>
      <w:r w:rsidRPr="00642C21">
        <w:rPr>
          <w:rFonts w:eastAsia="Times New Roman" w:cs="Times New Roman"/>
          <w:sz w:val="20"/>
          <w:szCs w:val="24"/>
          <w:lang w:eastAsia="pt-BR"/>
        </w:rPr>
        <w:t>0080500-32.2023.8.16.0000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642C21">
        <w:rPr>
          <w:rFonts w:eastAsia="Times New Roman" w:cs="Times New Roman"/>
          <w:sz w:val="20"/>
          <w:szCs w:val="24"/>
          <w:lang w:eastAsia="pt-BR"/>
        </w:rPr>
        <w:t>Colorado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="009B2C73">
        <w:rPr>
          <w:rFonts w:eastAsia="Times New Roman" w:cs="Times New Roman"/>
          <w:sz w:val="20"/>
          <w:szCs w:val="24"/>
          <w:lang w:eastAsia="pt-BR"/>
        </w:rPr>
        <w:t>Data de julgamento: 7-10-2023).</w:t>
      </w:r>
    </w:p>
    <w:p w14:paraId="288DE6D7" w14:textId="77777777" w:rsidR="00542403" w:rsidRPr="00542403" w:rsidRDefault="00542403" w:rsidP="00542403">
      <w:pPr>
        <w:ind w:left="2268" w:firstLine="0"/>
        <w:rPr>
          <w:rFonts w:eastAsia="Times New Roman" w:cs="Times New Roman"/>
          <w:szCs w:val="24"/>
          <w:lang w:eastAsia="pt-BR"/>
        </w:rPr>
      </w:pPr>
    </w:p>
    <w:p w14:paraId="6BBCD397" w14:textId="77777777" w:rsidR="00D87D55" w:rsidRDefault="002A5E31" w:rsidP="001E422C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Tal </w:t>
      </w:r>
      <w:r w:rsidR="00F56BB8">
        <w:rPr>
          <w:rFonts w:eastAsia="Times New Roman" w:cs="Times New Roman"/>
          <w:szCs w:val="24"/>
          <w:lang w:eastAsia="pt-BR"/>
        </w:rPr>
        <w:t xml:space="preserve">constatação, em cotejo com </w:t>
      </w:r>
      <w:r>
        <w:rPr>
          <w:rFonts w:eastAsia="Times New Roman" w:cs="Times New Roman"/>
          <w:szCs w:val="24"/>
          <w:lang w:eastAsia="pt-BR"/>
        </w:rPr>
        <w:t xml:space="preserve">a gravidade concreta </w:t>
      </w:r>
      <w:r w:rsidR="00CA3194">
        <w:rPr>
          <w:rFonts w:eastAsia="Times New Roman" w:cs="Times New Roman"/>
          <w:szCs w:val="24"/>
          <w:lang w:eastAsia="pt-BR"/>
        </w:rPr>
        <w:t xml:space="preserve">do crime, materializado no </w:t>
      </w:r>
      <w:r w:rsidR="00CA3194">
        <w:rPr>
          <w:rFonts w:eastAsia="Times New Roman" w:cs="Times New Roman"/>
          <w:i/>
          <w:iCs/>
          <w:szCs w:val="24"/>
          <w:lang w:eastAsia="pt-BR"/>
        </w:rPr>
        <w:t xml:space="preserve">modus operandi </w:t>
      </w:r>
      <w:r w:rsidR="00CA3194">
        <w:rPr>
          <w:rFonts w:eastAsia="Times New Roman" w:cs="Times New Roman"/>
          <w:szCs w:val="24"/>
          <w:lang w:eastAsia="pt-BR"/>
        </w:rPr>
        <w:t xml:space="preserve">empregado, consistente na submissão da vítima, </w:t>
      </w:r>
      <w:r w:rsidR="0055142F">
        <w:rPr>
          <w:rFonts w:eastAsia="Times New Roman" w:cs="Times New Roman"/>
          <w:szCs w:val="24"/>
          <w:lang w:eastAsia="pt-BR"/>
        </w:rPr>
        <w:t xml:space="preserve">adolescente, </w:t>
      </w:r>
      <w:r w:rsidR="00D172D7">
        <w:rPr>
          <w:rFonts w:eastAsia="Times New Roman" w:cs="Times New Roman"/>
          <w:szCs w:val="24"/>
          <w:lang w:eastAsia="pt-BR"/>
        </w:rPr>
        <w:t xml:space="preserve">mediante uso de faca e superioridade numérica, </w:t>
      </w:r>
      <w:r w:rsidR="00736CE1">
        <w:rPr>
          <w:rFonts w:eastAsia="Times New Roman" w:cs="Times New Roman"/>
          <w:szCs w:val="24"/>
          <w:lang w:eastAsia="pt-BR"/>
        </w:rPr>
        <w:t>reafirmam a necessidade e adequação da prisão</w:t>
      </w:r>
      <w:r w:rsidR="00D87D55">
        <w:rPr>
          <w:rFonts w:eastAsia="Times New Roman" w:cs="Times New Roman"/>
          <w:szCs w:val="24"/>
          <w:lang w:eastAsia="pt-BR"/>
        </w:rPr>
        <w:t xml:space="preserve"> preventiva para acautelamento da ordem pública (CPP, art. 312).</w:t>
      </w:r>
    </w:p>
    <w:p w14:paraId="57D73A16" w14:textId="77777777" w:rsidR="00F56BB8" w:rsidRDefault="00F56BB8" w:rsidP="00F56BB8">
      <w:pPr>
        <w:spacing w:before="240"/>
        <w:rPr>
          <w:rFonts w:eastAsia="Times New Roman" w:cs="Times New Roman"/>
          <w:szCs w:val="24"/>
          <w:lang w:eastAsia="pt-BR"/>
        </w:rPr>
      </w:pPr>
    </w:p>
    <w:p w14:paraId="64D949B9" w14:textId="77777777" w:rsidR="0060292A" w:rsidRDefault="00F56BB8" w:rsidP="0060292A">
      <w:pPr>
        <w:spacing w:before="240"/>
        <w:rPr>
          <w:rFonts w:eastAsia="Times New Roman" w:cs="Times New Roman"/>
          <w:szCs w:val="24"/>
          <w:lang w:eastAsia="pt-BR"/>
        </w:rPr>
      </w:pPr>
      <w:r w:rsidRPr="00507B84">
        <w:rPr>
          <w:rFonts w:eastAsia="Times New Roman" w:cs="Times New Roman"/>
          <w:szCs w:val="24"/>
          <w:lang w:eastAsia="pt-BR"/>
        </w:rPr>
        <w:t>II.III – DA CONCLUSÃO</w:t>
      </w:r>
    </w:p>
    <w:p w14:paraId="44C89BAE" w14:textId="561A5B34" w:rsidR="005402B3" w:rsidRPr="0060292A" w:rsidRDefault="005402B3" w:rsidP="0060292A">
      <w:pPr>
        <w:spacing w:before="240"/>
        <w:rPr>
          <w:rFonts w:eastAsia="Times New Roman" w:cs="Times New Roman"/>
          <w:szCs w:val="24"/>
          <w:lang w:eastAsia="pt-BR"/>
        </w:rPr>
      </w:pPr>
      <w:r>
        <w:t>Pela conjugação das premissas deduzidas, a conclusão a ser adotada consiste em conhecer e</w:t>
      </w:r>
      <w:r w:rsidR="0060292A">
        <w:t xml:space="preserve"> dar provimento ao recurso.</w:t>
      </w:r>
    </w:p>
    <w:p w14:paraId="5F094A82" w14:textId="77777777" w:rsidR="005402B3" w:rsidRDefault="005402B3" w:rsidP="005402B3">
      <w:pPr>
        <w:pStyle w:val="PargrafodaLista"/>
        <w:ind w:left="0"/>
        <w:contextualSpacing w:val="0"/>
      </w:pPr>
      <w:r>
        <w:t>É como voto.</w:t>
      </w:r>
    </w:p>
    <w:p w14:paraId="48719C0D" w14:textId="77777777" w:rsidR="00F56BB8" w:rsidRDefault="00F56BB8" w:rsidP="00F56BB8">
      <w:pPr>
        <w:spacing w:before="240"/>
        <w:rPr>
          <w:rFonts w:eastAsia="Times New Roman" w:cs="Times New Roman"/>
          <w:szCs w:val="24"/>
          <w:lang w:eastAsia="pt-BR"/>
        </w:rPr>
      </w:pPr>
    </w:p>
    <w:p w14:paraId="7850D6A8" w14:textId="38A83F1D" w:rsidR="00B46E8E" w:rsidRPr="001B693E" w:rsidRDefault="00F56BB8" w:rsidP="001B693E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6E5FE4">
        <w:rPr>
          <w:rFonts w:eastAsia="Times New Roman" w:cs="Times New Roman"/>
          <w:b/>
          <w:szCs w:val="24"/>
          <w:lang w:eastAsia="pt-BR"/>
        </w:rPr>
        <w:t>III - DECISÃO</w:t>
      </w:r>
    </w:p>
    <w:sectPr w:rsidR="00B46E8E" w:rsidRPr="001B6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22516"/>
    <w:rsid w:val="000B27AC"/>
    <w:rsid w:val="00113287"/>
    <w:rsid w:val="00113E8E"/>
    <w:rsid w:val="00116507"/>
    <w:rsid w:val="00146748"/>
    <w:rsid w:val="00157F8E"/>
    <w:rsid w:val="00165C47"/>
    <w:rsid w:val="001A1E9E"/>
    <w:rsid w:val="001B693E"/>
    <w:rsid w:val="001C2D4C"/>
    <w:rsid w:val="001E422C"/>
    <w:rsid w:val="00200444"/>
    <w:rsid w:val="0020410D"/>
    <w:rsid w:val="00216297"/>
    <w:rsid w:val="00261EDF"/>
    <w:rsid w:val="002955FA"/>
    <w:rsid w:val="002A5E31"/>
    <w:rsid w:val="0031384B"/>
    <w:rsid w:val="003714E1"/>
    <w:rsid w:val="004002B0"/>
    <w:rsid w:val="004218CE"/>
    <w:rsid w:val="004565E9"/>
    <w:rsid w:val="00461F9B"/>
    <w:rsid w:val="004953AE"/>
    <w:rsid w:val="004B28BE"/>
    <w:rsid w:val="00507CBA"/>
    <w:rsid w:val="00535407"/>
    <w:rsid w:val="005402B3"/>
    <w:rsid w:val="00542403"/>
    <w:rsid w:val="005445FA"/>
    <w:rsid w:val="0055142F"/>
    <w:rsid w:val="005843B5"/>
    <w:rsid w:val="005930F1"/>
    <w:rsid w:val="005B4039"/>
    <w:rsid w:val="005C2BF1"/>
    <w:rsid w:val="0060292A"/>
    <w:rsid w:val="00617069"/>
    <w:rsid w:val="00624B2B"/>
    <w:rsid w:val="00657AE8"/>
    <w:rsid w:val="00672942"/>
    <w:rsid w:val="00736689"/>
    <w:rsid w:val="00736CE1"/>
    <w:rsid w:val="00754271"/>
    <w:rsid w:val="0076493D"/>
    <w:rsid w:val="007844CF"/>
    <w:rsid w:val="00794062"/>
    <w:rsid w:val="008077B8"/>
    <w:rsid w:val="00877419"/>
    <w:rsid w:val="008C7C32"/>
    <w:rsid w:val="009528D9"/>
    <w:rsid w:val="00973737"/>
    <w:rsid w:val="009A3DA6"/>
    <w:rsid w:val="009B2C73"/>
    <w:rsid w:val="009D0D3E"/>
    <w:rsid w:val="009F154E"/>
    <w:rsid w:val="00A33A4F"/>
    <w:rsid w:val="00A86A3F"/>
    <w:rsid w:val="00A90187"/>
    <w:rsid w:val="00AA28DF"/>
    <w:rsid w:val="00AE47D1"/>
    <w:rsid w:val="00B27F39"/>
    <w:rsid w:val="00B44758"/>
    <w:rsid w:val="00B46E8E"/>
    <w:rsid w:val="00B51D78"/>
    <w:rsid w:val="00B6687E"/>
    <w:rsid w:val="00BA05D2"/>
    <w:rsid w:val="00BC64BE"/>
    <w:rsid w:val="00BF756D"/>
    <w:rsid w:val="00C34D49"/>
    <w:rsid w:val="00C7063D"/>
    <w:rsid w:val="00CA3194"/>
    <w:rsid w:val="00CA37B0"/>
    <w:rsid w:val="00D10294"/>
    <w:rsid w:val="00D172D7"/>
    <w:rsid w:val="00D37894"/>
    <w:rsid w:val="00D7588D"/>
    <w:rsid w:val="00D87D55"/>
    <w:rsid w:val="00DC37B4"/>
    <w:rsid w:val="00DE77F2"/>
    <w:rsid w:val="00E80A59"/>
    <w:rsid w:val="00E95626"/>
    <w:rsid w:val="00EA69C4"/>
    <w:rsid w:val="00EC1AF6"/>
    <w:rsid w:val="00EF5B39"/>
    <w:rsid w:val="00F02B89"/>
    <w:rsid w:val="00F0385D"/>
    <w:rsid w:val="00F56BB8"/>
    <w:rsid w:val="00FE0C12"/>
    <w:rsid w:val="00FE184C"/>
    <w:rsid w:val="00FE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3D9BE1-68DE-45E3-BB11-FCD3F934B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882</Words>
  <Characters>5390</Characters>
  <Application>Microsoft Office Word</Application>
  <DocSecurity>0</DocSecurity>
  <Lines>149</Lines>
  <Paragraphs>99</Paragraphs>
  <ScaleCrop>false</ScaleCrop>
  <Company>Tribunal de Justiça do Estado do Paraná</Company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84</cp:revision>
  <cp:lastPrinted>2025-07-11T18:35:00Z</cp:lastPrinted>
  <dcterms:created xsi:type="dcterms:W3CDTF">2024-02-08T17:42:00Z</dcterms:created>
  <dcterms:modified xsi:type="dcterms:W3CDTF">2025-11-11T21:11:00Z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