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78D43" w14:textId="77777777" w:rsidR="00F27846" w:rsidRDefault="00F27846" w:rsidP="00DD6C95">
      <w:pPr>
        <w:ind w:firstLine="0"/>
        <w:rPr>
          <w:b/>
        </w:rPr>
      </w:pPr>
      <w:r>
        <w:rPr>
          <w:b/>
        </w:rPr>
        <w:t>DIREITO PENAL E PROCESSUAL PENAL. RECURSO EM SENTIDO ESTRITO. PRISÃO PREVENTIVA. DESCUMPRIMENTO DE MEDIDA ALTERNATIVA. APLICAÇÃO DA LEI PENAL. REITERAÇÃO DELITIVA. GARANTIA DA ORDEM PÚBLICA.</w:t>
      </w:r>
    </w:p>
    <w:p w14:paraId="48B2FE9C" w14:textId="77777777" w:rsidR="00F27846" w:rsidRDefault="00F27846" w:rsidP="00DD6C95">
      <w:pPr>
        <w:ind w:firstLine="0"/>
        <w:rPr>
          <w:b/>
        </w:rPr>
      </w:pPr>
      <w:r w:rsidRPr="00146748">
        <w:rPr>
          <w:b/>
        </w:rPr>
        <w:t>I. CASO EM EXAME</w:t>
      </w:r>
    </w:p>
    <w:p w14:paraId="15DE7427" w14:textId="77777777" w:rsidR="00F27846" w:rsidRPr="00146748" w:rsidRDefault="00F27846" w:rsidP="00DD6C95">
      <w:pPr>
        <w:ind w:firstLine="0"/>
        <w:rPr>
          <w:b/>
        </w:rPr>
      </w:pPr>
      <w:r>
        <w:rPr>
          <w:b/>
        </w:rPr>
        <w:t>Recurso em sentido estrito interposto contra decisão que indeferiu requerimento ministerial de decretação da prisão preventiva.</w:t>
      </w:r>
    </w:p>
    <w:p w14:paraId="121AA89B" w14:textId="77777777" w:rsidR="00F27846" w:rsidRPr="00146748" w:rsidRDefault="00F27846" w:rsidP="00DD6C95">
      <w:pPr>
        <w:ind w:firstLine="0"/>
        <w:rPr>
          <w:b/>
        </w:rPr>
      </w:pPr>
      <w:r w:rsidRPr="00146748">
        <w:rPr>
          <w:b/>
        </w:rPr>
        <w:t>II. QUESTÃO EM DISCUSSÃO</w:t>
      </w:r>
    </w:p>
    <w:p w14:paraId="23C2EAC6" w14:textId="77777777" w:rsidR="00F27846" w:rsidRPr="00D7588D" w:rsidRDefault="00F27846" w:rsidP="00DD6C95">
      <w:pPr>
        <w:ind w:firstLine="0"/>
        <w:rPr>
          <w:b/>
        </w:rPr>
      </w:pPr>
      <w:r>
        <w:rPr>
          <w:b/>
        </w:rPr>
        <w:t>Caracterização dos requisitos da prisão preventiva, em razão da multiplicidade de anotações criminais e descumprimento da medida de obrigação de manter endereços e dados de contato atualizados.</w:t>
      </w:r>
    </w:p>
    <w:p w14:paraId="07B564B5" w14:textId="77777777" w:rsidR="00F27846" w:rsidRDefault="00F27846" w:rsidP="00DD6C95">
      <w:pPr>
        <w:ind w:firstLine="0"/>
        <w:rPr>
          <w:b/>
        </w:rPr>
      </w:pPr>
      <w:r w:rsidRPr="00146748">
        <w:rPr>
          <w:b/>
        </w:rPr>
        <w:t>III. RAZÕES DE DECIDIR</w:t>
      </w:r>
    </w:p>
    <w:p w14:paraId="54E51EC3" w14:textId="77777777" w:rsidR="00F27846" w:rsidRDefault="00F27846" w:rsidP="00DD6C95">
      <w:pPr>
        <w:ind w:firstLine="0"/>
        <w:rPr>
          <w:b/>
        </w:rPr>
      </w:pPr>
      <w:r>
        <w:rPr>
          <w:b/>
        </w:rPr>
        <w:t>II.I. O descumprimento da medida cautelar de comunicar alteração de endereço ao juízo criminal indica intenção de frustrar eventual aplicação da lei penal, legitimando a aplicação da prisão preventiva como medida cautelar adequada e necessária.</w:t>
      </w:r>
    </w:p>
    <w:p w14:paraId="74DA02B7" w14:textId="77777777" w:rsidR="00F27846" w:rsidRPr="00146748" w:rsidRDefault="00F27846" w:rsidP="00DD6C95">
      <w:pPr>
        <w:ind w:firstLine="0"/>
        <w:rPr>
          <w:b/>
        </w:rPr>
      </w:pPr>
      <w:r>
        <w:rPr>
          <w:b/>
        </w:rPr>
        <w:t>II.II. A reiteração delitiva, inferida da folha de antecedentes criminais, denota risco concreto de reiteração delitiva a determinar a necessidade e adequação da prisão preventiva para garantia da ordem pública.</w:t>
      </w:r>
    </w:p>
    <w:p w14:paraId="6AA72B8D" w14:textId="77777777" w:rsidR="00F27846" w:rsidRPr="00146748" w:rsidRDefault="00F27846" w:rsidP="00DD6C95">
      <w:pPr>
        <w:ind w:firstLine="0"/>
        <w:rPr>
          <w:b/>
        </w:rPr>
      </w:pPr>
      <w:r w:rsidRPr="00146748">
        <w:rPr>
          <w:b/>
        </w:rPr>
        <w:t>IV. SOLUÇÃO DO CASO</w:t>
      </w:r>
    </w:p>
    <w:p w14:paraId="2A3EB0D7" w14:textId="77777777" w:rsidR="00F27846" w:rsidRPr="00146748" w:rsidRDefault="00F27846" w:rsidP="00DD6C95">
      <w:pPr>
        <w:ind w:firstLine="0"/>
        <w:rPr>
          <w:b/>
        </w:rPr>
      </w:pPr>
      <w:r w:rsidRPr="00146748">
        <w:rPr>
          <w:b/>
        </w:rPr>
        <w:t xml:space="preserve">Recurso conhecido e </w:t>
      </w:r>
      <w:r>
        <w:rPr>
          <w:b/>
        </w:rPr>
        <w:t>provido.</w:t>
      </w:r>
    </w:p>
    <w:p w14:paraId="4213022B" w14:textId="77777777" w:rsidR="00F27846" w:rsidRDefault="00F27846" w:rsidP="00DD6C95">
      <w:pPr>
        <w:ind w:firstLine="0"/>
        <w:rPr>
          <w:b/>
        </w:rPr>
      </w:pPr>
      <w:r w:rsidRPr="00146748">
        <w:rPr>
          <w:b/>
        </w:rPr>
        <w:t>V. JURISPRUDÊNCIA E LEGISLAÇÃO UTILIZADAS</w:t>
      </w:r>
    </w:p>
    <w:p w14:paraId="6E471232" w14:textId="77777777" w:rsidR="00F27846" w:rsidRDefault="00F27846" w:rsidP="00DD6C95">
      <w:pPr>
        <w:ind w:firstLine="0"/>
        <w:rPr>
          <w:b/>
        </w:rPr>
      </w:pPr>
      <w:r>
        <w:rPr>
          <w:b/>
        </w:rPr>
        <w:lastRenderedPageBreak/>
        <w:t>V. I. Legislação</w:t>
      </w:r>
    </w:p>
    <w:p w14:paraId="3791FB8E" w14:textId="77777777" w:rsidR="00F27846" w:rsidRDefault="00F27846" w:rsidP="00DD6C95">
      <w:pPr>
        <w:ind w:firstLine="0"/>
        <w:rPr>
          <w:b/>
        </w:rPr>
      </w:pPr>
      <w:r>
        <w:rPr>
          <w:b/>
        </w:rPr>
        <w:t>CPP: art. 312.</w:t>
      </w:r>
    </w:p>
    <w:p w14:paraId="766C45EF" w14:textId="77777777" w:rsidR="00F27846" w:rsidRDefault="00F27846" w:rsidP="00DD6C95">
      <w:pPr>
        <w:ind w:firstLine="0"/>
        <w:rPr>
          <w:b/>
        </w:rPr>
      </w:pPr>
      <w:r>
        <w:rPr>
          <w:b/>
        </w:rPr>
        <w:t>CP: art. 157, § 2º, VII.</w:t>
      </w:r>
    </w:p>
    <w:p w14:paraId="32C3C960" w14:textId="77777777" w:rsidR="00F27846" w:rsidRDefault="00F27846" w:rsidP="00DD6C95">
      <w:pPr>
        <w:ind w:firstLine="0"/>
        <w:rPr>
          <w:b/>
        </w:rPr>
      </w:pPr>
      <w:r>
        <w:rPr>
          <w:b/>
        </w:rPr>
        <w:t xml:space="preserve">V. II. </w:t>
      </w:r>
      <w:r w:rsidRPr="00146748">
        <w:rPr>
          <w:b/>
        </w:rPr>
        <w:t>Jurisprudência</w:t>
      </w:r>
    </w:p>
    <w:p w14:paraId="1C1142C4" w14:textId="77777777" w:rsidR="00F27846" w:rsidRDefault="00F27846" w:rsidP="00DD6C95">
      <w:pPr>
        <w:ind w:firstLine="0"/>
        <w:rPr>
          <w:b/>
        </w:rPr>
      </w:pPr>
      <w:r w:rsidRPr="004D7568">
        <w:rPr>
          <w:b/>
        </w:rPr>
        <w:t>TJPR. 4ª Câmara Criminal. Relator: Desembargador Substituto Pedro Luis Sanson Corat. 0071420-65.2024.8.16.0014. Londrina. Data de julgamento: 3-2-2025</w:t>
      </w:r>
      <w:r>
        <w:rPr>
          <w:b/>
        </w:rPr>
        <w:t>;</w:t>
      </w:r>
    </w:p>
    <w:p w14:paraId="5D3B1957" w14:textId="77777777" w:rsidR="00F27846" w:rsidRDefault="00F27846" w:rsidP="00DD6C95">
      <w:pPr>
        <w:ind w:firstLine="0"/>
        <w:rPr>
          <w:b/>
        </w:rPr>
      </w:pPr>
      <w:r w:rsidRPr="0071391A">
        <w:rPr>
          <w:b/>
        </w:rPr>
        <w:t>TJPR. 4ª Câmara Criminal. Relator: Desembargador Substituto Lourival Pedro Chemim. 0000474-76.2025.8.16.0000. Rio Negro. Data de julgamento: 5-3-2025</w:t>
      </w:r>
      <w:r>
        <w:rPr>
          <w:b/>
        </w:rPr>
        <w:t>.</w:t>
      </w:r>
    </w:p>
    <w:p w14:paraId="195C56DB" w14:textId="31650392" w:rsidR="3C2A6176" w:rsidRDefault="3C2A6176" w:rsidP="3C2A6176">
      <w:pPr>
        <w:ind w:firstLine="0"/>
        <w:rPr>
          <w:b/>
          <w:bCs/>
        </w:rPr>
      </w:pPr>
    </w:p>
    <w:p w14:paraId="39B4AB3C" w14:textId="77777777" w:rsidR="004218CE" w:rsidRDefault="00AA28DF" w:rsidP="004218CE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14:paraId="3667AE1A" w14:textId="1D5C2ED7" w:rsidR="00021E7E" w:rsidRDefault="00AA28DF" w:rsidP="00935E06">
      <w:pPr>
        <w:pStyle w:val="PargrafodaLista"/>
        <w:ind w:left="0"/>
        <w:contextualSpacing w:val="0"/>
      </w:pPr>
      <w:r>
        <w:t>Cuida-se de</w:t>
      </w:r>
      <w:r w:rsidR="004B28BE">
        <w:t xml:space="preserve"> recurso em sentido estrito interposto pelo Ministério Público do Estado do Paraná em face de </w:t>
      </w:r>
      <w:r w:rsidR="00780837">
        <w:t xml:space="preserve">Ademilson Felipe Arcenio, tendo como objeto decisão proferida pelo juízo da </w:t>
      </w:r>
      <w:r w:rsidR="00661DAD">
        <w:t xml:space="preserve">8ª Vara </w:t>
      </w:r>
      <w:r w:rsidR="00AD398A">
        <w:t xml:space="preserve">Criminal de Curitiba, que indeferiu requerimento de decretação da prisão preventiva do recorrido (evento </w:t>
      </w:r>
      <w:r w:rsidR="00021E7E">
        <w:t>110.1 – autos de origem).</w:t>
      </w:r>
    </w:p>
    <w:p w14:paraId="5F677818" w14:textId="4A54E7A7" w:rsidR="00EA69C4" w:rsidRPr="00EA69C4" w:rsidRDefault="000B27AC" w:rsidP="004218CE">
      <w:pPr>
        <w:pStyle w:val="PargrafodaLista"/>
        <w:ind w:left="0"/>
        <w:contextualSpacing w:val="0"/>
        <w:rPr>
          <w:bCs/>
        </w:rPr>
      </w:pPr>
      <w:r>
        <w:rPr>
          <w:bCs/>
        </w:rPr>
        <w:lastRenderedPageBreak/>
        <w:t xml:space="preserve">Sustenta </w:t>
      </w:r>
      <w:r w:rsidR="00EA69C4">
        <w:rPr>
          <w:bCs/>
        </w:rPr>
        <w:t xml:space="preserve">o </w:t>
      </w:r>
      <w:r w:rsidR="005C2BF1" w:rsidRPr="004218CE">
        <w:rPr>
          <w:bCs/>
          <w:i/>
          <w:iCs/>
        </w:rPr>
        <w:t>Parquet</w:t>
      </w:r>
      <w:r w:rsidR="00EA69C4">
        <w:rPr>
          <w:bCs/>
          <w:i/>
          <w:iCs/>
        </w:rPr>
        <w:t xml:space="preserve">, </w:t>
      </w:r>
      <w:r w:rsidR="00EA69C4">
        <w:rPr>
          <w:bCs/>
        </w:rPr>
        <w:t>em síntese, que a multiplicidade de anotações criminais</w:t>
      </w:r>
      <w:r w:rsidR="000E0ADB">
        <w:rPr>
          <w:bCs/>
        </w:rPr>
        <w:t>, a</w:t>
      </w:r>
      <w:r w:rsidR="002D404F">
        <w:rPr>
          <w:bCs/>
        </w:rPr>
        <w:t xml:space="preserve"> caracteriza</w:t>
      </w:r>
      <w:r w:rsidR="000E0ADB">
        <w:rPr>
          <w:bCs/>
        </w:rPr>
        <w:t>r</w:t>
      </w:r>
      <w:r w:rsidR="002D404F">
        <w:rPr>
          <w:bCs/>
        </w:rPr>
        <w:t xml:space="preserve"> risco concreto de reiteração delitiva, </w:t>
      </w:r>
      <w:r w:rsidR="000E0ADB">
        <w:rPr>
          <w:bCs/>
        </w:rPr>
        <w:t>e</w:t>
      </w:r>
      <w:r w:rsidR="002D404F">
        <w:rPr>
          <w:bCs/>
        </w:rPr>
        <w:t xml:space="preserve"> descumprimento de </w:t>
      </w:r>
      <w:r w:rsidR="000E0ADB">
        <w:rPr>
          <w:bCs/>
        </w:rPr>
        <w:t xml:space="preserve">medidas cautelares alternativas denotam a necessidade e utilidade da prisão preventiva para a garantia da ordem pública </w:t>
      </w:r>
      <w:r w:rsidR="00A8685E">
        <w:rPr>
          <w:bCs/>
        </w:rPr>
        <w:t xml:space="preserve">e aplicação da lei penal </w:t>
      </w:r>
      <w:r w:rsidR="000E0ADB">
        <w:rPr>
          <w:bCs/>
        </w:rPr>
        <w:t xml:space="preserve">(evento </w:t>
      </w:r>
      <w:r w:rsidR="00DB0A6C">
        <w:rPr>
          <w:bCs/>
        </w:rPr>
        <w:t>123.1 – autos de origem).</w:t>
      </w:r>
    </w:p>
    <w:p w14:paraId="767D53A9" w14:textId="0AE5B68F" w:rsidR="007013BF" w:rsidRDefault="007844CF" w:rsidP="004218CE">
      <w:pPr>
        <w:pStyle w:val="PargrafodaLista"/>
        <w:ind w:left="0"/>
        <w:contextualSpacing w:val="0"/>
        <w:rPr>
          <w:bCs/>
        </w:rPr>
      </w:pPr>
      <w:r>
        <w:rPr>
          <w:bCs/>
        </w:rPr>
        <w:t>Nas contrarrazões, a defesa se manifestou pelo desprovimento do repto (evento</w:t>
      </w:r>
      <w:r w:rsidR="007013BF">
        <w:rPr>
          <w:bCs/>
        </w:rPr>
        <w:t xml:space="preserve"> 130.1 – autos de origem).</w:t>
      </w:r>
    </w:p>
    <w:p w14:paraId="524C509D" w14:textId="60474998" w:rsidR="009528D9" w:rsidRPr="002F62AC" w:rsidRDefault="00B51D78" w:rsidP="002F62AC">
      <w:pPr>
        <w:pStyle w:val="PargrafodaLista"/>
        <w:ind w:left="0"/>
        <w:contextualSpacing w:val="0"/>
        <w:rPr>
          <w:bCs/>
        </w:rPr>
      </w:pPr>
      <w:r>
        <w:rPr>
          <w:bCs/>
        </w:rPr>
        <w:t>Opinou a Procuradoria-Geral de Justiça pelo conhecimento e provimento do recurso</w:t>
      </w:r>
      <w:r w:rsidR="00617069">
        <w:rPr>
          <w:bCs/>
        </w:rPr>
        <w:t>, argumentando que a prisão</w:t>
      </w:r>
      <w:r w:rsidR="00443B9F">
        <w:rPr>
          <w:bCs/>
        </w:rPr>
        <w:t xml:space="preserve"> é </w:t>
      </w:r>
      <w:r w:rsidR="00FF02B1">
        <w:rPr>
          <w:bCs/>
        </w:rPr>
        <w:t>necessária, em especial, para a garantia de aplicação da lei penal</w:t>
      </w:r>
      <w:r w:rsidR="002F62AC">
        <w:rPr>
          <w:bCs/>
        </w:rPr>
        <w:t xml:space="preserve"> (evento 14.1).</w:t>
      </w:r>
    </w:p>
    <w:p w14:paraId="5A480162" w14:textId="77777777" w:rsidR="00AA28DF" w:rsidRDefault="00AA28DF" w:rsidP="00877419">
      <w:pPr>
        <w:pStyle w:val="PargrafodaLista"/>
        <w:ind w:left="0"/>
        <w:contextualSpacing w:val="0"/>
      </w:pPr>
      <w:r>
        <w:t>É o necessário relato.</w:t>
      </w:r>
    </w:p>
    <w:p w14:paraId="1769E6BE" w14:textId="77777777" w:rsidR="00AA28DF" w:rsidRDefault="00AA28DF" w:rsidP="00877419">
      <w:pPr>
        <w:pStyle w:val="PargrafodaLista"/>
        <w:ind w:left="0"/>
        <w:contextualSpacing w:val="0"/>
      </w:pPr>
    </w:p>
    <w:p w14:paraId="54C5CE34" w14:textId="77777777"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r w:rsidRPr="00AA28DF">
        <w:rPr>
          <w:b/>
        </w:rPr>
        <w:t>II – VOTO E SUA FUNDAMENTAÇÃO</w:t>
      </w:r>
    </w:p>
    <w:p w14:paraId="43849029" w14:textId="77777777" w:rsidR="00AA28DF" w:rsidRDefault="00AA28DF" w:rsidP="00877419">
      <w:pPr>
        <w:pStyle w:val="PargrafodaLista"/>
        <w:ind w:left="0"/>
        <w:contextualSpacing w:val="0"/>
      </w:pPr>
      <w:r>
        <w:t>II.I – DO JUÍZO DE ADMISSIBILIDADE</w:t>
      </w:r>
    </w:p>
    <w:p w14:paraId="58308699" w14:textId="1FA473F4" w:rsidR="009F154E" w:rsidRDefault="009F154E" w:rsidP="00877419">
      <w:pPr>
        <w:pStyle w:val="PargrafodaLista"/>
        <w:ind w:left="0"/>
        <w:contextualSpacing w:val="0"/>
      </w:pPr>
      <w:r>
        <w:t>Satisfeitos os pressupostos de admissibilidade recursal, conhece-se do recurso interposto.</w:t>
      </w:r>
    </w:p>
    <w:p w14:paraId="5A846A86" w14:textId="77777777" w:rsidR="009F154E" w:rsidRDefault="009F154E" w:rsidP="00877419">
      <w:pPr>
        <w:pStyle w:val="PargrafodaLista"/>
        <w:ind w:left="0"/>
        <w:contextualSpacing w:val="0"/>
      </w:pPr>
    </w:p>
    <w:p w14:paraId="483C3219" w14:textId="17AABA3A" w:rsidR="009F154E" w:rsidRDefault="009F154E" w:rsidP="00877419">
      <w:pPr>
        <w:pStyle w:val="PargrafodaLista"/>
        <w:ind w:left="0"/>
        <w:contextualSpacing w:val="0"/>
      </w:pPr>
      <w:r>
        <w:t>II.II – DA PRISÃO PREVENTIVA</w:t>
      </w:r>
    </w:p>
    <w:p w14:paraId="1DEFB614" w14:textId="042B1734" w:rsidR="004953AE" w:rsidRPr="00BD3582" w:rsidRDefault="00116507" w:rsidP="00BD3582">
      <w:pPr>
        <w:pStyle w:val="PargrafodaLista"/>
        <w:ind w:left="0"/>
        <w:contextualSpacing w:val="0"/>
      </w:pPr>
      <w:r>
        <w:t xml:space="preserve">Circunscreve-se a controvérsia recursal </w:t>
      </w:r>
      <w:r w:rsidR="00BF756D">
        <w:t xml:space="preserve">ao exame </w:t>
      </w:r>
      <w:r w:rsidR="00BD3582">
        <w:t>da implementação dos</w:t>
      </w:r>
      <w:r w:rsidR="00DC70C8">
        <w:t xml:space="preserve"> requisitos do artigo 312 do Código de Processo Penal, </w:t>
      </w:r>
      <w:r w:rsidR="00BD3582">
        <w:t>para decretação da prisão preventiva do imputado.</w:t>
      </w:r>
    </w:p>
    <w:p w14:paraId="016F1CE1" w14:textId="63126B54" w:rsidR="00E80AA7" w:rsidRPr="00E77455" w:rsidRDefault="004953AE" w:rsidP="00E77455">
      <w:pPr>
        <w:pStyle w:val="PargrafodaLista"/>
        <w:ind w:left="0"/>
        <w:contextualSpacing w:val="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lastRenderedPageBreak/>
        <w:t xml:space="preserve">O </w:t>
      </w:r>
      <w:r w:rsidR="00F56BB8">
        <w:rPr>
          <w:rFonts w:eastAsia="Times New Roman" w:cs="Times New Roman"/>
          <w:szCs w:val="24"/>
          <w:lang w:eastAsia="pt-BR"/>
        </w:rPr>
        <w:t>imputado</w:t>
      </w:r>
      <w:r w:rsidR="0020410D">
        <w:rPr>
          <w:rFonts w:eastAsia="Times New Roman" w:cs="Times New Roman"/>
          <w:szCs w:val="24"/>
          <w:lang w:eastAsia="pt-BR"/>
        </w:rPr>
        <w:t xml:space="preserve"> </w:t>
      </w:r>
      <w:r w:rsidR="00E80AA7">
        <w:rPr>
          <w:rFonts w:eastAsia="Times New Roman" w:cs="Times New Roman"/>
          <w:szCs w:val="24"/>
          <w:lang w:eastAsia="pt-BR"/>
        </w:rPr>
        <w:t>foi preso em situação de flagrante</w:t>
      </w:r>
      <w:r w:rsidR="00DE4353">
        <w:rPr>
          <w:rFonts w:eastAsia="Times New Roman" w:cs="Times New Roman"/>
          <w:szCs w:val="24"/>
          <w:lang w:eastAsia="pt-BR"/>
        </w:rPr>
        <w:t xml:space="preserve"> pela </w:t>
      </w:r>
      <w:r w:rsidR="00730D89">
        <w:rPr>
          <w:rFonts w:eastAsia="Times New Roman" w:cs="Times New Roman"/>
          <w:szCs w:val="24"/>
          <w:lang w:eastAsia="pt-BR"/>
        </w:rPr>
        <w:t>hipótese de prática do crime de tráfico</w:t>
      </w:r>
      <w:r w:rsidR="002240C8">
        <w:rPr>
          <w:rFonts w:eastAsia="Times New Roman" w:cs="Times New Roman"/>
          <w:szCs w:val="24"/>
          <w:lang w:eastAsia="pt-BR"/>
        </w:rPr>
        <w:t xml:space="preserve">, lhe tendo sido concedida a liberdade provisória </w:t>
      </w:r>
      <w:r w:rsidR="00200E4A">
        <w:rPr>
          <w:rFonts w:eastAsia="Times New Roman" w:cs="Times New Roman"/>
          <w:szCs w:val="24"/>
          <w:lang w:eastAsia="pt-BR"/>
        </w:rPr>
        <w:t>mediante a condição de manutenção de informações atualizadas sobre seus endereços comercial e residencial e</w:t>
      </w:r>
      <w:r w:rsidR="00487DD1">
        <w:rPr>
          <w:rFonts w:eastAsia="Times New Roman" w:cs="Times New Roman"/>
          <w:szCs w:val="24"/>
          <w:lang w:eastAsia="pt-BR"/>
        </w:rPr>
        <w:t xml:space="preserve"> de meios de contato (evento 22.1 – autos de origem).</w:t>
      </w:r>
    </w:p>
    <w:p w14:paraId="78327AE7" w14:textId="440A4EC2" w:rsidR="00F56BB8" w:rsidRDefault="00E77455" w:rsidP="00F56BB8">
      <w:pPr>
        <w:spacing w:before="240"/>
        <w:rPr>
          <w:rFonts w:eastAsia="Times New Roman" w:cs="Times New Roman"/>
          <w:lang w:eastAsia="pt-BR"/>
        </w:rPr>
      </w:pPr>
      <w:r w:rsidRPr="3C2A6176">
        <w:rPr>
          <w:rFonts w:eastAsia="Times New Roman" w:cs="Times New Roman"/>
          <w:lang w:eastAsia="pt-BR"/>
        </w:rPr>
        <w:t xml:space="preserve">Entretanto, as tentativas de citação pessoal foram </w:t>
      </w:r>
      <w:r w:rsidR="6AF81E2D" w:rsidRPr="3C2A6176">
        <w:rPr>
          <w:rFonts w:eastAsia="Times New Roman" w:cs="Times New Roman"/>
          <w:lang w:eastAsia="pt-BR"/>
        </w:rPr>
        <w:t>frustradas</w:t>
      </w:r>
      <w:r w:rsidRPr="3C2A6176">
        <w:rPr>
          <w:rFonts w:eastAsia="Times New Roman" w:cs="Times New Roman"/>
          <w:lang w:eastAsia="pt-BR"/>
        </w:rPr>
        <w:t xml:space="preserve">. Apurou-se que o réu </w:t>
      </w:r>
      <w:r w:rsidR="00076748" w:rsidRPr="3C2A6176">
        <w:rPr>
          <w:rFonts w:eastAsia="Times New Roman" w:cs="Times New Roman"/>
          <w:lang w:eastAsia="pt-BR"/>
        </w:rPr>
        <w:t xml:space="preserve">trocou de endereço residencial, sem comunicar ao juízo criminal (evento </w:t>
      </w:r>
      <w:r w:rsidR="001B468B" w:rsidRPr="3C2A6176">
        <w:rPr>
          <w:rFonts w:eastAsia="Times New Roman" w:cs="Times New Roman"/>
          <w:lang w:eastAsia="pt-BR"/>
        </w:rPr>
        <w:t>64.1 – autos de origem).</w:t>
      </w:r>
    </w:p>
    <w:p w14:paraId="3D37A4D9" w14:textId="540B5C53" w:rsidR="00844612" w:rsidRDefault="00092614" w:rsidP="00844612">
      <w:pPr>
        <w:spacing w:before="24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>C</w:t>
      </w:r>
      <w:r w:rsidR="00B02902">
        <w:rPr>
          <w:rFonts w:eastAsia="Times New Roman" w:cs="Times New Roman"/>
          <w:szCs w:val="24"/>
          <w:lang w:eastAsia="pt-BR"/>
        </w:rPr>
        <w:t xml:space="preserve">omo apontado pela Procuradoria-Geral de Justiça, </w:t>
      </w:r>
      <w:r w:rsidR="00407829">
        <w:rPr>
          <w:rFonts w:eastAsia="Times New Roman" w:cs="Times New Roman"/>
          <w:szCs w:val="24"/>
          <w:lang w:eastAsia="pt-BR"/>
        </w:rPr>
        <w:t xml:space="preserve">após a notícia de prisão em flagrante neste feito, </w:t>
      </w:r>
      <w:r w:rsidR="004049BC">
        <w:rPr>
          <w:rFonts w:eastAsia="Times New Roman" w:cs="Times New Roman"/>
          <w:szCs w:val="24"/>
          <w:lang w:eastAsia="pt-BR"/>
        </w:rPr>
        <w:t xml:space="preserve">o imputado foi regredido de regime nos autos de execução penal n. </w:t>
      </w:r>
      <w:r w:rsidR="008A5D1E" w:rsidRPr="008A5D1E">
        <w:rPr>
          <w:rFonts w:eastAsia="Times New Roman" w:cs="Times New Roman"/>
          <w:szCs w:val="24"/>
          <w:lang w:eastAsia="pt-BR"/>
        </w:rPr>
        <w:t>001524-91.2017.8.16.0009</w:t>
      </w:r>
      <w:r w:rsidR="00871519">
        <w:rPr>
          <w:rFonts w:eastAsia="Times New Roman" w:cs="Times New Roman"/>
          <w:szCs w:val="24"/>
          <w:lang w:eastAsia="pt-BR"/>
        </w:rPr>
        <w:t xml:space="preserve">. Naquele expediente, </w:t>
      </w:r>
      <w:r w:rsidR="00940CD0">
        <w:rPr>
          <w:rFonts w:eastAsia="Times New Roman" w:cs="Times New Roman"/>
          <w:szCs w:val="24"/>
          <w:lang w:eastAsia="pt-BR"/>
        </w:rPr>
        <w:t>o jurisdicionado também não foi localizado para ser intimado pessoalmente, violando a correlata condição do regime aberto.</w:t>
      </w:r>
    </w:p>
    <w:p w14:paraId="2C3B7C65" w14:textId="2F0D322F" w:rsidR="00BB0223" w:rsidRDefault="001F24D7" w:rsidP="00BB0223">
      <w:pPr>
        <w:spacing w:before="24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>Tal conduta evidencia propósito de frustração de eventual aplicação da lei penal, matizado no descompromisso com o sistema de justiça criminal</w:t>
      </w:r>
      <w:r w:rsidR="006A4C9E">
        <w:rPr>
          <w:rFonts w:eastAsia="Times New Roman" w:cs="Times New Roman"/>
          <w:szCs w:val="24"/>
          <w:lang w:eastAsia="pt-BR"/>
        </w:rPr>
        <w:t>.</w:t>
      </w:r>
    </w:p>
    <w:p w14:paraId="3A8246C1" w14:textId="0AC56756" w:rsidR="00844612" w:rsidRDefault="00844612" w:rsidP="00BB0223">
      <w:pPr>
        <w:spacing w:before="24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>A esse respeito:</w:t>
      </w:r>
    </w:p>
    <w:p w14:paraId="4D56FF3F" w14:textId="77777777" w:rsidR="006A7C03" w:rsidRDefault="006A7C03" w:rsidP="00BB0223">
      <w:pPr>
        <w:spacing w:before="240"/>
        <w:rPr>
          <w:rFonts w:eastAsia="Times New Roman" w:cs="Times New Roman"/>
          <w:szCs w:val="24"/>
          <w:lang w:eastAsia="pt-BR"/>
        </w:rPr>
      </w:pPr>
    </w:p>
    <w:p w14:paraId="0C13351B" w14:textId="2C7DE498" w:rsidR="000636A3" w:rsidRDefault="00844612" w:rsidP="007E7624">
      <w:pPr>
        <w:spacing w:before="240"/>
        <w:ind w:left="2124" w:firstLine="0"/>
        <w:rPr>
          <w:rFonts w:eastAsia="Times New Roman" w:cs="Times New Roman"/>
          <w:sz w:val="20"/>
          <w:szCs w:val="20"/>
          <w:lang w:eastAsia="pt-BR"/>
        </w:rPr>
      </w:pPr>
      <w:r w:rsidRPr="007E7624">
        <w:rPr>
          <w:rFonts w:eastAsia="Times New Roman" w:cs="Times New Roman"/>
          <w:sz w:val="20"/>
          <w:szCs w:val="20"/>
          <w:lang w:eastAsia="pt-BR"/>
        </w:rPr>
        <w:t>RECURSO EM SENTIDO ESTRITO INTERPOSTO PELO MINISTÉRIO PÚBLICO. CRIME DE FURTO QUALIFICADO TENTADO MEDIANTE ESCALADA E ROMPIMENTO DE OBSTÁCULO (ARTIGO 155, §4º, INCISOS I E II, C/C. ARTIGO. 14, INCISO II, AMBOS DO CÓDIGO PENAL). DECISÃO QUE CONCEDEU LIBERDADE PROVISÓRIA AO RECORRIDO. PEDIDO DE DECRETAÇÃO DA</w:t>
      </w:r>
      <w:r w:rsidR="006A7C03"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7E7624">
        <w:rPr>
          <w:rFonts w:eastAsia="Times New Roman" w:cs="Times New Roman"/>
          <w:sz w:val="20"/>
          <w:szCs w:val="20"/>
          <w:lang w:eastAsia="pt-BR"/>
        </w:rPr>
        <w:t xml:space="preserve">PRISÃO PREVENTIVA PARA ASSEGURAR A APLICAÇÃO DA LEI PENAL. PROCEDÊNCIA. PREENCHIMENTO DOS REQUISITOS DOS ARTIGOS 312 E 313, AMBOS DO CÓDIGO DE PROCESSO PENAL. NECESSIDADE DA PRISÃO CAUTELAR PARA APLICAÇÃO DA LEI PENAL. RECORRIDO QUE FOI PRESO EM FLAGRANTE, OBTEVE A LIBERDADE PROVISÓRIA MEDIANTE O CUMPRIMENTO DE </w:t>
      </w:r>
      <w:r w:rsidRPr="007E7624">
        <w:rPr>
          <w:rFonts w:eastAsia="Times New Roman" w:cs="Times New Roman"/>
          <w:sz w:val="20"/>
          <w:szCs w:val="20"/>
          <w:lang w:eastAsia="pt-BR"/>
        </w:rPr>
        <w:lastRenderedPageBreak/>
        <w:t>MEDIDAS CAUTELARES DIVERSAS, APÓS DEIXOU DE COMPARECER EM JUÍZO E MUDOU DE ENDEREÇO, ESTANDO EM LOCAL INCERTO E NÃO SABIDO ATÉ A PRESENTE DATA. PRESENÇA DOS REQUISITOS DO ARTIGO 312, CAPUT, DO CÓDIGO DE PROCESSO PENAL. PRECEDENTES. SEGREGAÇÃO CAUTELAR NECESSÁRIA. DECISÃO REFORMADA.RECURSO CONHECIDO E PROVIDO.</w:t>
      </w:r>
      <w:r w:rsidR="007E7624"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7E7624">
        <w:rPr>
          <w:rFonts w:eastAsia="Times New Roman" w:cs="Times New Roman"/>
          <w:sz w:val="20"/>
          <w:szCs w:val="20"/>
          <w:lang w:eastAsia="pt-BR"/>
        </w:rPr>
        <w:t>(TJPR</w:t>
      </w:r>
      <w:r w:rsidR="000636A3">
        <w:rPr>
          <w:rFonts w:eastAsia="Times New Roman" w:cs="Times New Roman"/>
          <w:sz w:val="20"/>
          <w:szCs w:val="20"/>
          <w:lang w:eastAsia="pt-BR"/>
        </w:rPr>
        <w:t xml:space="preserve">. </w:t>
      </w:r>
      <w:r w:rsidRPr="007E7624">
        <w:rPr>
          <w:rFonts w:eastAsia="Times New Roman" w:cs="Times New Roman"/>
          <w:sz w:val="20"/>
          <w:szCs w:val="20"/>
          <w:lang w:eastAsia="pt-BR"/>
        </w:rPr>
        <w:t>4ª Câmara Criminal</w:t>
      </w:r>
      <w:r w:rsidR="000636A3">
        <w:rPr>
          <w:rFonts w:eastAsia="Times New Roman" w:cs="Times New Roman"/>
          <w:sz w:val="20"/>
          <w:szCs w:val="20"/>
          <w:lang w:eastAsia="pt-BR"/>
        </w:rPr>
        <w:t xml:space="preserve">. Relator: Desembargador Substituto Pedro Luis Sanson Corat. </w:t>
      </w:r>
      <w:r w:rsidRPr="007E7624">
        <w:rPr>
          <w:rFonts w:eastAsia="Times New Roman" w:cs="Times New Roman"/>
          <w:sz w:val="20"/>
          <w:szCs w:val="20"/>
          <w:lang w:eastAsia="pt-BR"/>
        </w:rPr>
        <w:t>0071420-65.2024.8.16.0014</w:t>
      </w:r>
      <w:r w:rsidR="000636A3">
        <w:rPr>
          <w:rFonts w:eastAsia="Times New Roman" w:cs="Times New Roman"/>
          <w:sz w:val="20"/>
          <w:szCs w:val="20"/>
          <w:lang w:eastAsia="pt-BR"/>
        </w:rPr>
        <w:t xml:space="preserve">. </w:t>
      </w:r>
      <w:r w:rsidRPr="007E7624">
        <w:rPr>
          <w:rFonts w:eastAsia="Times New Roman" w:cs="Times New Roman"/>
          <w:sz w:val="20"/>
          <w:szCs w:val="20"/>
          <w:lang w:eastAsia="pt-BR"/>
        </w:rPr>
        <w:t>Londrina</w:t>
      </w:r>
      <w:r w:rsidR="000636A3">
        <w:rPr>
          <w:rFonts w:eastAsia="Times New Roman" w:cs="Times New Roman"/>
          <w:sz w:val="20"/>
          <w:szCs w:val="20"/>
          <w:lang w:eastAsia="pt-BR"/>
        </w:rPr>
        <w:t>. Data de julgamento: 3-2-2025).</w:t>
      </w:r>
    </w:p>
    <w:p w14:paraId="4C7B6D99" w14:textId="3D4C0F89" w:rsidR="00844612" w:rsidRPr="007E7624" w:rsidRDefault="00844612" w:rsidP="000636A3">
      <w:pPr>
        <w:spacing w:before="240"/>
        <w:rPr>
          <w:rFonts w:eastAsia="Times New Roman" w:cs="Times New Roman"/>
          <w:sz w:val="20"/>
          <w:szCs w:val="20"/>
          <w:lang w:eastAsia="pt-BR"/>
        </w:rPr>
      </w:pPr>
    </w:p>
    <w:p w14:paraId="356ED3A1" w14:textId="030A71EF" w:rsidR="00F56BB8" w:rsidRDefault="006A4C9E" w:rsidP="00FA4A22">
      <w:pPr>
        <w:spacing w:before="24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 xml:space="preserve">Ademais, </w:t>
      </w:r>
      <w:r w:rsidR="00CD42F2">
        <w:rPr>
          <w:rFonts w:eastAsia="Times New Roman" w:cs="Times New Roman"/>
          <w:szCs w:val="24"/>
          <w:lang w:eastAsia="pt-BR"/>
        </w:rPr>
        <w:t>a multiplicidade de anotações criminais, inclusive com condenações penais transitadas em julgado, caracteriza</w:t>
      </w:r>
      <w:r w:rsidR="00526D3D">
        <w:rPr>
          <w:rFonts w:eastAsia="Times New Roman" w:cs="Times New Roman"/>
          <w:szCs w:val="24"/>
          <w:lang w:eastAsia="pt-BR"/>
        </w:rPr>
        <w:t xml:space="preserve"> risco concreto de reiteração delitiva</w:t>
      </w:r>
      <w:r w:rsidR="003024F3">
        <w:rPr>
          <w:rFonts w:eastAsia="Times New Roman" w:cs="Times New Roman"/>
          <w:szCs w:val="24"/>
          <w:lang w:eastAsia="pt-BR"/>
        </w:rPr>
        <w:t xml:space="preserve"> (evento 14.1 – autos de origem)</w:t>
      </w:r>
      <w:r w:rsidR="001D5C64">
        <w:rPr>
          <w:rFonts w:eastAsia="Times New Roman" w:cs="Times New Roman"/>
          <w:szCs w:val="24"/>
          <w:lang w:eastAsia="pt-BR"/>
        </w:rPr>
        <w:t>.</w:t>
      </w:r>
    </w:p>
    <w:p w14:paraId="0B71028F" w14:textId="77777777" w:rsidR="00542403" w:rsidRDefault="00F56BB8" w:rsidP="00542403">
      <w:pPr>
        <w:spacing w:before="24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>Sobre o tema:</w:t>
      </w:r>
    </w:p>
    <w:p w14:paraId="7169A193" w14:textId="77777777" w:rsidR="00542403" w:rsidRDefault="00542403" w:rsidP="00542403">
      <w:pPr>
        <w:spacing w:before="240"/>
        <w:rPr>
          <w:rFonts w:eastAsia="Times New Roman" w:cs="Times New Roman"/>
          <w:szCs w:val="24"/>
          <w:lang w:eastAsia="pt-BR"/>
        </w:rPr>
      </w:pPr>
    </w:p>
    <w:p w14:paraId="288DE6D7" w14:textId="2F2B1FF1" w:rsidR="00542403" w:rsidRPr="004E4871" w:rsidRDefault="00A81044" w:rsidP="000950BE">
      <w:pPr>
        <w:ind w:left="2268" w:firstLine="0"/>
        <w:rPr>
          <w:rFonts w:eastAsia="Times New Roman" w:cs="Times New Roman"/>
          <w:sz w:val="20"/>
          <w:szCs w:val="24"/>
          <w:lang w:eastAsia="pt-BR"/>
        </w:rPr>
      </w:pPr>
      <w:r w:rsidRPr="00A81044">
        <w:rPr>
          <w:rFonts w:eastAsia="Times New Roman" w:cs="Times New Roman"/>
          <w:sz w:val="20"/>
          <w:szCs w:val="24"/>
          <w:lang w:eastAsia="pt-BR"/>
        </w:rPr>
        <w:t>HABEAS CORPUS. DIREITO PENAL. TRÁFICO DE DROGAS. PRISÃO PREVENTIVA. REITERAÇÃO CRIMINOSA. NECESSIDADE DE SER ASSEGURADA A ORDEM PÚBLICA. ORDEM DENEGADA.</w:t>
      </w:r>
      <w:r w:rsidR="00091820">
        <w:rPr>
          <w:rFonts w:eastAsia="Times New Roman" w:cs="Times New Roman"/>
          <w:sz w:val="20"/>
          <w:szCs w:val="24"/>
          <w:lang w:eastAsia="pt-BR"/>
        </w:rPr>
        <w:t xml:space="preserve"> </w:t>
      </w:r>
      <w:r w:rsidRPr="00A81044">
        <w:rPr>
          <w:rFonts w:eastAsia="Times New Roman" w:cs="Times New Roman"/>
          <w:sz w:val="20"/>
          <w:szCs w:val="24"/>
          <w:lang w:eastAsia="pt-BR"/>
        </w:rPr>
        <w:t>CASO EM EXAME</w:t>
      </w:r>
      <w:r w:rsidR="00091820">
        <w:rPr>
          <w:rFonts w:eastAsia="Times New Roman" w:cs="Times New Roman"/>
          <w:sz w:val="20"/>
          <w:szCs w:val="24"/>
          <w:lang w:eastAsia="pt-BR"/>
        </w:rPr>
        <w:t xml:space="preserve">: </w:t>
      </w:r>
      <w:r w:rsidRPr="00A81044">
        <w:rPr>
          <w:rFonts w:eastAsia="Times New Roman" w:cs="Times New Roman"/>
          <w:sz w:val="20"/>
          <w:szCs w:val="24"/>
          <w:lang w:eastAsia="pt-BR"/>
        </w:rPr>
        <w:t>Trata-se de "habeas corpus" – com pedido liminar – impetrado em favor de paciente preso preventivamente e acusado da prática do crime previsto no artigo 33, "caput" da Lei nº 11.343/2006, com vista a obter-lhe a liberdade provisória.</w:t>
      </w:r>
      <w:r w:rsidR="00091820">
        <w:rPr>
          <w:rFonts w:eastAsia="Times New Roman" w:cs="Times New Roman"/>
          <w:sz w:val="20"/>
          <w:szCs w:val="24"/>
          <w:lang w:eastAsia="pt-BR"/>
        </w:rPr>
        <w:t xml:space="preserve"> </w:t>
      </w:r>
      <w:r w:rsidRPr="00A81044">
        <w:rPr>
          <w:rFonts w:eastAsia="Times New Roman" w:cs="Times New Roman"/>
          <w:sz w:val="20"/>
          <w:szCs w:val="24"/>
          <w:lang w:eastAsia="pt-BR"/>
        </w:rPr>
        <w:t>Em breve síntese, sustenta-se que o paciente possui condições favoráveis para responder em liberdade, haja vista ser a custódia cautelar "ultima ratio", inexistindo gravidade concreta ou risco de reiteração delitiva. Subsidiariamente, requer-se a aplicação de medidas cautelares diversas.</w:t>
      </w:r>
      <w:r w:rsidR="00091820">
        <w:rPr>
          <w:rFonts w:eastAsia="Times New Roman" w:cs="Times New Roman"/>
          <w:sz w:val="20"/>
          <w:szCs w:val="24"/>
          <w:lang w:eastAsia="pt-BR"/>
        </w:rPr>
        <w:t xml:space="preserve"> </w:t>
      </w:r>
      <w:r w:rsidRPr="00A81044">
        <w:rPr>
          <w:rFonts w:eastAsia="Times New Roman" w:cs="Times New Roman"/>
          <w:sz w:val="20"/>
          <w:szCs w:val="24"/>
          <w:lang w:eastAsia="pt-BR"/>
        </w:rPr>
        <w:t>QUESTÃO EM DISCUSSÃO:</w:t>
      </w:r>
      <w:r w:rsidR="00091820">
        <w:rPr>
          <w:rFonts w:eastAsia="Times New Roman" w:cs="Times New Roman"/>
          <w:sz w:val="20"/>
          <w:szCs w:val="24"/>
          <w:lang w:eastAsia="pt-BR"/>
        </w:rPr>
        <w:t xml:space="preserve"> </w:t>
      </w:r>
      <w:r w:rsidRPr="00A81044">
        <w:rPr>
          <w:rFonts w:eastAsia="Times New Roman" w:cs="Times New Roman"/>
          <w:sz w:val="20"/>
          <w:szCs w:val="24"/>
          <w:lang w:eastAsia="pt-BR"/>
        </w:rPr>
        <w:t>As questões consistem em saber se: (i) o paciente possui condições favoráveis para responder em liberdade; (ii) a prisão preventiva é desproporcional ante a possível redução da pena pelo tráfico privilegiado e fixação de regime menos gravoso em suposta condenação; (iii) a aplicação de medidas cautelares diversas é suficiente para garantir a ordem pública.</w:t>
      </w:r>
      <w:r w:rsidR="00091820">
        <w:rPr>
          <w:rFonts w:eastAsia="Times New Roman" w:cs="Times New Roman"/>
          <w:sz w:val="20"/>
          <w:szCs w:val="24"/>
          <w:lang w:eastAsia="pt-BR"/>
        </w:rPr>
        <w:t xml:space="preserve"> </w:t>
      </w:r>
      <w:r w:rsidRPr="00A81044">
        <w:rPr>
          <w:rFonts w:eastAsia="Times New Roman" w:cs="Times New Roman"/>
          <w:sz w:val="20"/>
          <w:szCs w:val="24"/>
          <w:lang w:eastAsia="pt-BR"/>
        </w:rPr>
        <w:t>RAZÕES DE DECIDIR:</w:t>
      </w:r>
      <w:r w:rsidR="00091820">
        <w:rPr>
          <w:rFonts w:eastAsia="Times New Roman" w:cs="Times New Roman"/>
          <w:sz w:val="20"/>
          <w:szCs w:val="24"/>
          <w:lang w:eastAsia="pt-BR"/>
        </w:rPr>
        <w:t xml:space="preserve"> </w:t>
      </w:r>
      <w:r w:rsidRPr="00A81044">
        <w:rPr>
          <w:rFonts w:eastAsia="Times New Roman" w:cs="Times New Roman"/>
          <w:sz w:val="20"/>
          <w:szCs w:val="24"/>
          <w:lang w:eastAsia="pt-BR"/>
        </w:rPr>
        <w:t xml:space="preserve">Desproporcionalidade da prisão preventiva com possível aplicação do tráfico privilegiado e fixação de regime menos gravoso que se consubstancia em mera presunção, não sendo possível sua análise por meio de habeas corpus.O decreto da prisão preventiva justificou-se nas </w:t>
      </w:r>
      <w:r w:rsidRPr="00A81044">
        <w:rPr>
          <w:rFonts w:eastAsia="Times New Roman" w:cs="Times New Roman"/>
          <w:sz w:val="20"/>
          <w:szCs w:val="24"/>
          <w:lang w:eastAsia="pt-BR"/>
        </w:rPr>
        <w:lastRenderedPageBreak/>
        <w:t>características extremamente graves do crime praticado, que abalam gravemente a ordem pública, havendo necessidade de segregação para que o paciente não volte a delinquir.A existência de anotações criminais possibilita a decretação da prisão preventiva, ante o perigo de reiteração delitiva.</w:t>
      </w:r>
      <w:r w:rsidR="00091820">
        <w:rPr>
          <w:rFonts w:eastAsia="Times New Roman" w:cs="Times New Roman"/>
          <w:sz w:val="20"/>
          <w:szCs w:val="24"/>
          <w:lang w:eastAsia="pt-BR"/>
        </w:rPr>
        <w:t xml:space="preserve"> </w:t>
      </w:r>
      <w:r w:rsidRPr="00A81044">
        <w:rPr>
          <w:rFonts w:eastAsia="Times New Roman" w:cs="Times New Roman"/>
          <w:sz w:val="20"/>
          <w:szCs w:val="24"/>
          <w:lang w:eastAsia="pt-BR"/>
        </w:rPr>
        <w:t>IV. DISPOSITIVO E TESE:</w:t>
      </w:r>
      <w:r w:rsidR="00091820">
        <w:rPr>
          <w:rFonts w:eastAsia="Times New Roman" w:cs="Times New Roman"/>
          <w:sz w:val="20"/>
          <w:szCs w:val="24"/>
          <w:lang w:eastAsia="pt-BR"/>
        </w:rPr>
        <w:t xml:space="preserve"> </w:t>
      </w:r>
      <w:r w:rsidRPr="00A81044">
        <w:rPr>
          <w:rFonts w:eastAsia="Times New Roman" w:cs="Times New Roman"/>
          <w:sz w:val="20"/>
          <w:szCs w:val="24"/>
          <w:lang w:eastAsia="pt-BR"/>
        </w:rPr>
        <w:t>Ordem parcialmente conhecida e denegada</w:t>
      </w:r>
      <w:r w:rsidR="00091820">
        <w:rPr>
          <w:rFonts w:eastAsia="Times New Roman" w:cs="Times New Roman"/>
          <w:sz w:val="20"/>
          <w:szCs w:val="24"/>
          <w:lang w:eastAsia="pt-BR"/>
        </w:rPr>
        <w:t xml:space="preserve">. </w:t>
      </w:r>
      <w:r w:rsidRPr="00A81044">
        <w:rPr>
          <w:rFonts w:eastAsia="Times New Roman" w:cs="Times New Roman"/>
          <w:sz w:val="20"/>
          <w:szCs w:val="24"/>
          <w:lang w:eastAsia="pt-BR"/>
        </w:rPr>
        <w:t>Tese de julgamento: "A prisão preventiva é necessária para garantir a ordem pública, diante da gravidade concreta do delito e do risco de reiteração criminosa."</w:t>
      </w:r>
      <w:r w:rsidR="00091820">
        <w:rPr>
          <w:rFonts w:eastAsia="Times New Roman" w:cs="Times New Roman"/>
          <w:sz w:val="20"/>
          <w:szCs w:val="24"/>
          <w:lang w:eastAsia="pt-BR"/>
        </w:rPr>
        <w:t xml:space="preserve"> </w:t>
      </w:r>
      <w:r w:rsidRPr="00A81044">
        <w:rPr>
          <w:rFonts w:eastAsia="Times New Roman" w:cs="Times New Roman"/>
          <w:sz w:val="20"/>
          <w:szCs w:val="24"/>
          <w:lang w:eastAsia="pt-BR"/>
        </w:rPr>
        <w:t>Dispositivos relevantes citados: Art. 312 do Código de Processo Penal.</w:t>
      </w:r>
      <w:r w:rsidR="00091820">
        <w:rPr>
          <w:rFonts w:eastAsia="Times New Roman" w:cs="Times New Roman"/>
          <w:sz w:val="20"/>
          <w:szCs w:val="24"/>
          <w:lang w:eastAsia="pt-BR"/>
        </w:rPr>
        <w:t xml:space="preserve"> </w:t>
      </w:r>
      <w:r w:rsidRPr="00A81044">
        <w:rPr>
          <w:rFonts w:eastAsia="Times New Roman" w:cs="Times New Roman"/>
          <w:sz w:val="20"/>
          <w:szCs w:val="24"/>
          <w:lang w:eastAsia="pt-BR"/>
        </w:rPr>
        <w:t>Jurisprudência relevante citada: TJPR - 4ª Câmara Criminal - 0061929-76.2024.8.16.0000 - Curitiba - Rel.: Maria Lucia de Paula Espindola - J. 05.08.2024.</w:t>
      </w:r>
      <w:r w:rsidR="004E4871">
        <w:rPr>
          <w:rFonts w:eastAsia="Times New Roman" w:cs="Times New Roman"/>
          <w:sz w:val="20"/>
          <w:szCs w:val="24"/>
          <w:lang w:eastAsia="pt-BR"/>
        </w:rPr>
        <w:t xml:space="preserve"> </w:t>
      </w:r>
      <w:r w:rsidRPr="00A81044">
        <w:rPr>
          <w:rFonts w:eastAsia="Times New Roman" w:cs="Times New Roman"/>
          <w:sz w:val="20"/>
          <w:szCs w:val="24"/>
          <w:lang w:eastAsia="pt-BR"/>
        </w:rPr>
        <w:t>(TJPR</w:t>
      </w:r>
      <w:r w:rsidR="004E4871">
        <w:rPr>
          <w:rFonts w:eastAsia="Times New Roman" w:cs="Times New Roman"/>
          <w:sz w:val="20"/>
          <w:szCs w:val="24"/>
          <w:lang w:eastAsia="pt-BR"/>
        </w:rPr>
        <w:t xml:space="preserve">. 4ª Câmara Criminal. Relator: Desembargador Substituto Lourival Pedro Chemim. </w:t>
      </w:r>
      <w:r w:rsidRPr="00A81044">
        <w:rPr>
          <w:rFonts w:eastAsia="Times New Roman" w:cs="Times New Roman"/>
          <w:sz w:val="20"/>
          <w:szCs w:val="24"/>
          <w:lang w:eastAsia="pt-BR"/>
        </w:rPr>
        <w:t>0000474-76.2025.8.16.0000</w:t>
      </w:r>
      <w:r w:rsidR="000950BE">
        <w:rPr>
          <w:rFonts w:eastAsia="Times New Roman" w:cs="Times New Roman"/>
          <w:sz w:val="20"/>
          <w:szCs w:val="24"/>
          <w:lang w:eastAsia="pt-BR"/>
        </w:rPr>
        <w:t xml:space="preserve">. </w:t>
      </w:r>
      <w:r w:rsidRPr="00A81044">
        <w:rPr>
          <w:rFonts w:eastAsia="Times New Roman" w:cs="Times New Roman"/>
          <w:sz w:val="20"/>
          <w:szCs w:val="24"/>
          <w:lang w:eastAsia="pt-BR"/>
        </w:rPr>
        <w:t>Rio Negro</w:t>
      </w:r>
      <w:r w:rsidR="000950BE">
        <w:rPr>
          <w:rFonts w:eastAsia="Times New Roman" w:cs="Times New Roman"/>
          <w:sz w:val="20"/>
          <w:szCs w:val="24"/>
          <w:lang w:eastAsia="pt-BR"/>
        </w:rPr>
        <w:t>. Data de julgamento: 5-3-2025).</w:t>
      </w:r>
    </w:p>
    <w:p w14:paraId="79DDE463" w14:textId="77777777" w:rsidR="003B5E6F" w:rsidRDefault="003B5E6F" w:rsidP="001E422C">
      <w:pPr>
        <w:spacing w:before="240"/>
        <w:rPr>
          <w:rFonts w:eastAsia="Times New Roman" w:cs="Times New Roman"/>
          <w:szCs w:val="24"/>
          <w:lang w:eastAsia="pt-BR"/>
        </w:rPr>
      </w:pPr>
    </w:p>
    <w:p w14:paraId="6BBCD397" w14:textId="72DDA3C2" w:rsidR="00D87D55" w:rsidRDefault="003B5E6F" w:rsidP="001E422C">
      <w:pPr>
        <w:spacing w:before="24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>Portanto</w:t>
      </w:r>
      <w:r w:rsidR="004B30A2">
        <w:rPr>
          <w:rFonts w:eastAsia="Times New Roman" w:cs="Times New Roman"/>
          <w:szCs w:val="24"/>
          <w:lang w:eastAsia="pt-BR"/>
        </w:rPr>
        <w:t>, considerando-se o preenchimento de todos os requisitos inscritos no artigo 312 do Código de Processo Penal, deve ser decretada a prisão</w:t>
      </w:r>
      <w:r w:rsidR="00B90AD8">
        <w:rPr>
          <w:rFonts w:eastAsia="Times New Roman" w:cs="Times New Roman"/>
          <w:szCs w:val="24"/>
          <w:lang w:eastAsia="pt-BR"/>
        </w:rPr>
        <w:t xml:space="preserve"> do </w:t>
      </w:r>
      <w:r w:rsidR="00272BF3">
        <w:rPr>
          <w:rFonts w:eastAsia="Times New Roman" w:cs="Times New Roman"/>
          <w:szCs w:val="24"/>
          <w:lang w:eastAsia="pt-BR"/>
        </w:rPr>
        <w:t>recorrido, para garantia de aplicação da lei penal e acautelamento da ordem pública.</w:t>
      </w:r>
    </w:p>
    <w:p w14:paraId="25ED702B" w14:textId="77777777" w:rsidR="00272BF3" w:rsidRDefault="00272BF3" w:rsidP="001E422C">
      <w:pPr>
        <w:spacing w:before="240"/>
        <w:rPr>
          <w:rFonts w:eastAsia="Times New Roman" w:cs="Times New Roman"/>
          <w:szCs w:val="24"/>
          <w:lang w:eastAsia="pt-BR"/>
        </w:rPr>
      </w:pPr>
    </w:p>
    <w:p w14:paraId="6D7FFC27" w14:textId="1A3CBE2B" w:rsidR="00272BF3" w:rsidRDefault="00272BF3" w:rsidP="001E422C">
      <w:pPr>
        <w:spacing w:before="24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>II.III – DOS HONORÁRIOS DATIVOS</w:t>
      </w:r>
    </w:p>
    <w:p w14:paraId="57D73A16" w14:textId="222F6BC6" w:rsidR="00F56BB8" w:rsidRDefault="00E17E77" w:rsidP="00F56BB8">
      <w:pPr>
        <w:spacing w:before="24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 xml:space="preserve">Em atenção ao </w:t>
      </w:r>
      <w:r w:rsidR="005A1890">
        <w:rPr>
          <w:rFonts w:eastAsia="Times New Roman" w:cs="Times New Roman"/>
          <w:szCs w:val="24"/>
          <w:lang w:eastAsia="pt-BR"/>
        </w:rPr>
        <w:t>contido</w:t>
      </w:r>
      <w:r>
        <w:rPr>
          <w:rFonts w:eastAsia="Times New Roman" w:cs="Times New Roman"/>
          <w:szCs w:val="24"/>
          <w:lang w:eastAsia="pt-BR"/>
        </w:rPr>
        <w:t xml:space="preserve"> no item 1.15 da </w:t>
      </w:r>
      <w:r w:rsidR="005A1890">
        <w:rPr>
          <w:rFonts w:eastAsia="Times New Roman" w:cs="Times New Roman"/>
          <w:szCs w:val="24"/>
          <w:lang w:eastAsia="pt-BR"/>
        </w:rPr>
        <w:t>Resolução Conjunta n. 6/2024 – PGE/SEFA, arbitram-se em R$ 450,00 (quatro</w:t>
      </w:r>
      <w:r w:rsidR="00B11902">
        <w:rPr>
          <w:rFonts w:eastAsia="Times New Roman" w:cs="Times New Roman"/>
          <w:szCs w:val="24"/>
          <w:lang w:eastAsia="pt-BR"/>
        </w:rPr>
        <w:t xml:space="preserve">centos e cinquenta reais) os honorários dativos devidos à advogada </w:t>
      </w:r>
      <w:r w:rsidR="00C719F3">
        <w:rPr>
          <w:rFonts w:eastAsia="Times New Roman" w:cs="Times New Roman"/>
          <w:szCs w:val="24"/>
          <w:lang w:eastAsia="pt-BR"/>
        </w:rPr>
        <w:t>Michele Burato Ortis</w:t>
      </w:r>
      <w:r w:rsidR="00CB68A4">
        <w:rPr>
          <w:rFonts w:eastAsia="Times New Roman" w:cs="Times New Roman"/>
          <w:szCs w:val="24"/>
          <w:lang w:eastAsia="pt-BR"/>
        </w:rPr>
        <w:t>, cadastrada na OAB PR sob o n. 94.838.</w:t>
      </w:r>
    </w:p>
    <w:p w14:paraId="725647A1" w14:textId="2E01F877" w:rsidR="00CB68A4" w:rsidRDefault="0049169A" w:rsidP="00F56BB8">
      <w:pPr>
        <w:spacing w:before="24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>Servirá o presente pronunciamento como certidão de honorários, para a finalidade de requerimento administrativo da verba.</w:t>
      </w:r>
    </w:p>
    <w:p w14:paraId="7A7F3F90" w14:textId="77777777" w:rsidR="00C21562" w:rsidRDefault="00C21562" w:rsidP="00F56BB8">
      <w:pPr>
        <w:spacing w:before="240"/>
        <w:rPr>
          <w:rFonts w:eastAsia="Times New Roman" w:cs="Times New Roman"/>
          <w:szCs w:val="24"/>
          <w:lang w:eastAsia="pt-BR"/>
        </w:rPr>
      </w:pPr>
    </w:p>
    <w:p w14:paraId="64D949B9" w14:textId="11BB003F" w:rsidR="0060292A" w:rsidRDefault="00F56BB8" w:rsidP="0060292A">
      <w:pPr>
        <w:spacing w:before="240"/>
        <w:rPr>
          <w:rFonts w:eastAsia="Times New Roman" w:cs="Times New Roman"/>
          <w:szCs w:val="24"/>
          <w:lang w:eastAsia="pt-BR"/>
        </w:rPr>
      </w:pPr>
      <w:r w:rsidRPr="00507B84">
        <w:rPr>
          <w:rFonts w:eastAsia="Times New Roman" w:cs="Times New Roman"/>
          <w:szCs w:val="24"/>
          <w:lang w:eastAsia="pt-BR"/>
        </w:rPr>
        <w:t>II.I</w:t>
      </w:r>
      <w:r w:rsidR="00F201D8">
        <w:rPr>
          <w:rFonts w:eastAsia="Times New Roman" w:cs="Times New Roman"/>
          <w:szCs w:val="24"/>
          <w:lang w:eastAsia="pt-BR"/>
        </w:rPr>
        <w:t>V</w:t>
      </w:r>
      <w:r w:rsidRPr="00507B84">
        <w:rPr>
          <w:rFonts w:eastAsia="Times New Roman" w:cs="Times New Roman"/>
          <w:szCs w:val="24"/>
          <w:lang w:eastAsia="pt-BR"/>
        </w:rPr>
        <w:t xml:space="preserve"> – DA CONCLUSÃO</w:t>
      </w:r>
    </w:p>
    <w:p w14:paraId="44C89BAE" w14:textId="561A5B34" w:rsidR="005402B3" w:rsidRPr="0060292A" w:rsidRDefault="005402B3" w:rsidP="0060292A">
      <w:pPr>
        <w:spacing w:before="240"/>
        <w:rPr>
          <w:rFonts w:eastAsia="Times New Roman" w:cs="Times New Roman"/>
          <w:szCs w:val="24"/>
          <w:lang w:eastAsia="pt-BR"/>
        </w:rPr>
      </w:pPr>
      <w:r>
        <w:lastRenderedPageBreak/>
        <w:t>Pela conjugação das premissas deduzidas, a conclusão a ser adotada consiste em conhecer e</w:t>
      </w:r>
      <w:r w:rsidR="0060292A">
        <w:t xml:space="preserve"> dar provimento ao recurso.</w:t>
      </w:r>
    </w:p>
    <w:p w14:paraId="5F094A82" w14:textId="77777777" w:rsidR="005402B3" w:rsidRDefault="005402B3" w:rsidP="005402B3">
      <w:pPr>
        <w:pStyle w:val="PargrafodaLista"/>
        <w:ind w:left="0"/>
        <w:contextualSpacing w:val="0"/>
      </w:pPr>
      <w:r>
        <w:t>É como voto.</w:t>
      </w:r>
    </w:p>
    <w:p w14:paraId="48719C0D" w14:textId="77777777" w:rsidR="00F56BB8" w:rsidRDefault="00F56BB8" w:rsidP="00F56BB8">
      <w:pPr>
        <w:spacing w:before="240"/>
        <w:rPr>
          <w:rFonts w:eastAsia="Times New Roman" w:cs="Times New Roman"/>
          <w:szCs w:val="24"/>
          <w:lang w:eastAsia="pt-BR"/>
        </w:rPr>
      </w:pPr>
    </w:p>
    <w:p w14:paraId="7850D6A8" w14:textId="09834720" w:rsidR="00B46E8E" w:rsidRPr="001B693E" w:rsidRDefault="00F56BB8" w:rsidP="001B693E">
      <w:pPr>
        <w:spacing w:before="240"/>
        <w:rPr>
          <w:rFonts w:eastAsia="Times New Roman" w:cs="Times New Roman"/>
          <w:b/>
          <w:szCs w:val="24"/>
          <w:lang w:eastAsia="pt-BR"/>
        </w:rPr>
      </w:pPr>
      <w:r w:rsidRPr="006E5FE4">
        <w:rPr>
          <w:rFonts w:eastAsia="Times New Roman" w:cs="Times New Roman"/>
          <w:b/>
          <w:szCs w:val="24"/>
          <w:lang w:eastAsia="pt-BR"/>
        </w:rPr>
        <w:t xml:space="preserve">III </w:t>
      </w:r>
      <w:r w:rsidR="00F201D8">
        <w:rPr>
          <w:rFonts w:eastAsia="Times New Roman" w:cs="Times New Roman"/>
          <w:b/>
          <w:szCs w:val="24"/>
          <w:lang w:eastAsia="pt-BR"/>
        </w:rPr>
        <w:t>–</w:t>
      </w:r>
      <w:r w:rsidRPr="006E5FE4">
        <w:rPr>
          <w:rFonts w:eastAsia="Times New Roman" w:cs="Times New Roman"/>
          <w:b/>
          <w:szCs w:val="24"/>
          <w:lang w:eastAsia="pt-BR"/>
        </w:rPr>
        <w:t xml:space="preserve"> DECISÃO</w:t>
      </w:r>
    </w:p>
    <w:sectPr w:rsidR="00B46E8E" w:rsidRPr="001B693E" w:rsidSect="00091820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6695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42"/>
    <w:rsid w:val="00021E7E"/>
    <w:rsid w:val="00022516"/>
    <w:rsid w:val="000636A3"/>
    <w:rsid w:val="000754CF"/>
    <w:rsid w:val="00076748"/>
    <w:rsid w:val="00091820"/>
    <w:rsid w:val="00092614"/>
    <w:rsid w:val="000950BE"/>
    <w:rsid w:val="000B27AC"/>
    <w:rsid w:val="000E0ADB"/>
    <w:rsid w:val="000F4725"/>
    <w:rsid w:val="00113287"/>
    <w:rsid w:val="00113E8E"/>
    <w:rsid w:val="00116507"/>
    <w:rsid w:val="00146748"/>
    <w:rsid w:val="00157F8E"/>
    <w:rsid w:val="00165C47"/>
    <w:rsid w:val="00185FBE"/>
    <w:rsid w:val="001A1E9E"/>
    <w:rsid w:val="001B468B"/>
    <w:rsid w:val="001B693E"/>
    <w:rsid w:val="001C2D4C"/>
    <w:rsid w:val="001D5C64"/>
    <w:rsid w:val="001E422C"/>
    <w:rsid w:val="001F24D7"/>
    <w:rsid w:val="00200444"/>
    <w:rsid w:val="00200E4A"/>
    <w:rsid w:val="0020410D"/>
    <w:rsid w:val="00216297"/>
    <w:rsid w:val="002240C8"/>
    <w:rsid w:val="00261EDF"/>
    <w:rsid w:val="00272BF3"/>
    <w:rsid w:val="002955FA"/>
    <w:rsid w:val="002A5E31"/>
    <w:rsid w:val="002D404F"/>
    <w:rsid w:val="002F62AC"/>
    <w:rsid w:val="003024F3"/>
    <w:rsid w:val="0031384B"/>
    <w:rsid w:val="003443A8"/>
    <w:rsid w:val="003631AB"/>
    <w:rsid w:val="00370366"/>
    <w:rsid w:val="003714E1"/>
    <w:rsid w:val="003B5E6F"/>
    <w:rsid w:val="004002B0"/>
    <w:rsid w:val="004049BC"/>
    <w:rsid w:val="00407829"/>
    <w:rsid w:val="004218CE"/>
    <w:rsid w:val="00443B9F"/>
    <w:rsid w:val="004511CF"/>
    <w:rsid w:val="004565E9"/>
    <w:rsid w:val="00461F9B"/>
    <w:rsid w:val="00487DD1"/>
    <w:rsid w:val="0049169A"/>
    <w:rsid w:val="004953AE"/>
    <w:rsid w:val="004B28BE"/>
    <w:rsid w:val="004B30A2"/>
    <w:rsid w:val="004C5EEA"/>
    <w:rsid w:val="004D7568"/>
    <w:rsid w:val="004E4871"/>
    <w:rsid w:val="00507CBA"/>
    <w:rsid w:val="00526D3D"/>
    <w:rsid w:val="00535407"/>
    <w:rsid w:val="005402B3"/>
    <w:rsid w:val="00542403"/>
    <w:rsid w:val="005445FA"/>
    <w:rsid w:val="0055142F"/>
    <w:rsid w:val="005843B5"/>
    <w:rsid w:val="005930F1"/>
    <w:rsid w:val="005A1890"/>
    <w:rsid w:val="005B4039"/>
    <w:rsid w:val="005C2BF1"/>
    <w:rsid w:val="0060292A"/>
    <w:rsid w:val="00617069"/>
    <w:rsid w:val="00624B2B"/>
    <w:rsid w:val="00657AE8"/>
    <w:rsid w:val="00661DAD"/>
    <w:rsid w:val="00672942"/>
    <w:rsid w:val="006A4C9E"/>
    <w:rsid w:val="006A7C03"/>
    <w:rsid w:val="006D76EA"/>
    <w:rsid w:val="007013BF"/>
    <w:rsid w:val="0071391A"/>
    <w:rsid w:val="00730D89"/>
    <w:rsid w:val="00736689"/>
    <w:rsid w:val="00736CE1"/>
    <w:rsid w:val="00754271"/>
    <w:rsid w:val="0076493D"/>
    <w:rsid w:val="00780837"/>
    <w:rsid w:val="007844CF"/>
    <w:rsid w:val="00794062"/>
    <w:rsid w:val="007E7624"/>
    <w:rsid w:val="00801533"/>
    <w:rsid w:val="0080166A"/>
    <w:rsid w:val="008077B8"/>
    <w:rsid w:val="00844612"/>
    <w:rsid w:val="00871519"/>
    <w:rsid w:val="00877419"/>
    <w:rsid w:val="008A5D1E"/>
    <w:rsid w:val="008C7C32"/>
    <w:rsid w:val="00935E06"/>
    <w:rsid w:val="00940CD0"/>
    <w:rsid w:val="009528D9"/>
    <w:rsid w:val="009548C6"/>
    <w:rsid w:val="00973616"/>
    <w:rsid w:val="00973737"/>
    <w:rsid w:val="009A3DA6"/>
    <w:rsid w:val="009B08CF"/>
    <w:rsid w:val="009B2C73"/>
    <w:rsid w:val="009D0D3E"/>
    <w:rsid w:val="009F154E"/>
    <w:rsid w:val="00A33A4F"/>
    <w:rsid w:val="00A81044"/>
    <w:rsid w:val="00A83A18"/>
    <w:rsid w:val="00A8685E"/>
    <w:rsid w:val="00A86A3F"/>
    <w:rsid w:val="00A90187"/>
    <w:rsid w:val="00AA28DF"/>
    <w:rsid w:val="00AD398A"/>
    <w:rsid w:val="00AE47D1"/>
    <w:rsid w:val="00B02902"/>
    <w:rsid w:val="00B11902"/>
    <w:rsid w:val="00B27F39"/>
    <w:rsid w:val="00B44758"/>
    <w:rsid w:val="00B46E8E"/>
    <w:rsid w:val="00B51D78"/>
    <w:rsid w:val="00B6687E"/>
    <w:rsid w:val="00B90AD8"/>
    <w:rsid w:val="00BA05D2"/>
    <w:rsid w:val="00BB0223"/>
    <w:rsid w:val="00BC64BE"/>
    <w:rsid w:val="00BD3582"/>
    <w:rsid w:val="00BF756D"/>
    <w:rsid w:val="00C21562"/>
    <w:rsid w:val="00C34D49"/>
    <w:rsid w:val="00C7063D"/>
    <w:rsid w:val="00C719F3"/>
    <w:rsid w:val="00C77568"/>
    <w:rsid w:val="00CA3194"/>
    <w:rsid w:val="00CA37B0"/>
    <w:rsid w:val="00CB68A4"/>
    <w:rsid w:val="00CD42F2"/>
    <w:rsid w:val="00D10294"/>
    <w:rsid w:val="00D172D7"/>
    <w:rsid w:val="00D37894"/>
    <w:rsid w:val="00D7588D"/>
    <w:rsid w:val="00D87D55"/>
    <w:rsid w:val="00DB0A6C"/>
    <w:rsid w:val="00DC37B4"/>
    <w:rsid w:val="00DC70C8"/>
    <w:rsid w:val="00DE4353"/>
    <w:rsid w:val="00DE77F2"/>
    <w:rsid w:val="00E17E77"/>
    <w:rsid w:val="00E71C66"/>
    <w:rsid w:val="00E77455"/>
    <w:rsid w:val="00E80A59"/>
    <w:rsid w:val="00E80AA7"/>
    <w:rsid w:val="00E95626"/>
    <w:rsid w:val="00EA69C4"/>
    <w:rsid w:val="00EC1AF6"/>
    <w:rsid w:val="00EF5B39"/>
    <w:rsid w:val="00F02B89"/>
    <w:rsid w:val="00F0385D"/>
    <w:rsid w:val="00F201D8"/>
    <w:rsid w:val="00F27846"/>
    <w:rsid w:val="00F56BB8"/>
    <w:rsid w:val="00F81A0C"/>
    <w:rsid w:val="00FA4A22"/>
    <w:rsid w:val="00FE0C12"/>
    <w:rsid w:val="00FE184C"/>
    <w:rsid w:val="00FE1F07"/>
    <w:rsid w:val="00FF02B1"/>
    <w:rsid w:val="3C2A6176"/>
    <w:rsid w:val="49CF5889"/>
    <w:rsid w:val="6AF81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85615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8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561e2fb7a4b2050ed644ab5f56afcb86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0940b4c58051c96231cc2ff0c54fd5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43D9BE1-68DE-45E3-BB11-FCD3F934B8BD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04bd5eb-5da3-4c78-b159-2bc8443a6345"/>
    <ds:schemaRef ds:uri="0b1c8c71-5c14-46ef-9c85-f6af5a95de9b"/>
  </ds:schemaRefs>
</ds:datastoreItem>
</file>

<file path=customXml/itemProps2.xml><?xml version="1.0" encoding="utf-8"?>
<ds:datastoreItem xmlns:ds="http://schemas.openxmlformats.org/officeDocument/2006/customXml" ds:itemID="{1D75B026-B2AE-42DC-8951-55F2071FA6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0BBA1B-C17B-48AE-871E-FD5DA2C7C0CD}">
  <ds:schemaRefs>
    <ds:schemaRef ds:uri="http://schemas.microsoft.com/office/2006/metadata/properties"/>
    <ds:schemaRef ds:uri="http://www.w3.org/2000/xmlns/"/>
    <ds:schemaRef ds:uri="0b1c8c71-5c14-46ef-9c85-f6af5a95de9b"/>
    <ds:schemaRef ds:uri="http://www.w3.org/2001/XMLSchema-instance"/>
    <ds:schemaRef ds:uri="c04bd5eb-5da3-4c78-b159-2bc8443a6345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7</Pages>
  <Words>1277</Words>
  <Characters>6897</Characters>
  <Application>Microsoft Office Word</Application>
  <DocSecurity>0</DocSecurity>
  <Lines>57</Lines>
  <Paragraphs>16</Paragraphs>
  <ScaleCrop>false</ScaleCrop>
  <Company>Tribunal de Justiça do Estado do Paraná</Company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78</cp:revision>
  <cp:lastPrinted>2025-07-11T18:35:00Z</cp:lastPrinted>
  <dcterms:created xsi:type="dcterms:W3CDTF">2025-11-12T17:59:00Z</dcterms:created>
  <dcterms:modified xsi:type="dcterms:W3CDTF">2025-11-14T21:44:00Z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371800</vt:r8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