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818909" w14:textId="4CF58461" w:rsidR="00AB539B" w:rsidRPr="00113AF8" w:rsidRDefault="008149B1" w:rsidP="00EA5205">
      <w:pPr>
        <w:pStyle w:val="PargrafodaLista"/>
        <w:ind w:left="0" w:firstLine="0"/>
        <w:contextualSpacing w:val="0"/>
        <w:rPr>
          <w:b/>
          <w:szCs w:val="24"/>
        </w:rPr>
      </w:pPr>
      <w:r w:rsidRPr="00113AF8">
        <w:rPr>
          <w:b/>
          <w:szCs w:val="24"/>
        </w:rPr>
        <w:t>DIREITO PENAL E PROCESSUAL PENAL.</w:t>
      </w:r>
      <w:r w:rsidR="00507AA3" w:rsidRPr="00113AF8">
        <w:rPr>
          <w:b/>
          <w:szCs w:val="24"/>
        </w:rPr>
        <w:t xml:space="preserve"> </w:t>
      </w:r>
      <w:r w:rsidRPr="00113AF8">
        <w:rPr>
          <w:b/>
          <w:szCs w:val="24"/>
        </w:rPr>
        <w:t>REVISÃO CRIMINAL.</w:t>
      </w:r>
      <w:r w:rsidR="00507AA3" w:rsidRPr="00113AF8">
        <w:rPr>
          <w:b/>
          <w:szCs w:val="24"/>
        </w:rPr>
        <w:t xml:space="preserve"> </w:t>
      </w:r>
      <w:r w:rsidRPr="00113AF8">
        <w:rPr>
          <w:b/>
          <w:szCs w:val="24"/>
        </w:rPr>
        <w:t>TRÁFICO ILÍCITO DE ENTORPECENTES</w:t>
      </w:r>
      <w:r w:rsidR="00885813" w:rsidRPr="00113AF8">
        <w:rPr>
          <w:b/>
          <w:szCs w:val="24"/>
        </w:rPr>
        <w:t>.</w:t>
      </w:r>
      <w:r w:rsidR="0062409E" w:rsidRPr="00113AF8">
        <w:rPr>
          <w:b/>
          <w:szCs w:val="24"/>
        </w:rPr>
        <w:t xml:space="preserve"> </w:t>
      </w:r>
      <w:r w:rsidR="00AB539B">
        <w:rPr>
          <w:b/>
          <w:szCs w:val="24"/>
        </w:rPr>
        <w:t>CONTRARIEDADE AO TEXTO DA LEI PENAL OU À EVIDÊNCIA DOS AUTOS.</w:t>
      </w:r>
      <w:r w:rsidR="000F4389">
        <w:rPr>
          <w:b/>
          <w:szCs w:val="24"/>
        </w:rPr>
        <w:t xml:space="preserve"> </w:t>
      </w:r>
      <w:r w:rsidR="00AB539B">
        <w:rPr>
          <w:b/>
          <w:szCs w:val="24"/>
        </w:rPr>
        <w:t>TEMA 506 DE REPERCUSSÃO GERAL.</w:t>
      </w:r>
      <w:r w:rsidR="0040166B">
        <w:rPr>
          <w:b/>
          <w:szCs w:val="24"/>
        </w:rPr>
        <w:t xml:space="preserve"> DESCLASSIFICAÇÃO. PORTE PARA CONSUMO PRÓPRIO.</w:t>
      </w:r>
      <w:r w:rsidR="000F4389">
        <w:rPr>
          <w:b/>
          <w:szCs w:val="24"/>
        </w:rPr>
        <w:t xml:space="preserve"> </w:t>
      </w:r>
      <w:r w:rsidR="006A01CB">
        <w:rPr>
          <w:b/>
          <w:szCs w:val="24"/>
        </w:rPr>
        <w:t xml:space="preserve">PRESUNÇÃO RELATIVA. </w:t>
      </w:r>
      <w:r w:rsidR="007065E3">
        <w:rPr>
          <w:b/>
          <w:szCs w:val="24"/>
        </w:rPr>
        <w:t xml:space="preserve">CIRCUNSTÂNCIAS DO CASO CONCRETO. </w:t>
      </w:r>
      <w:proofErr w:type="spellStart"/>
      <w:r w:rsidR="007065E3">
        <w:rPr>
          <w:b/>
          <w:szCs w:val="24"/>
        </w:rPr>
        <w:t>NARCOTRAFIC</w:t>
      </w:r>
      <w:r w:rsidR="001A73C4">
        <w:rPr>
          <w:b/>
          <w:szCs w:val="24"/>
        </w:rPr>
        <w:t>A</w:t>
      </w:r>
      <w:r w:rsidR="007065E3">
        <w:rPr>
          <w:b/>
          <w:szCs w:val="24"/>
        </w:rPr>
        <w:t>NCIA</w:t>
      </w:r>
      <w:proofErr w:type="spellEnd"/>
      <w:r w:rsidR="000F4389">
        <w:rPr>
          <w:b/>
          <w:szCs w:val="24"/>
        </w:rPr>
        <w:t>. IMPROCEDÊNCIA.</w:t>
      </w:r>
    </w:p>
    <w:p w14:paraId="07B6CE0B" w14:textId="77777777" w:rsidR="00EF1B86" w:rsidRPr="009535F0" w:rsidRDefault="00E73B75" w:rsidP="00EA5205">
      <w:pPr>
        <w:pStyle w:val="PargrafodaLista"/>
        <w:ind w:left="0" w:firstLine="0"/>
        <w:contextualSpacing w:val="0"/>
        <w:rPr>
          <w:b/>
          <w:szCs w:val="24"/>
        </w:rPr>
      </w:pPr>
      <w:r w:rsidRPr="009535F0">
        <w:rPr>
          <w:b/>
          <w:szCs w:val="24"/>
        </w:rPr>
        <w:t>I. CASO EM EXAME</w:t>
      </w:r>
    </w:p>
    <w:p w14:paraId="7C552C38" w14:textId="6453BB35" w:rsidR="00964AFA" w:rsidRPr="009535F0" w:rsidRDefault="00E73B75" w:rsidP="00885813">
      <w:pPr>
        <w:pStyle w:val="PargrafodaLista"/>
        <w:ind w:left="0" w:firstLine="0"/>
        <w:contextualSpacing w:val="0"/>
        <w:rPr>
          <w:b/>
          <w:szCs w:val="24"/>
        </w:rPr>
      </w:pPr>
      <w:r w:rsidRPr="009535F0">
        <w:rPr>
          <w:b/>
          <w:szCs w:val="24"/>
        </w:rPr>
        <w:t>Revisão criminal ajuizada com o objetivo de desconstituir</w:t>
      </w:r>
      <w:r w:rsidR="00303B6F" w:rsidRPr="009535F0">
        <w:rPr>
          <w:b/>
          <w:szCs w:val="24"/>
        </w:rPr>
        <w:t xml:space="preserve"> acórdão, confirmatório de sentença condenatória,</w:t>
      </w:r>
      <w:r w:rsidRPr="009535F0">
        <w:rPr>
          <w:b/>
          <w:szCs w:val="24"/>
        </w:rPr>
        <w:t xml:space="preserve"> </w:t>
      </w:r>
      <w:r w:rsidR="00CB5CF7" w:rsidRPr="009535F0">
        <w:rPr>
          <w:b/>
          <w:szCs w:val="24"/>
        </w:rPr>
        <w:t xml:space="preserve">que </w:t>
      </w:r>
      <w:r w:rsidR="00964AFA" w:rsidRPr="009535F0">
        <w:rPr>
          <w:b/>
          <w:szCs w:val="24"/>
        </w:rPr>
        <w:t>condenou o imputado pela prática do crime de tráfico de ilícito de entorpecente (Lei n. 11.343/2006, art. 33)</w:t>
      </w:r>
      <w:r w:rsidR="009535F0" w:rsidRPr="009535F0">
        <w:rPr>
          <w:b/>
          <w:szCs w:val="24"/>
        </w:rPr>
        <w:t>, mediante pedido de desclassificação da capitulação jurídica, com base no novo entendimento fixado pelo STF no Tema 506 de Repercussão Geral.</w:t>
      </w:r>
    </w:p>
    <w:p w14:paraId="3A64C671" w14:textId="77777777" w:rsidR="00F33A0C" w:rsidRDefault="00E73B75" w:rsidP="009D6D2C">
      <w:pPr>
        <w:pStyle w:val="PargrafodaLista"/>
        <w:ind w:left="0" w:firstLine="0"/>
        <w:contextualSpacing w:val="0"/>
        <w:rPr>
          <w:b/>
          <w:szCs w:val="24"/>
        </w:rPr>
      </w:pPr>
      <w:r w:rsidRPr="009535F0">
        <w:rPr>
          <w:b/>
          <w:szCs w:val="24"/>
        </w:rPr>
        <w:t>II. QUESTÃO EM DISCUSSÃO</w:t>
      </w:r>
    </w:p>
    <w:p w14:paraId="08322391" w14:textId="13DB9F3E" w:rsidR="009535F0" w:rsidRPr="009535F0" w:rsidRDefault="009535F0" w:rsidP="009D6D2C">
      <w:pPr>
        <w:pStyle w:val="PargrafodaLista"/>
        <w:ind w:left="0" w:firstLine="0"/>
        <w:contextualSpacing w:val="0"/>
        <w:rPr>
          <w:b/>
          <w:szCs w:val="24"/>
        </w:rPr>
      </w:pPr>
      <w:r>
        <w:rPr>
          <w:b/>
          <w:szCs w:val="24"/>
        </w:rPr>
        <w:t>Desclassificação da capitulação jurídica da imputação delitiva</w:t>
      </w:r>
      <w:r w:rsidR="000D7A8F">
        <w:rPr>
          <w:b/>
          <w:szCs w:val="24"/>
        </w:rPr>
        <w:t xml:space="preserve"> do crime de tráfico ilícito de entorpecentes, </w:t>
      </w:r>
      <w:r w:rsidR="006E2F10">
        <w:rPr>
          <w:b/>
          <w:szCs w:val="24"/>
        </w:rPr>
        <w:t xml:space="preserve">para a infração de porte para consumo próprio, </w:t>
      </w:r>
      <w:r w:rsidR="00E15B79">
        <w:rPr>
          <w:b/>
          <w:szCs w:val="24"/>
        </w:rPr>
        <w:t xml:space="preserve">em razão do novo entendimento </w:t>
      </w:r>
      <w:r w:rsidR="00255039">
        <w:rPr>
          <w:b/>
          <w:szCs w:val="24"/>
        </w:rPr>
        <w:t>propalado no Tema 506 de Repercussão Geral.</w:t>
      </w:r>
    </w:p>
    <w:p w14:paraId="10E181C4" w14:textId="04F74070" w:rsidR="00425BE9" w:rsidRPr="00303B6F" w:rsidRDefault="00E73B75" w:rsidP="009D6D2C">
      <w:pPr>
        <w:pStyle w:val="PargrafodaLista"/>
        <w:ind w:left="0" w:firstLine="0"/>
        <w:contextualSpacing w:val="0"/>
        <w:rPr>
          <w:b/>
          <w:szCs w:val="24"/>
        </w:rPr>
      </w:pPr>
      <w:r w:rsidRPr="00303B6F">
        <w:rPr>
          <w:b/>
          <w:szCs w:val="24"/>
        </w:rPr>
        <w:t>III. RAZÕES DE DECIDIR</w:t>
      </w:r>
    </w:p>
    <w:p w14:paraId="033F63B4" w14:textId="1F7791D5" w:rsidR="00425BE9" w:rsidRPr="00303B6F" w:rsidRDefault="00700F1B" w:rsidP="009D6D2C">
      <w:pPr>
        <w:pStyle w:val="PargrafodaLista"/>
        <w:ind w:left="0" w:firstLine="0"/>
        <w:contextualSpacing w:val="0"/>
        <w:rPr>
          <w:b/>
          <w:szCs w:val="24"/>
        </w:rPr>
      </w:pPr>
      <w:r w:rsidRPr="00303B6F">
        <w:rPr>
          <w:b/>
          <w:szCs w:val="24"/>
        </w:rPr>
        <w:t xml:space="preserve">A presunção de destinação </w:t>
      </w:r>
      <w:r w:rsidR="00400DD0" w:rsidRPr="00303B6F">
        <w:rPr>
          <w:b/>
          <w:szCs w:val="24"/>
        </w:rPr>
        <w:t xml:space="preserve">para consumo próprio, </w:t>
      </w:r>
      <w:r w:rsidRPr="00303B6F">
        <w:rPr>
          <w:b/>
          <w:szCs w:val="24"/>
        </w:rPr>
        <w:t>de</w:t>
      </w:r>
      <w:r w:rsidR="00400DD0" w:rsidRPr="00303B6F">
        <w:rPr>
          <w:b/>
          <w:szCs w:val="24"/>
        </w:rPr>
        <w:t xml:space="preserve"> porção inferior a 40 (quarenta) gramas</w:t>
      </w:r>
      <w:r w:rsidRPr="00303B6F">
        <w:rPr>
          <w:b/>
          <w:szCs w:val="24"/>
        </w:rPr>
        <w:t xml:space="preserve"> </w:t>
      </w:r>
      <w:r w:rsidRPr="0060207F">
        <w:rPr>
          <w:b/>
          <w:i/>
          <w:iCs/>
          <w:szCs w:val="24"/>
        </w:rPr>
        <w:t>cannabis</w:t>
      </w:r>
      <w:r w:rsidR="0060207F">
        <w:rPr>
          <w:b/>
          <w:i/>
          <w:iCs/>
          <w:szCs w:val="24"/>
        </w:rPr>
        <w:t xml:space="preserve"> sativa L.</w:t>
      </w:r>
      <w:r w:rsidR="00400DD0" w:rsidRPr="00303B6F">
        <w:rPr>
          <w:b/>
          <w:szCs w:val="24"/>
        </w:rPr>
        <w:t>, possui caráter relativo, podendo ser afastada diante de circunst</w:t>
      </w:r>
      <w:r w:rsidR="00D82014" w:rsidRPr="00303B6F">
        <w:rPr>
          <w:b/>
          <w:szCs w:val="24"/>
        </w:rPr>
        <w:t>âncias contrastantes, indicativas de propósito de mercancia</w:t>
      </w:r>
      <w:r w:rsidR="00A2404F" w:rsidRPr="00303B6F">
        <w:rPr>
          <w:b/>
          <w:szCs w:val="24"/>
        </w:rPr>
        <w:t>.</w:t>
      </w:r>
    </w:p>
    <w:p w14:paraId="6E3F71FE" w14:textId="77777777" w:rsidR="00F33A0C" w:rsidRPr="002918C0" w:rsidRDefault="00E73B75" w:rsidP="009D6D2C">
      <w:pPr>
        <w:pStyle w:val="PargrafodaLista"/>
        <w:ind w:left="0" w:firstLine="0"/>
        <w:contextualSpacing w:val="0"/>
        <w:rPr>
          <w:b/>
          <w:szCs w:val="24"/>
        </w:rPr>
      </w:pPr>
      <w:r w:rsidRPr="002918C0">
        <w:rPr>
          <w:b/>
          <w:szCs w:val="24"/>
        </w:rPr>
        <w:t>IV. SOLUÇÃO DO CASO</w:t>
      </w:r>
    </w:p>
    <w:p w14:paraId="45710DF9" w14:textId="4864E99D" w:rsidR="009D6D2C" w:rsidRPr="002918C0" w:rsidRDefault="00E73B75" w:rsidP="009D6D2C">
      <w:pPr>
        <w:pStyle w:val="PargrafodaLista"/>
        <w:ind w:left="0" w:firstLine="0"/>
        <w:contextualSpacing w:val="0"/>
        <w:rPr>
          <w:b/>
          <w:szCs w:val="24"/>
        </w:rPr>
      </w:pPr>
      <w:r w:rsidRPr="002918C0">
        <w:rPr>
          <w:b/>
          <w:szCs w:val="24"/>
        </w:rPr>
        <w:t xml:space="preserve">Revisão </w:t>
      </w:r>
      <w:r w:rsidR="00A2404F" w:rsidRPr="002918C0">
        <w:rPr>
          <w:b/>
          <w:szCs w:val="24"/>
        </w:rPr>
        <w:t>criminal conhecida e improcedente.</w:t>
      </w:r>
    </w:p>
    <w:p w14:paraId="72278AF6" w14:textId="77777777" w:rsidR="009D6D2C" w:rsidRPr="002918C0" w:rsidRDefault="00E73B75" w:rsidP="009D6D2C">
      <w:pPr>
        <w:pStyle w:val="PargrafodaLista"/>
        <w:ind w:left="0" w:firstLine="0"/>
        <w:contextualSpacing w:val="0"/>
        <w:rPr>
          <w:b/>
          <w:szCs w:val="24"/>
        </w:rPr>
      </w:pPr>
      <w:r w:rsidRPr="002918C0">
        <w:rPr>
          <w:b/>
          <w:szCs w:val="24"/>
        </w:rPr>
        <w:t>V. LEGISLAÇÃO E JURISPRUDÊNCIA UTILIZADAS</w:t>
      </w:r>
    </w:p>
    <w:p w14:paraId="7FE4BE34" w14:textId="103C63C2" w:rsidR="009D6D2C" w:rsidRPr="002918C0" w:rsidRDefault="00E73B75" w:rsidP="009D6D2C">
      <w:pPr>
        <w:pStyle w:val="PargrafodaLista"/>
        <w:ind w:left="0" w:firstLine="0"/>
        <w:contextualSpacing w:val="0"/>
        <w:rPr>
          <w:b/>
          <w:szCs w:val="24"/>
        </w:rPr>
      </w:pPr>
      <w:r w:rsidRPr="002918C0">
        <w:rPr>
          <w:b/>
          <w:szCs w:val="24"/>
        </w:rPr>
        <w:t xml:space="preserve">V.I. </w:t>
      </w:r>
      <w:r w:rsidR="002918C0">
        <w:rPr>
          <w:b/>
          <w:szCs w:val="24"/>
        </w:rPr>
        <w:t>Legislação</w:t>
      </w:r>
    </w:p>
    <w:p w14:paraId="25C91943" w14:textId="4AFCB99B" w:rsidR="009D6D2C" w:rsidRPr="002918C0" w:rsidRDefault="009D6D2C" w:rsidP="009D6D2C">
      <w:pPr>
        <w:pStyle w:val="PargrafodaLista"/>
        <w:ind w:left="0" w:firstLine="0"/>
        <w:contextualSpacing w:val="0"/>
        <w:rPr>
          <w:b/>
          <w:szCs w:val="24"/>
        </w:rPr>
      </w:pPr>
      <w:r w:rsidRPr="002918C0">
        <w:rPr>
          <w:b/>
          <w:szCs w:val="24"/>
        </w:rPr>
        <w:t>CPP:</w:t>
      </w:r>
      <w:r w:rsidR="00E73B75" w:rsidRPr="002918C0">
        <w:rPr>
          <w:b/>
          <w:szCs w:val="24"/>
        </w:rPr>
        <w:t xml:space="preserve"> art. 621, I.</w:t>
      </w:r>
    </w:p>
    <w:p w14:paraId="22B7A92E" w14:textId="73720193" w:rsidR="002918C0" w:rsidRPr="002918C0" w:rsidRDefault="00E73B75" w:rsidP="002918C0">
      <w:pPr>
        <w:pStyle w:val="PargrafodaLista"/>
        <w:ind w:left="0" w:firstLine="0"/>
        <w:contextualSpacing w:val="0"/>
        <w:rPr>
          <w:b/>
          <w:szCs w:val="24"/>
        </w:rPr>
      </w:pPr>
      <w:proofErr w:type="spellStart"/>
      <w:r w:rsidRPr="002918C0">
        <w:rPr>
          <w:b/>
          <w:szCs w:val="24"/>
        </w:rPr>
        <w:t>V.II</w:t>
      </w:r>
      <w:proofErr w:type="spellEnd"/>
      <w:r w:rsidRPr="002918C0">
        <w:rPr>
          <w:b/>
          <w:szCs w:val="24"/>
        </w:rPr>
        <w:t>. J</w:t>
      </w:r>
      <w:r w:rsidR="002918C0" w:rsidRPr="002918C0">
        <w:rPr>
          <w:b/>
          <w:szCs w:val="24"/>
        </w:rPr>
        <w:t>urisprudência</w:t>
      </w:r>
    </w:p>
    <w:p w14:paraId="0C5F51D0" w14:textId="4A365DC2" w:rsidR="00AA28DF" w:rsidRPr="002918C0" w:rsidRDefault="002918C0" w:rsidP="002918C0">
      <w:pPr>
        <w:pStyle w:val="PargrafodaLista"/>
        <w:ind w:left="0" w:firstLine="0"/>
        <w:contextualSpacing w:val="0"/>
        <w:rPr>
          <w:b/>
          <w:szCs w:val="24"/>
        </w:rPr>
      </w:pPr>
      <w:r w:rsidRPr="002918C0">
        <w:rPr>
          <w:b/>
          <w:szCs w:val="24"/>
        </w:rPr>
        <w:t>STF. Tribunal Pleno. Relator: Ministro Gilmar Mendes. RE 635659. Tema 506 de Repercussão Geral. Data de julgamento: 26-6-2024. Data de publicação: 27-9-2024.</w:t>
      </w:r>
    </w:p>
    <w:p w14:paraId="6A039548" w14:textId="77777777" w:rsidR="002918C0" w:rsidRDefault="002918C0" w:rsidP="00AA28DF">
      <w:pPr>
        <w:pStyle w:val="PargrafodaLista"/>
        <w:ind w:left="0"/>
        <w:contextualSpacing w:val="0"/>
        <w:rPr>
          <w:b/>
        </w:rPr>
      </w:pPr>
    </w:p>
    <w:p w14:paraId="3FD26058" w14:textId="77777777" w:rsidR="00AA28DF" w:rsidRDefault="00AA28DF" w:rsidP="00AA28DF">
      <w:pPr>
        <w:pStyle w:val="PargrafodaLista"/>
        <w:ind w:left="0"/>
        <w:contextualSpacing w:val="0"/>
        <w:rPr>
          <w:b/>
        </w:rPr>
      </w:pPr>
      <w:r>
        <w:rPr>
          <w:b/>
        </w:rPr>
        <w:t>I – RELATÓRIO</w:t>
      </w:r>
    </w:p>
    <w:p w14:paraId="27D3555C" w14:textId="7F27D142" w:rsidR="0007330F" w:rsidRDefault="00AA28DF" w:rsidP="0007330F">
      <w:pPr>
        <w:pStyle w:val="PargrafodaLista"/>
        <w:ind w:left="0"/>
        <w:contextualSpacing w:val="0"/>
      </w:pPr>
      <w:r>
        <w:t>Cuida-se de</w:t>
      </w:r>
      <w:r w:rsidR="004D55DE">
        <w:t xml:space="preserve"> revisão criminal ajuizada por</w:t>
      </w:r>
      <w:r w:rsidR="00135F24">
        <w:t xml:space="preserve"> </w:t>
      </w:r>
      <w:r w:rsidR="000D5ED4">
        <w:t>Mauro Sergio de Araujo</w:t>
      </w:r>
      <w:r w:rsidR="005067A4">
        <w:t xml:space="preserve">, tendo como objeto </w:t>
      </w:r>
      <w:r w:rsidR="008E7312">
        <w:t xml:space="preserve">sentença proferida pela Vara Criminal de Piraquara, confirmada </w:t>
      </w:r>
      <w:r w:rsidR="00FB1B4F">
        <w:t>5ª Câmara Criminal do Tribunal de Justiça do Estado do Paraná, que o condenou, pelo crime de tráfico ilícito de entorpecentes</w:t>
      </w:r>
      <w:r w:rsidR="00F954BD">
        <w:t>,</w:t>
      </w:r>
      <w:r w:rsidR="00573F1B">
        <w:t xml:space="preserve"> às penas de 6 (seis) anos, 9 (nove) meses e 20 (vinte) dias de reclusão</w:t>
      </w:r>
      <w:r w:rsidR="005067A4">
        <w:t xml:space="preserve"> </w:t>
      </w:r>
      <w:r w:rsidR="005C625E">
        <w:t>e 680 (seiscentos e oitenta) dias-multa (</w:t>
      </w:r>
      <w:r w:rsidR="0007330F">
        <w:t xml:space="preserve">autos n. </w:t>
      </w:r>
      <w:r w:rsidR="008D1F4B" w:rsidRPr="008D1F4B">
        <w:t>0003094-03.2018.8.16.0034</w:t>
      </w:r>
      <w:r w:rsidR="0007330F">
        <w:t xml:space="preserve">, evento 48.1; autos n. </w:t>
      </w:r>
      <w:r w:rsidR="0007330F" w:rsidRPr="0007330F">
        <w:t>0003094-03.2018.8.16.0034</w:t>
      </w:r>
      <w:r w:rsidR="0007330F">
        <w:t xml:space="preserve">, </w:t>
      </w:r>
      <w:r w:rsidR="00545E1E">
        <w:t>183.1).</w:t>
      </w:r>
    </w:p>
    <w:p w14:paraId="02C3D63B" w14:textId="5D911288" w:rsidR="006A654F" w:rsidRDefault="006A654F" w:rsidP="00BF6D43">
      <w:pPr>
        <w:pStyle w:val="PargrafodaLista"/>
        <w:ind w:left="0"/>
        <w:contextualSpacing w:val="0"/>
      </w:pPr>
      <w:r>
        <w:t xml:space="preserve">Sustenta </w:t>
      </w:r>
      <w:r w:rsidR="000731B8">
        <w:t>o</w:t>
      </w:r>
      <w:r>
        <w:t xml:space="preserve"> requerente, em síntese, que:</w:t>
      </w:r>
      <w:r w:rsidR="00411292">
        <w:t xml:space="preserve"> a)</w:t>
      </w:r>
      <w:r w:rsidR="000731B8">
        <w:t xml:space="preserve"> o Supremo Tribunal Federal pacificou entendimento</w:t>
      </w:r>
      <w:r w:rsidR="00BA485D">
        <w:t>, no Tema</w:t>
      </w:r>
      <w:r w:rsidR="00B7208F">
        <w:t xml:space="preserve"> n. 506 de Repercussão Geral, de que</w:t>
      </w:r>
      <w:r w:rsidR="00D55BBE">
        <w:t xml:space="preserve"> </w:t>
      </w:r>
      <w:r w:rsidR="00C064D1">
        <w:t>se presume</w:t>
      </w:r>
      <w:r w:rsidR="00D55BBE">
        <w:t xml:space="preserve"> usuário aquele que pratica </w:t>
      </w:r>
      <w:r w:rsidR="00483FCE">
        <w:t xml:space="preserve">posse ou porte de até 40 (quarenta) gramas de </w:t>
      </w:r>
      <w:r w:rsidR="00483FCE">
        <w:rPr>
          <w:i/>
          <w:iCs/>
        </w:rPr>
        <w:t>cannabis sativa</w:t>
      </w:r>
      <w:r w:rsidR="00D55BBE">
        <w:t xml:space="preserve">; b) </w:t>
      </w:r>
      <w:r w:rsidR="0027120C">
        <w:t xml:space="preserve">tendo sido condenado </w:t>
      </w:r>
      <w:r w:rsidR="00B53E5A">
        <w:t xml:space="preserve">por trazer consigo </w:t>
      </w:r>
      <w:r w:rsidR="008043F1">
        <w:t>39 (trinta e nove)</w:t>
      </w:r>
      <w:r w:rsidR="00F646D3">
        <w:t xml:space="preserve"> de </w:t>
      </w:r>
      <w:r w:rsidR="00F646D3">
        <w:rPr>
          <w:i/>
          <w:iCs/>
        </w:rPr>
        <w:t xml:space="preserve">cannabis sativa </w:t>
      </w:r>
      <w:r w:rsidR="00F646D3">
        <w:t>em formato de haxixe e inexistindo indicativos de mercancia, a capitulação jurídica da imputação deve ser desclassificada para a infração do artigo 28 da Lei n. 11.343 de 2006 (evento 1.1).</w:t>
      </w:r>
    </w:p>
    <w:p w14:paraId="13632704" w14:textId="1158333D" w:rsidR="00BF6D43" w:rsidRDefault="008B432F" w:rsidP="00BF6D43">
      <w:pPr>
        <w:pStyle w:val="PargrafodaLista"/>
        <w:ind w:left="0"/>
        <w:contextualSpacing w:val="0"/>
      </w:pPr>
      <w:r>
        <w:t>A Procuradoria-Geral de Justiça se manifestou pela improcedência da ação</w:t>
      </w:r>
      <w:r w:rsidR="00F646D3">
        <w:t xml:space="preserve">, argumentando que: a) a pretensão desclassificatória foi analisada e refutada; b) o quadro probatório, em especial o interrogatório judicial do </w:t>
      </w:r>
      <w:r w:rsidR="006400E1">
        <w:t xml:space="preserve">imputado, denota propósito de distribuição </w:t>
      </w:r>
      <w:r w:rsidR="00C064D1">
        <w:t>dos entorpecentes</w:t>
      </w:r>
      <w:r w:rsidR="006400E1">
        <w:t xml:space="preserve"> </w:t>
      </w:r>
      <w:r>
        <w:t xml:space="preserve">(evento </w:t>
      </w:r>
      <w:r w:rsidR="002C5CA2">
        <w:t>1</w:t>
      </w:r>
      <w:r w:rsidR="00F139A9">
        <w:t>4</w:t>
      </w:r>
      <w:r w:rsidR="002C5CA2">
        <w:t>.1).</w:t>
      </w:r>
    </w:p>
    <w:p w14:paraId="3FF085E9" w14:textId="77777777" w:rsidR="004D55DE" w:rsidRDefault="004D55DE" w:rsidP="004D55DE">
      <w:pPr>
        <w:pStyle w:val="PargrafodaLista"/>
        <w:ind w:left="0"/>
        <w:contextualSpacing w:val="0"/>
      </w:pPr>
      <w:r>
        <w:t>É o necessário relato.</w:t>
      </w:r>
    </w:p>
    <w:p w14:paraId="094E1616" w14:textId="77777777" w:rsidR="00AA28DF" w:rsidRDefault="00AA28DF" w:rsidP="00877419">
      <w:pPr>
        <w:pStyle w:val="PargrafodaLista"/>
        <w:ind w:left="0"/>
        <w:contextualSpacing w:val="0"/>
      </w:pPr>
    </w:p>
    <w:p w14:paraId="13B206B0" w14:textId="77777777" w:rsidR="00AA28DF" w:rsidRPr="00AA28DF" w:rsidRDefault="00AA28DF" w:rsidP="00877419">
      <w:pPr>
        <w:pStyle w:val="PargrafodaLista"/>
        <w:ind w:left="0"/>
        <w:contextualSpacing w:val="0"/>
        <w:rPr>
          <w:b/>
        </w:rPr>
      </w:pPr>
      <w:r w:rsidRPr="00AA28DF">
        <w:rPr>
          <w:b/>
        </w:rPr>
        <w:t>II – VOTO E SUA FUNDAMENTAÇÃO</w:t>
      </w:r>
    </w:p>
    <w:p w14:paraId="2FB7465C" w14:textId="305111E0" w:rsidR="004D55DE" w:rsidRDefault="004D55DE" w:rsidP="004D55DE">
      <w:pPr>
        <w:pStyle w:val="PargrafodaLista"/>
        <w:ind w:left="0"/>
        <w:contextualSpacing w:val="0"/>
      </w:pPr>
      <w:r>
        <w:t>II.I – DO JUÍZO DE ADMISSIBILIDADE</w:t>
      </w:r>
    </w:p>
    <w:p w14:paraId="61DC1DE5" w14:textId="178D5899" w:rsidR="00D23F7C" w:rsidRDefault="00BA4BEC" w:rsidP="004D55DE">
      <w:pPr>
        <w:pStyle w:val="PargrafodaLista"/>
        <w:ind w:left="0"/>
        <w:contextualSpacing w:val="0"/>
      </w:pPr>
      <w:r>
        <w:t>Satisfeitos os pressupostos processuais, conhece-se da revisão criminal.</w:t>
      </w:r>
    </w:p>
    <w:p w14:paraId="400C8F4E" w14:textId="77777777" w:rsidR="00BA4BEC" w:rsidRDefault="00BA4BEC" w:rsidP="004D55DE">
      <w:pPr>
        <w:pStyle w:val="PargrafodaLista"/>
        <w:ind w:left="0"/>
        <w:contextualSpacing w:val="0"/>
      </w:pPr>
    </w:p>
    <w:p w14:paraId="7B042C91" w14:textId="1A5CC5AD" w:rsidR="00D23F7C" w:rsidRPr="0012562C" w:rsidRDefault="00D23F7C" w:rsidP="004D55DE">
      <w:pPr>
        <w:pStyle w:val="PargrafodaLista"/>
        <w:ind w:left="0"/>
        <w:contextualSpacing w:val="0"/>
      </w:pPr>
      <w:r w:rsidRPr="0012562C">
        <w:t>II.II –</w:t>
      </w:r>
      <w:r w:rsidR="006C39F7" w:rsidRPr="0012562C">
        <w:t xml:space="preserve"> DO MÉRITO</w:t>
      </w:r>
    </w:p>
    <w:p w14:paraId="65867221" w14:textId="4A1D5C87" w:rsidR="00D3045B" w:rsidRDefault="00580A7A" w:rsidP="00F955C3">
      <w:pPr>
        <w:pStyle w:val="PargrafodaLista"/>
        <w:ind w:left="0"/>
        <w:contextualSpacing w:val="0"/>
      </w:pPr>
      <w:r w:rsidRPr="0012562C">
        <w:t xml:space="preserve">Circunscreve-se o objeto da demanda ao exame de pretensão de desconstituição de </w:t>
      </w:r>
      <w:r w:rsidR="00AD041B" w:rsidRPr="0012562C">
        <w:t>pronunciamento judicial condenatório</w:t>
      </w:r>
      <w:r w:rsidR="0027568E">
        <w:t>, mediante desclassificação da capitulação jurídica da imputação delitiva, em razão do novo entendimento consolidado pela Corte Superior no Tema n. 506 d</w:t>
      </w:r>
      <w:r w:rsidR="008D14C9">
        <w:t>e Repercussão Geral.</w:t>
      </w:r>
    </w:p>
    <w:p w14:paraId="637A14DF" w14:textId="3FCCDFCF" w:rsidR="00F955C3" w:rsidRDefault="00F955C3" w:rsidP="00F955C3">
      <w:pPr>
        <w:pStyle w:val="PargrafodaLista"/>
        <w:ind w:left="0"/>
        <w:contextualSpacing w:val="0"/>
      </w:pPr>
      <w:r>
        <w:t xml:space="preserve">Em referido precedente qualificado, o Supremo Tribunal deliberou que </w:t>
      </w:r>
      <w:r w:rsidR="007D58A1">
        <w:t>na apreensão de até 40 (quarenta) gramas de cannabis sativa,</w:t>
      </w:r>
      <w:r w:rsidR="00716117">
        <w:t xml:space="preserve"> a destinação para uso pessoal é presumida, salvo se presentes elementos indicativos do intuito de mercancia</w:t>
      </w:r>
      <w:r w:rsidR="003B188A">
        <w:t>.</w:t>
      </w:r>
    </w:p>
    <w:p w14:paraId="69AC8039" w14:textId="08E7A50A" w:rsidR="009435D4" w:rsidRDefault="009435D4" w:rsidP="00F955C3">
      <w:pPr>
        <w:pStyle w:val="PargrafodaLista"/>
        <w:ind w:left="0"/>
        <w:contextualSpacing w:val="0"/>
      </w:pPr>
      <w:r>
        <w:t>Eis a ementa do respectivo julgado:</w:t>
      </w:r>
    </w:p>
    <w:p w14:paraId="27AC97AF" w14:textId="77777777" w:rsidR="00EB4BB4" w:rsidRDefault="00EB4BB4" w:rsidP="00F955C3">
      <w:pPr>
        <w:pStyle w:val="PargrafodaLista"/>
        <w:ind w:left="0"/>
        <w:contextualSpacing w:val="0"/>
      </w:pPr>
    </w:p>
    <w:p w14:paraId="37EE4383" w14:textId="173FB141" w:rsidR="002F1C18" w:rsidRDefault="00DE2032" w:rsidP="00DE2032">
      <w:pPr>
        <w:pStyle w:val="PargrafodaLista"/>
        <w:ind w:left="2268" w:firstLine="0"/>
        <w:contextualSpacing w:val="0"/>
        <w:rPr>
          <w:sz w:val="20"/>
          <w:szCs w:val="18"/>
        </w:rPr>
      </w:pPr>
      <w:r w:rsidRPr="00DE2032">
        <w:rPr>
          <w:sz w:val="20"/>
          <w:szCs w:val="18"/>
        </w:rPr>
        <w:t xml:space="preserve">Recurso extraordinário com repercussão geral. Porte de drogas para consumo pessoal. Declaração de inconstitucionalidade, sem redução de texto, do art. 28 da Lei 11.343/2006, para afastar a repercussão criminal do dispositivo em relação ao porte de cannabis sativa para uso pessoal. Risco de estigmatização do usuário. Deslocamento do enfoque para o campo da saúde pública. Implementação de políticas públicas de prevenção ao uso de drogas e de atenção especializada ao usuário. Manutenção do caráter ilícito do porte de drogas. Possibilidade de apreensão da substância e de aplicação das sanções previstas em lei (incisos I e III do art. 28), mediante procedimento não penal. Instituição de critérios objetivos para distinguir usuários e traficantes. 1. Discussão sobre a constitucionalidade do art. 28 da Lei 11.343/2006 (Quem adquirir, guardar, tiver em depósito, transportar ou trouxer consigo, para consumo pessoal, drogas sem autorização ou em desacordo com determinação legal ou regulamentar será submetido às seguintes penas: I - advertência sobre os efeitos das drogas; II - prestação de serviços à comunidade; III - medida educativa de comparecimento </w:t>
      </w:r>
      <w:proofErr w:type="spellStart"/>
      <w:r w:rsidRPr="00DE2032">
        <w:rPr>
          <w:sz w:val="20"/>
          <w:szCs w:val="18"/>
        </w:rPr>
        <w:t>a</w:t>
      </w:r>
      <w:proofErr w:type="spellEnd"/>
      <w:r w:rsidRPr="00DE2032">
        <w:rPr>
          <w:sz w:val="20"/>
          <w:szCs w:val="18"/>
        </w:rPr>
        <w:t xml:space="preserve"> programa ou curso educativo). 2. Caso em que o Tribunal não discute o tratamento legislativo do tráfico de drogas. Tal conduta é criminalizada com base em determinação constitucional (art. 5º, </w:t>
      </w:r>
      <w:proofErr w:type="spellStart"/>
      <w:r w:rsidRPr="00DE2032">
        <w:rPr>
          <w:sz w:val="20"/>
          <w:szCs w:val="18"/>
        </w:rPr>
        <w:t>XLIII</w:t>
      </w:r>
      <w:proofErr w:type="spellEnd"/>
      <w:r w:rsidRPr="00DE2032">
        <w:rPr>
          <w:sz w:val="20"/>
          <w:szCs w:val="18"/>
        </w:rPr>
        <w:t xml:space="preserve">). Quem comercializa, distribui e mantém em depósito drogas ilícitas pratica crime inafiançável e insuscetível de graça e anistia e incide nas penas do art. 33 da Lei 11.343/2006, as quais alcançam 15 anos de prisão. 3. Respeito às atribuições do Legislativo; cabe aos parlamentares – e a ninguém mais – decidir sobre o caráter ilícito do porte de drogas, ainda que para uso pessoal. Caso em que a Corte cogita apenas a supressão da repercussão criminal das condutas tipificadas no art. 28 da Lei 11.343/2006, sem prejuízo da aplicação das penalidades previstas nos incisos I e III do dispositivo, em procedimento a ser regulamentado pelo CNJ. Propósito de humanizar o tratamento dispensado por lei aos usuários, deslocando os esforços do campo penal para o da saúde pública. 4. A atribuição de natureza penal às sanções cominadas pelo art. 28 da Lei 11.343/2006 aprofunda a estigmatização do usuário e do dependente, ofuscando as políticas de prevenção, atenção especializada e tratamento, expressamente definidas no Sistema Nacional de Políticas sobre Drogas. 5. O segundo ponto abordado no recurso diz respeito à necessidade de previsão de critérios objetivos para distinguir usuários e traficantes, de modo a reduzir a discricionariedade das autoridades na capitulação do delito. O estado atual do sistema, caracterizado pela vagueza de conceitos jurídicos que podem importar a prisão de usuários, é incompatível com a ordem constitucional e com a própria intenção do legislador. 6. Com a edição do art. 28 da Lei 11.343/2006, pretendeu o legislador apartar a conduta do tráfico de drogas, que repercute negativamente em toda a sociedade, do porte para uso pessoal, cuja ofensividade se limita à esfera pessoal do usuário. Porém, na prática, o que se observou foi o contrário. Em vez de suavizar a punição cominada para o delito de porte de drogas para uso pessoal, os conceitos jurídicos indeterminados previstos na lei (“consumo pessoal” e “pequena quantidade”) recrudesceram o tratamento dispensado aos usuários. 7. Nota-se que, em vez de representar invasão de competência do Congresso Nacional, a fixação de parâmetros objetivos se alinha com a opção do legislador. Evita-se que disfuncionalidades do sistema de Justiça deformem o programa normativo da Lei 11.343/2006. 8. Conforme deliberado pelo Plenário, presume-se como usuário de drogas aquele que é encontrado na posse de até 40 gramas de maconha ou de 6 plantas-fêmeas, sem prejuízo do afastamento dessa presunção por decisão fundamentada do Delegado de Polícia, fundada em elementos objetivos que sinalizem o intuito de mercancia. A solução vale até que o Congresso Nacional delibere sobre o assunto, concebendo mecanismos capazes de reduzir a discricionariedade policial na aplicação do art. 28 da Lei 11.343/2006. 9. Por todo o exposto, fixa-se a seguinte tese de repercussão geral: (i) não comete infração penal quem adquirir, guardar, tiver em depósito, transportar ou trouxer consigo, para consumo pessoal, a substância cannabis sativa, sem prejuízo do reconhecimento da ilicitude extrapenal da conduta, com apreensão da droga e aplicação de sanções de advertência sobre os efeitos dela (art. 28, I) e medida educativa de comparecimento </w:t>
      </w:r>
      <w:proofErr w:type="spellStart"/>
      <w:r w:rsidRPr="00DE2032">
        <w:rPr>
          <w:sz w:val="20"/>
          <w:szCs w:val="18"/>
        </w:rPr>
        <w:t>a</w:t>
      </w:r>
      <w:proofErr w:type="spellEnd"/>
      <w:r w:rsidRPr="00DE2032">
        <w:rPr>
          <w:sz w:val="20"/>
          <w:szCs w:val="18"/>
        </w:rPr>
        <w:t xml:space="preserve"> programa ou curso educativo (art. 28, III); (</w:t>
      </w:r>
      <w:proofErr w:type="spellStart"/>
      <w:r w:rsidRPr="00DE2032">
        <w:rPr>
          <w:sz w:val="20"/>
          <w:szCs w:val="18"/>
        </w:rPr>
        <w:t>ii</w:t>
      </w:r>
      <w:proofErr w:type="spellEnd"/>
      <w:r w:rsidRPr="00DE2032">
        <w:rPr>
          <w:sz w:val="20"/>
          <w:szCs w:val="18"/>
        </w:rPr>
        <w:t>) as sanções estabelecidas nos incisos I e III do art. 28 da Lei 11.343/2006 serão aplicadas pelo juiz em procedimento de natureza não penal, sem nenhuma repercussão criminal para a conduta; (</w:t>
      </w:r>
      <w:proofErr w:type="spellStart"/>
      <w:r w:rsidRPr="00DE2032">
        <w:rPr>
          <w:sz w:val="20"/>
          <w:szCs w:val="18"/>
        </w:rPr>
        <w:t>iii</w:t>
      </w:r>
      <w:proofErr w:type="spellEnd"/>
      <w:r w:rsidRPr="00DE2032">
        <w:rPr>
          <w:sz w:val="20"/>
          <w:szCs w:val="18"/>
        </w:rPr>
        <w:t>) em se tratando da posse de cannabis para consumo pessoal, a autoridade policial apreenderá a substância e notificará o autor do fato para comparecer em Juízo, na forma do regulamento a ser aprovado pelo CNJ. Até que o CNJ delibere a respeito, a competência para julgar as condutas do art. 28 da Lei 11.343/2006 será dos Juizados Especiais Criminais, segundo a sistemática atual, vedada a atribuição de quaisquer efeitos penais para a sentença; (</w:t>
      </w:r>
      <w:proofErr w:type="spellStart"/>
      <w:r w:rsidRPr="00DE2032">
        <w:rPr>
          <w:sz w:val="20"/>
          <w:szCs w:val="18"/>
        </w:rPr>
        <w:t>iv</w:t>
      </w:r>
      <w:proofErr w:type="spellEnd"/>
      <w:r w:rsidRPr="00DE2032">
        <w:rPr>
          <w:sz w:val="20"/>
          <w:szCs w:val="18"/>
        </w:rPr>
        <w:t xml:space="preserve">) nos termos do §2º do artigo 28 da Lei 11.343/2006, será presumido usuário quem, para consumo próprio, adquirir, guardar, tiver em depósito, transportar ou trouxer consigo até 40 gramas de cannabis sativa ou seis plantas-fêmeas, até que o Congresso Nacional venha a legislar a respeito; </w:t>
      </w:r>
      <w:r w:rsidRPr="00DE2032">
        <w:rPr>
          <w:b/>
          <w:bCs/>
          <w:sz w:val="20"/>
          <w:szCs w:val="18"/>
        </w:rPr>
        <w:t>(v) a presunção do item anterior é relativa, não estando a autoridade policial e seus agentes impedidos de realizar a prisão em flagrante por tráfico de drogas, mesmo para quantidades inferiores ao limite acima estabelecido, quando presentes elementos que indiquem intuito de mercancia, como a forma de acondicionamento da droga, as circunstâncias da apreensão, a variedade de substâncias apreendidas, a apreensão simultânea de instrumentos como balança, registros de operações comerciais e aparelho celular contendo contatos de usuários ou traficantes; (vi) nesses casos, caberá ao delegado de polícia consignar, no auto de prisão em flagrante, justificativa minudente para afastamento da presunção do porte para uso pessoal, sendo vedada a alusão a critérios subjetivos arbitrários; (</w:t>
      </w:r>
      <w:proofErr w:type="spellStart"/>
      <w:r w:rsidRPr="00DE2032">
        <w:rPr>
          <w:b/>
          <w:bCs/>
          <w:sz w:val="20"/>
          <w:szCs w:val="18"/>
        </w:rPr>
        <w:t>vii</w:t>
      </w:r>
      <w:proofErr w:type="spellEnd"/>
      <w:r w:rsidRPr="00DE2032">
        <w:rPr>
          <w:b/>
          <w:bCs/>
          <w:sz w:val="20"/>
          <w:szCs w:val="18"/>
        </w:rPr>
        <w:t>) na hipótese de prisão por quantidades inferiores à fixada no item 4, deverá o juiz, na audiência de custódia, avaliar as razões invocadas para o afastamento da presunção de porte para uso próprio; (</w:t>
      </w:r>
      <w:proofErr w:type="spellStart"/>
      <w:r w:rsidRPr="00DE2032">
        <w:rPr>
          <w:b/>
          <w:bCs/>
          <w:sz w:val="20"/>
          <w:szCs w:val="18"/>
        </w:rPr>
        <w:t>viii</w:t>
      </w:r>
      <w:proofErr w:type="spellEnd"/>
      <w:r w:rsidRPr="00DE2032">
        <w:rPr>
          <w:b/>
          <w:bCs/>
          <w:sz w:val="20"/>
          <w:szCs w:val="18"/>
        </w:rPr>
        <w:t xml:space="preserve">) a apreensão de quantidades superiores aos limites ora fixados não impede o juiz de concluir que a conduta é atípica, apontando nos autos prova suficiente da condição de usuário. </w:t>
      </w:r>
      <w:r w:rsidRPr="00DE2032">
        <w:rPr>
          <w:sz w:val="20"/>
          <w:szCs w:val="18"/>
        </w:rPr>
        <w:t>10. Apelo para que os Poderes avancem no tema, estabelecendo uma política focada não na estigmatização, mas no engajamento dos usuários, especialmente os dependentes, em um processo de autocuidado contínuo que lhes possibilite compreender os graves danos causados pelo uso de drogas; e na agenda de prevenção educativa, implementando programas de dissuasão ao consumo de drogas; na criação de órgãos técnicos na estrutura do Executivo, compostos por especialistas em saúde pública, com atribuição de aplicar aos usuários as medidas previstas em lei. 11. Para viabilizar a concretização dessa política pública – especialmente a implementação de programas de dissuasão contra o consumo de drogas e a criação de órgãos especializados no atendimento de usuários – caberá ao Executivo e ao Legislativo assegurar dotações orçamentárias suficientes para essa finalidade. Para isso, a União deverá liberar o saldo acumulado do Fundo Nacional Antidrogas, instituído pela Lei 7.560/1986, e deixar de contingenciar os futuros aportes no fundo – recursos que deverão ser utilizados em programas de esclarecimento sobre os malefícios do uso de drogas.</w:t>
      </w:r>
      <w:r>
        <w:rPr>
          <w:sz w:val="20"/>
          <w:szCs w:val="18"/>
        </w:rPr>
        <w:t xml:space="preserve"> </w:t>
      </w:r>
      <w:r w:rsidRPr="00DE2032">
        <w:rPr>
          <w:sz w:val="20"/>
          <w:szCs w:val="18"/>
        </w:rPr>
        <w:t>(</w:t>
      </w:r>
      <w:r>
        <w:rPr>
          <w:sz w:val="20"/>
          <w:szCs w:val="18"/>
        </w:rPr>
        <w:t>STF. Tribunal Pleno. Relator: Ministro Gilmar Mendes.</w:t>
      </w:r>
      <w:r w:rsidR="002F1C18">
        <w:rPr>
          <w:sz w:val="20"/>
          <w:szCs w:val="18"/>
        </w:rPr>
        <w:t xml:space="preserve"> </w:t>
      </w:r>
      <w:r w:rsidRPr="00DE2032">
        <w:rPr>
          <w:sz w:val="20"/>
          <w:szCs w:val="18"/>
        </w:rPr>
        <w:t>RE 635659</w:t>
      </w:r>
      <w:r w:rsidR="002F1C18">
        <w:rPr>
          <w:sz w:val="20"/>
          <w:szCs w:val="18"/>
        </w:rPr>
        <w:t>. Tema 506 de Repercussão Geral. Data de julgamento: 26-6-2024. Data de publicação: 27-9-2024).</w:t>
      </w:r>
    </w:p>
    <w:p w14:paraId="1C704CD4" w14:textId="77777777" w:rsidR="00D3045B" w:rsidRDefault="00D3045B" w:rsidP="00383BED">
      <w:pPr>
        <w:pStyle w:val="PargrafodaLista"/>
        <w:ind w:left="0"/>
        <w:contextualSpacing w:val="0"/>
      </w:pPr>
    </w:p>
    <w:p w14:paraId="0430F985" w14:textId="3E1C793E" w:rsidR="00D3045B" w:rsidRDefault="006F2197" w:rsidP="00383BED">
      <w:pPr>
        <w:pStyle w:val="PargrafodaLista"/>
        <w:ind w:left="0"/>
        <w:contextualSpacing w:val="0"/>
      </w:pPr>
      <w:r>
        <w:t xml:space="preserve">No caso concreto, </w:t>
      </w:r>
      <w:r w:rsidR="000A065E">
        <w:t xml:space="preserve">apesar da quantidade de droga ser ligeiramente inferior ao parâmetro objetivo jurisprudencialmente estipulado, as condições da apreensão e a </w:t>
      </w:r>
      <w:r w:rsidR="0035075C">
        <w:t xml:space="preserve">forma de acondicionamento das substâncias contraindicam a hipótese de </w:t>
      </w:r>
      <w:r w:rsidR="00CF2449">
        <w:t xml:space="preserve">destinação para consumo próprio e, de outro lado, demonstram inequívoco propósito de </w:t>
      </w:r>
      <w:proofErr w:type="spellStart"/>
      <w:r w:rsidR="00CF2449">
        <w:t>narcotrafic</w:t>
      </w:r>
      <w:r w:rsidR="003B629B">
        <w:t>a</w:t>
      </w:r>
      <w:r w:rsidR="00CF2449">
        <w:t>ncia</w:t>
      </w:r>
      <w:proofErr w:type="spellEnd"/>
      <w:r w:rsidR="00CF2449">
        <w:t>.</w:t>
      </w:r>
    </w:p>
    <w:p w14:paraId="40A1B99A" w14:textId="6A35CF28" w:rsidR="00285E6C" w:rsidRDefault="00285E6C" w:rsidP="00285E6C">
      <w:pPr>
        <w:pStyle w:val="PargrafodaLista"/>
        <w:ind w:left="0"/>
        <w:contextualSpacing w:val="0"/>
      </w:pPr>
      <w:r>
        <w:t>A</w:t>
      </w:r>
      <w:r w:rsidR="00964635">
        <w:t xml:space="preserve"> testemunha Everton Marques Ferreira</w:t>
      </w:r>
      <w:r w:rsidR="002A4F80">
        <w:t xml:space="preserve">, policial penal, relatou </w:t>
      </w:r>
      <w:r w:rsidR="00732623">
        <w:t>que os entorpecentes foram localizados em revista pessoal no bolso do imputado</w:t>
      </w:r>
      <w:r w:rsidR="003C6B61">
        <w:t xml:space="preserve">, que estava saindo de sua cela para realizar </w:t>
      </w:r>
      <w:r>
        <w:t>trabalho de limpeza na unidade carcerária (evento 86.1 – autos de origem).</w:t>
      </w:r>
    </w:p>
    <w:p w14:paraId="33D6832E" w14:textId="6FDA9627" w:rsidR="00484B7E" w:rsidRDefault="00285E6C" w:rsidP="00285E6C">
      <w:pPr>
        <w:pStyle w:val="PargrafodaLista"/>
        <w:ind w:left="0"/>
        <w:contextualSpacing w:val="0"/>
      </w:pPr>
      <w:r>
        <w:t xml:space="preserve">Em seu interrogatório judicial, o imputado </w:t>
      </w:r>
      <w:r w:rsidR="00190335">
        <w:t>relatou</w:t>
      </w:r>
      <w:r w:rsidR="00CF753B">
        <w:t xml:space="preserve"> que integrava a equipe de faxina</w:t>
      </w:r>
      <w:r w:rsidR="00670632">
        <w:t xml:space="preserve">, razão pela qual </w:t>
      </w:r>
      <w:r w:rsidR="00EE25DB">
        <w:t>transitava</w:t>
      </w:r>
      <w:r w:rsidR="00670632">
        <w:t xml:space="preserve"> no interior do cárcere</w:t>
      </w:r>
      <w:r w:rsidR="002A1E47">
        <w:t xml:space="preserve">, </w:t>
      </w:r>
      <w:r w:rsidR="00EE25DB">
        <w:t>tendo acesso a outros internos e outros cubículos</w:t>
      </w:r>
      <w:r w:rsidR="00D80D27">
        <w:t>, mediando diálogos e entregas de objetos</w:t>
      </w:r>
      <w:r w:rsidR="00EE25DB">
        <w:t>.</w:t>
      </w:r>
      <w:r w:rsidR="00EE03AF">
        <w:t xml:space="preserve"> Arguiu que uma porção</w:t>
      </w:r>
      <w:r w:rsidR="00353E52">
        <w:t xml:space="preserve">, de aproximadamente 1 (um) grama, </w:t>
      </w:r>
      <w:r w:rsidR="001F6DB0">
        <w:t xml:space="preserve">era para </w:t>
      </w:r>
      <w:r w:rsidR="00353E52">
        <w:t>uso próprio, e</w:t>
      </w:r>
      <w:r w:rsidR="00F8669F">
        <w:t xml:space="preserve"> o restante, </w:t>
      </w:r>
      <w:r w:rsidR="000E37B5">
        <w:t>destinad</w:t>
      </w:r>
      <w:r w:rsidR="00F8669F">
        <w:t>o</w:t>
      </w:r>
      <w:r w:rsidR="000E37B5">
        <w:t xml:space="preserve"> à distribuição para terceiros</w:t>
      </w:r>
      <w:r w:rsidR="00484B7E">
        <w:t xml:space="preserve"> (evento</w:t>
      </w:r>
      <w:r w:rsidR="00663CDD">
        <w:t xml:space="preserve">s 1.6 e </w:t>
      </w:r>
      <w:r w:rsidR="00484B7E">
        <w:t>149.2 – autos de origem).</w:t>
      </w:r>
    </w:p>
    <w:p w14:paraId="23F6EE80" w14:textId="5888B07A" w:rsidR="00484B7E" w:rsidRDefault="00484B7E" w:rsidP="00285E6C">
      <w:pPr>
        <w:pStyle w:val="PargrafodaLista"/>
        <w:ind w:left="0"/>
        <w:contextualSpacing w:val="0"/>
      </w:pPr>
      <w:r>
        <w:t>Como se pode, pois, constatar, as condições da apreensão afastam a presunção de destinação do entorpecente para uso próprio.</w:t>
      </w:r>
    </w:p>
    <w:p w14:paraId="54204480" w14:textId="709905D1" w:rsidR="00484B7E" w:rsidRDefault="007F69DB" w:rsidP="00285E6C">
      <w:pPr>
        <w:pStyle w:val="PargrafodaLista"/>
        <w:ind w:left="0"/>
        <w:contextualSpacing w:val="0"/>
      </w:pPr>
      <w:r>
        <w:t>Com efeito, o</w:t>
      </w:r>
      <w:r w:rsidR="00484B7E">
        <w:t xml:space="preserve"> </w:t>
      </w:r>
      <w:r w:rsidR="00EE25DB">
        <w:t xml:space="preserve">apenado integrava a equipe de limpeza e, em função disso, possuía a prerrogativa de circular </w:t>
      </w:r>
      <w:r>
        <w:t>por todo o bloco.</w:t>
      </w:r>
      <w:r w:rsidR="00736F95">
        <w:t xml:space="preserve"> Por tal condição, exercia função de transmitir mensagens e objetos</w:t>
      </w:r>
      <w:r w:rsidR="00C5777B">
        <w:t>.</w:t>
      </w:r>
    </w:p>
    <w:p w14:paraId="28225246" w14:textId="2C76C08E" w:rsidR="00C5777B" w:rsidRDefault="00C5777B" w:rsidP="00285E6C">
      <w:pPr>
        <w:pStyle w:val="PargrafodaLista"/>
        <w:ind w:left="0"/>
        <w:contextualSpacing w:val="0"/>
      </w:pPr>
      <w:r>
        <w:t xml:space="preserve">O entorpecente, entrementes, </w:t>
      </w:r>
      <w:r w:rsidR="00893CFA">
        <w:t>estava fracionado em</w:t>
      </w:r>
      <w:r w:rsidR="00374770">
        <w:t xml:space="preserve"> 25 (vinte e cinco) porções </w:t>
      </w:r>
      <w:r w:rsidR="00663CDD">
        <w:t>e</w:t>
      </w:r>
      <w:r w:rsidR="00893CFA">
        <w:t xml:space="preserve"> </w:t>
      </w:r>
      <w:r>
        <w:t xml:space="preserve">foi localizado no bolso do </w:t>
      </w:r>
      <w:r w:rsidR="002B4D8D">
        <w:t xml:space="preserve">agente, em revista pessoal realizada antes de sua saída da cela, para exercício da atividade de faxina, o que, como sobredito, lhe permitia circulação </w:t>
      </w:r>
      <w:r w:rsidR="0083447E">
        <w:t>e acesso a outros reeducandos.</w:t>
      </w:r>
    </w:p>
    <w:p w14:paraId="2F4F91B8" w14:textId="7C772969" w:rsidR="00F61186" w:rsidRDefault="00905E55" w:rsidP="00285E6C">
      <w:pPr>
        <w:pStyle w:val="PargrafodaLista"/>
        <w:ind w:left="0"/>
        <w:contextualSpacing w:val="0"/>
      </w:pPr>
      <w:r>
        <w:t xml:space="preserve">Tal questão foi objeto de percuciente análise no </w:t>
      </w:r>
      <w:r w:rsidR="006F33B6">
        <w:t>acórdão revisando:</w:t>
      </w:r>
    </w:p>
    <w:p w14:paraId="0426AF8F" w14:textId="77777777" w:rsidR="006F33B6" w:rsidRDefault="006F33B6" w:rsidP="00285E6C">
      <w:pPr>
        <w:pStyle w:val="PargrafodaLista"/>
        <w:ind w:left="0"/>
        <w:contextualSpacing w:val="0"/>
      </w:pPr>
    </w:p>
    <w:p w14:paraId="5BF98853" w14:textId="77777777" w:rsidR="0035388E" w:rsidRDefault="00F55CF7" w:rsidP="0035388E">
      <w:pPr>
        <w:pStyle w:val="PargrafodaLista"/>
        <w:ind w:left="2268" w:firstLine="0"/>
        <w:contextualSpacing w:val="0"/>
        <w:rPr>
          <w:sz w:val="20"/>
          <w:szCs w:val="18"/>
        </w:rPr>
      </w:pPr>
      <w:r w:rsidRPr="0035388E">
        <w:rPr>
          <w:sz w:val="20"/>
          <w:szCs w:val="18"/>
        </w:rPr>
        <w:t>Ademais, conquanto o recorrente negue a prática do crime delineado no caput do artigo 33 da legislação específica, extrai-se, indene de dúvidas, que a autoria restou suficientemente comprovada em seu desfavor, uma vez que, repise-se, as provas produzidas foram precisas em apontar que a substância tóxica seria destinada à traficância.</w:t>
      </w:r>
    </w:p>
    <w:p w14:paraId="5BD5DA2E" w14:textId="77777777" w:rsidR="0035388E" w:rsidRDefault="0035388E" w:rsidP="0035388E">
      <w:pPr>
        <w:pStyle w:val="PargrafodaLista"/>
        <w:ind w:left="2268" w:firstLine="0"/>
        <w:contextualSpacing w:val="0"/>
        <w:rPr>
          <w:sz w:val="20"/>
          <w:szCs w:val="18"/>
        </w:rPr>
      </w:pPr>
      <w:r w:rsidRPr="0035388E">
        <w:rPr>
          <w:sz w:val="20"/>
          <w:szCs w:val="18"/>
        </w:rPr>
        <w:t>Ora, o próprio sentenciado afirmou, ao ser interpelado sob o crivo do contraditório, que parte do narcótico teria como destino o consumo de terceiros.</w:t>
      </w:r>
    </w:p>
    <w:p w14:paraId="0CB48AD8" w14:textId="77777777" w:rsidR="0035388E" w:rsidRDefault="0035388E" w:rsidP="0035388E">
      <w:pPr>
        <w:pStyle w:val="PargrafodaLista"/>
        <w:ind w:left="2268" w:firstLine="0"/>
        <w:contextualSpacing w:val="0"/>
        <w:rPr>
          <w:sz w:val="20"/>
          <w:szCs w:val="18"/>
        </w:rPr>
      </w:pPr>
      <w:r>
        <w:rPr>
          <w:sz w:val="20"/>
          <w:szCs w:val="18"/>
        </w:rPr>
        <w:t>[...]</w:t>
      </w:r>
      <w:r w:rsidRPr="0035388E">
        <w:rPr>
          <w:sz w:val="20"/>
          <w:szCs w:val="18"/>
        </w:rPr>
        <w:t xml:space="preserve"> Acerca da entrega da droga a terceiros, o próprio recorrente alegou que, por trabalhar na faxina, era o responsável por “fazer </w:t>
      </w:r>
      <w:proofErr w:type="gramStart"/>
      <w:r w:rsidRPr="0035388E">
        <w:rPr>
          <w:sz w:val="20"/>
          <w:szCs w:val="18"/>
        </w:rPr>
        <w:t>os pipas”</w:t>
      </w:r>
      <w:proofErr w:type="gramEnd"/>
      <w:r w:rsidRPr="0035388E">
        <w:rPr>
          <w:sz w:val="20"/>
          <w:szCs w:val="18"/>
        </w:rPr>
        <w:t xml:space="preserve"> para os demais detentos, transportando pacotes de cela em cela. Diante desse quadro, parece-nos evidente o tráfico das 25 porções de haxixe pelo apelante, sendo inarredável a conclusão acerca de sua condenação.</w:t>
      </w:r>
    </w:p>
    <w:p w14:paraId="7CD8C7DC" w14:textId="147BF67D" w:rsidR="006F33B6" w:rsidRPr="0035388E" w:rsidRDefault="0035388E" w:rsidP="0035388E">
      <w:pPr>
        <w:pStyle w:val="PargrafodaLista"/>
        <w:ind w:left="2268" w:firstLine="0"/>
        <w:contextualSpacing w:val="0"/>
        <w:rPr>
          <w:sz w:val="20"/>
          <w:szCs w:val="18"/>
        </w:rPr>
      </w:pPr>
      <w:r w:rsidRPr="0035388E">
        <w:rPr>
          <w:sz w:val="20"/>
          <w:szCs w:val="18"/>
        </w:rPr>
        <w:t>Tem-se demonstrado, portanto, a destinação mercantil do entorpecente. Não fosse o bastante, é certo que a condição de usuário não exclui, por si só, a traficância, sendo perfeitamente possível a coexistência dessas categorias sobre uma mesma pessoa. Aliás, não é incomum o usuário exercer o tráfico de drogas para manter o próprio vício</w:t>
      </w:r>
      <w:r>
        <w:rPr>
          <w:sz w:val="20"/>
          <w:szCs w:val="18"/>
        </w:rPr>
        <w:t xml:space="preserve"> (autos n. </w:t>
      </w:r>
      <w:r w:rsidR="006F33B6" w:rsidRPr="006F33B6">
        <w:rPr>
          <w:sz w:val="20"/>
          <w:szCs w:val="18"/>
        </w:rPr>
        <w:t>0003094-03.2018.8.16.0034</w:t>
      </w:r>
      <w:r w:rsidR="006F33B6">
        <w:rPr>
          <w:sz w:val="20"/>
          <w:szCs w:val="18"/>
        </w:rPr>
        <w:t>, evento 48.1).</w:t>
      </w:r>
    </w:p>
    <w:p w14:paraId="5A0CEA98" w14:textId="77777777" w:rsidR="001C22D5" w:rsidRDefault="001C22D5" w:rsidP="00383BED">
      <w:pPr>
        <w:pStyle w:val="PargrafodaLista"/>
        <w:ind w:left="0"/>
        <w:contextualSpacing w:val="0"/>
      </w:pPr>
    </w:p>
    <w:p w14:paraId="5AD68131" w14:textId="0165C14E" w:rsidR="004066A8" w:rsidRDefault="004066A8" w:rsidP="004066A8">
      <w:pPr>
        <w:pStyle w:val="PargrafodaLista"/>
        <w:ind w:left="0"/>
        <w:contextualSpacing w:val="0"/>
      </w:pPr>
      <w:r>
        <w:t>Nessas condições, resulta evidenciado que, ao contrário da invectiva defensiva,</w:t>
      </w:r>
      <w:r w:rsidR="007E0E97">
        <w:t xml:space="preserve"> o quadro probatório denota</w:t>
      </w:r>
      <w:r w:rsidR="001A05D3">
        <w:t xml:space="preserve"> propósito de mercancia aferível aci</w:t>
      </w:r>
      <w:r w:rsidR="001A73C4">
        <w:t>ma da dúvida razoável, autorizando a conclusão positiva sobre a ocorrência do crime de tráfico ilícito de entorpecentes.</w:t>
      </w:r>
    </w:p>
    <w:p w14:paraId="778DEFBF" w14:textId="3AC98EA6" w:rsidR="006E19E9" w:rsidRDefault="006E19E9" w:rsidP="004066A8">
      <w:pPr>
        <w:pStyle w:val="PargrafodaLista"/>
        <w:ind w:left="0"/>
        <w:contextualSpacing w:val="0"/>
      </w:pPr>
      <w:r>
        <w:t xml:space="preserve">Afasta-se, com isso, a incidência do preceptivo do artigo </w:t>
      </w:r>
      <w:r w:rsidR="00303B6F">
        <w:t>621, I, do Código de Processo Penal, porquanto adequada, a decisão condenatória, à evidência dos autos.</w:t>
      </w:r>
    </w:p>
    <w:p w14:paraId="2E58F551" w14:textId="0D788585" w:rsidR="00700F1B" w:rsidRDefault="004066A8" w:rsidP="004D55DE">
      <w:pPr>
        <w:pStyle w:val="PargrafodaLista"/>
        <w:ind w:left="0"/>
        <w:contextualSpacing w:val="0"/>
      </w:pPr>
      <w:r>
        <w:t xml:space="preserve">Impõe-se, portanto, a improcedência da </w:t>
      </w:r>
      <w:r>
        <w:rPr>
          <w:i/>
          <w:iCs/>
        </w:rPr>
        <w:t>actio</w:t>
      </w:r>
      <w:r>
        <w:t>.</w:t>
      </w:r>
    </w:p>
    <w:p w14:paraId="162A8E04" w14:textId="77777777" w:rsidR="004066A8" w:rsidRDefault="004066A8" w:rsidP="004D55DE">
      <w:pPr>
        <w:pStyle w:val="PargrafodaLista"/>
        <w:ind w:left="0"/>
        <w:contextualSpacing w:val="0"/>
      </w:pPr>
    </w:p>
    <w:p w14:paraId="338EFC9D" w14:textId="54D945D6" w:rsidR="004D55DE" w:rsidRPr="00803143" w:rsidRDefault="004D55DE" w:rsidP="004D55DE">
      <w:pPr>
        <w:pStyle w:val="PargrafodaLista"/>
        <w:ind w:left="0"/>
        <w:contextualSpacing w:val="0"/>
      </w:pPr>
      <w:proofErr w:type="spellStart"/>
      <w:r w:rsidRPr="00803143">
        <w:t>II.II</w:t>
      </w:r>
      <w:r w:rsidR="00D45DEE">
        <w:t>I</w:t>
      </w:r>
      <w:proofErr w:type="spellEnd"/>
      <w:r w:rsidRPr="00803143">
        <w:t xml:space="preserve"> – DA CONCLUSÃO</w:t>
      </w:r>
    </w:p>
    <w:p w14:paraId="0F7DDF0E" w14:textId="1F18541D" w:rsidR="004D55DE" w:rsidRPr="00803143" w:rsidRDefault="004D55DE" w:rsidP="004D55DE">
      <w:pPr>
        <w:pStyle w:val="PargrafodaLista"/>
        <w:ind w:left="0"/>
        <w:contextualSpacing w:val="0"/>
      </w:pPr>
      <w:r w:rsidRPr="00803143">
        <w:t>Pela conjugação das premissas deduzidas, a conclusão a ser adota</w:t>
      </w:r>
      <w:r w:rsidR="0008035F" w:rsidRPr="00803143">
        <w:t>da</w:t>
      </w:r>
      <w:r w:rsidRPr="00803143">
        <w:t xml:space="preserve"> consiste </w:t>
      </w:r>
      <w:r w:rsidR="00FE7807" w:rsidRPr="00803143">
        <w:t>em</w:t>
      </w:r>
      <w:r w:rsidR="00D45DEE">
        <w:t xml:space="preserve"> conhecer e julgar improcedente a </w:t>
      </w:r>
      <w:r w:rsidR="00FE7807" w:rsidRPr="00803143">
        <w:t>revisão criminal.</w:t>
      </w:r>
    </w:p>
    <w:p w14:paraId="6AE2C6E8" w14:textId="77777777" w:rsidR="004D55DE" w:rsidRPr="00803143" w:rsidRDefault="004D55DE" w:rsidP="004D55DE">
      <w:pPr>
        <w:pStyle w:val="PargrafodaLista"/>
        <w:ind w:left="0"/>
        <w:contextualSpacing w:val="0"/>
      </w:pPr>
      <w:r w:rsidRPr="00803143">
        <w:t>É como voto.</w:t>
      </w:r>
    </w:p>
    <w:p w14:paraId="18F597ED" w14:textId="77777777" w:rsidR="004D55DE" w:rsidRPr="00803143" w:rsidRDefault="004D55DE" w:rsidP="004D55DE">
      <w:pPr>
        <w:pStyle w:val="PargrafodaLista"/>
        <w:ind w:left="0"/>
        <w:contextualSpacing w:val="0"/>
      </w:pPr>
    </w:p>
    <w:p w14:paraId="3589E9CD" w14:textId="4395952F" w:rsidR="00AA28DF" w:rsidRPr="00AA28DF" w:rsidRDefault="004D55DE" w:rsidP="004D55DE">
      <w:pPr>
        <w:pStyle w:val="PargrafodaLista"/>
        <w:ind w:left="0"/>
        <w:contextualSpacing w:val="0"/>
        <w:rPr>
          <w:b/>
        </w:rPr>
      </w:pPr>
      <w:r w:rsidRPr="00803143">
        <w:rPr>
          <w:b/>
        </w:rPr>
        <w:t>III – DECISÃO</w:t>
      </w:r>
    </w:p>
    <w:sectPr w:rsidR="00AA28DF" w:rsidRPr="00AA28D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B81E31"/>
    <w:multiLevelType w:val="hybridMultilevel"/>
    <w:tmpl w:val="C55E378C"/>
    <w:lvl w:ilvl="0" w:tplc="99A60AC0">
      <w:start w:val="1"/>
      <w:numFmt w:val="decimal"/>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num w:numId="1" w16cid:durableId="8365310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2942"/>
    <w:rsid w:val="00013E06"/>
    <w:rsid w:val="00042C20"/>
    <w:rsid w:val="00061F78"/>
    <w:rsid w:val="000731B8"/>
    <w:rsid w:val="0007330F"/>
    <w:rsid w:val="0008035F"/>
    <w:rsid w:val="000A065E"/>
    <w:rsid w:val="000D5ED4"/>
    <w:rsid w:val="000D7A8F"/>
    <w:rsid w:val="000E37B5"/>
    <w:rsid w:val="000F4389"/>
    <w:rsid w:val="00113274"/>
    <w:rsid w:val="00113AF8"/>
    <w:rsid w:val="00123AC9"/>
    <w:rsid w:val="0012562C"/>
    <w:rsid w:val="00135F24"/>
    <w:rsid w:val="0013717A"/>
    <w:rsid w:val="00155E4C"/>
    <w:rsid w:val="0016332A"/>
    <w:rsid w:val="00165C47"/>
    <w:rsid w:val="00187EC8"/>
    <w:rsid w:val="00190335"/>
    <w:rsid w:val="001950D9"/>
    <w:rsid w:val="001A05D3"/>
    <w:rsid w:val="001A73C4"/>
    <w:rsid w:val="001C22D5"/>
    <w:rsid w:val="001C47A5"/>
    <w:rsid w:val="001D1D06"/>
    <w:rsid w:val="001F6DB0"/>
    <w:rsid w:val="001F6FF9"/>
    <w:rsid w:val="00255039"/>
    <w:rsid w:val="0027120C"/>
    <w:rsid w:val="0027568E"/>
    <w:rsid w:val="00285E6C"/>
    <w:rsid w:val="002918C0"/>
    <w:rsid w:val="0029193B"/>
    <w:rsid w:val="00293244"/>
    <w:rsid w:val="002A1E47"/>
    <w:rsid w:val="002A4F80"/>
    <w:rsid w:val="002B4D8D"/>
    <w:rsid w:val="002C5CA2"/>
    <w:rsid w:val="002C7667"/>
    <w:rsid w:val="002F1C18"/>
    <w:rsid w:val="00303B6F"/>
    <w:rsid w:val="00304F3F"/>
    <w:rsid w:val="00316885"/>
    <w:rsid w:val="00322D79"/>
    <w:rsid w:val="00334D3E"/>
    <w:rsid w:val="0035075C"/>
    <w:rsid w:val="0035388E"/>
    <w:rsid w:val="00353E52"/>
    <w:rsid w:val="00367407"/>
    <w:rsid w:val="00374770"/>
    <w:rsid w:val="00383BED"/>
    <w:rsid w:val="00392BC0"/>
    <w:rsid w:val="003B188A"/>
    <w:rsid w:val="003B629B"/>
    <w:rsid w:val="003C6B61"/>
    <w:rsid w:val="00400DD0"/>
    <w:rsid w:val="0040166B"/>
    <w:rsid w:val="004066A8"/>
    <w:rsid w:val="00411292"/>
    <w:rsid w:val="00425BE9"/>
    <w:rsid w:val="00431731"/>
    <w:rsid w:val="00445D13"/>
    <w:rsid w:val="00472413"/>
    <w:rsid w:val="00483FCE"/>
    <w:rsid w:val="00484B7E"/>
    <w:rsid w:val="00485424"/>
    <w:rsid w:val="004D55DE"/>
    <w:rsid w:val="005067A4"/>
    <w:rsid w:val="00507AA3"/>
    <w:rsid w:val="00515A59"/>
    <w:rsid w:val="00545E1E"/>
    <w:rsid w:val="00573F1B"/>
    <w:rsid w:val="00580A4F"/>
    <w:rsid w:val="00580A7A"/>
    <w:rsid w:val="005C625E"/>
    <w:rsid w:val="005F52C1"/>
    <w:rsid w:val="0060207F"/>
    <w:rsid w:val="006047F1"/>
    <w:rsid w:val="0062409E"/>
    <w:rsid w:val="00627CF7"/>
    <w:rsid w:val="006400E1"/>
    <w:rsid w:val="00663CDD"/>
    <w:rsid w:val="00670632"/>
    <w:rsid w:val="00672942"/>
    <w:rsid w:val="006A01CB"/>
    <w:rsid w:val="006A654F"/>
    <w:rsid w:val="006C39F7"/>
    <w:rsid w:val="006E19E9"/>
    <w:rsid w:val="006E2F10"/>
    <w:rsid w:val="006F2197"/>
    <w:rsid w:val="006F33B6"/>
    <w:rsid w:val="00700F1B"/>
    <w:rsid w:val="007065E3"/>
    <w:rsid w:val="00716117"/>
    <w:rsid w:val="00732623"/>
    <w:rsid w:val="00736F95"/>
    <w:rsid w:val="007B0B1F"/>
    <w:rsid w:val="007D2BFE"/>
    <w:rsid w:val="007D58A1"/>
    <w:rsid w:val="007D7720"/>
    <w:rsid w:val="007E0E97"/>
    <w:rsid w:val="007F69DB"/>
    <w:rsid w:val="00803143"/>
    <w:rsid w:val="008043F1"/>
    <w:rsid w:val="008149B1"/>
    <w:rsid w:val="008273C5"/>
    <w:rsid w:val="0083447E"/>
    <w:rsid w:val="008448D2"/>
    <w:rsid w:val="00852671"/>
    <w:rsid w:val="00877419"/>
    <w:rsid w:val="00885813"/>
    <w:rsid w:val="00893CFA"/>
    <w:rsid w:val="008B432F"/>
    <w:rsid w:val="008C1E30"/>
    <w:rsid w:val="008D14C9"/>
    <w:rsid w:val="008D1F4B"/>
    <w:rsid w:val="008E7312"/>
    <w:rsid w:val="00905E55"/>
    <w:rsid w:val="00921704"/>
    <w:rsid w:val="009435D4"/>
    <w:rsid w:val="009535F0"/>
    <w:rsid w:val="009538C4"/>
    <w:rsid w:val="00964635"/>
    <w:rsid w:val="00964AFA"/>
    <w:rsid w:val="009C4541"/>
    <w:rsid w:val="009D6D2C"/>
    <w:rsid w:val="00A2404F"/>
    <w:rsid w:val="00A3437D"/>
    <w:rsid w:val="00A64EF7"/>
    <w:rsid w:val="00A834AD"/>
    <w:rsid w:val="00AA28DF"/>
    <w:rsid w:val="00AB539B"/>
    <w:rsid w:val="00AD041B"/>
    <w:rsid w:val="00AE171A"/>
    <w:rsid w:val="00AE47D1"/>
    <w:rsid w:val="00B53E5A"/>
    <w:rsid w:val="00B707A7"/>
    <w:rsid w:val="00B7208F"/>
    <w:rsid w:val="00B7365C"/>
    <w:rsid w:val="00BA485D"/>
    <w:rsid w:val="00BA4BEC"/>
    <w:rsid w:val="00BF6D43"/>
    <w:rsid w:val="00C064D1"/>
    <w:rsid w:val="00C14B8E"/>
    <w:rsid w:val="00C5777B"/>
    <w:rsid w:val="00C91BDB"/>
    <w:rsid w:val="00C9594E"/>
    <w:rsid w:val="00CB5CF7"/>
    <w:rsid w:val="00CD7C11"/>
    <w:rsid w:val="00CF2449"/>
    <w:rsid w:val="00CF753B"/>
    <w:rsid w:val="00D23F7C"/>
    <w:rsid w:val="00D3045B"/>
    <w:rsid w:val="00D45DEE"/>
    <w:rsid w:val="00D55BBE"/>
    <w:rsid w:val="00D80D27"/>
    <w:rsid w:val="00D82014"/>
    <w:rsid w:val="00DA624D"/>
    <w:rsid w:val="00DB39FC"/>
    <w:rsid w:val="00DC37B4"/>
    <w:rsid w:val="00DE2032"/>
    <w:rsid w:val="00E15B79"/>
    <w:rsid w:val="00E516D9"/>
    <w:rsid w:val="00E73B75"/>
    <w:rsid w:val="00E75331"/>
    <w:rsid w:val="00E7671E"/>
    <w:rsid w:val="00E77063"/>
    <w:rsid w:val="00EA5205"/>
    <w:rsid w:val="00EB4BB4"/>
    <w:rsid w:val="00EC631D"/>
    <w:rsid w:val="00EE03AF"/>
    <w:rsid w:val="00EE25DB"/>
    <w:rsid w:val="00EF1B86"/>
    <w:rsid w:val="00EF621A"/>
    <w:rsid w:val="00F139A9"/>
    <w:rsid w:val="00F214C2"/>
    <w:rsid w:val="00F33A0C"/>
    <w:rsid w:val="00F51551"/>
    <w:rsid w:val="00F55CF7"/>
    <w:rsid w:val="00F61186"/>
    <w:rsid w:val="00F61C21"/>
    <w:rsid w:val="00F646D3"/>
    <w:rsid w:val="00F67A4B"/>
    <w:rsid w:val="00F8669F"/>
    <w:rsid w:val="00F928E5"/>
    <w:rsid w:val="00F954BD"/>
    <w:rsid w:val="00F955C3"/>
    <w:rsid w:val="00FB1B4F"/>
    <w:rsid w:val="00FB2D0C"/>
    <w:rsid w:val="00FC2BAB"/>
    <w:rsid w:val="00FC61A1"/>
    <w:rsid w:val="00FE7807"/>
    <w:rsid w:val="00FF1BE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82DE85"/>
  <w15:chartTrackingRefBased/>
  <w15:docId w15:val="{E71B5493-078B-43B1-8B3D-80B00A759A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5C47"/>
    <w:pPr>
      <w:spacing w:after="240" w:line="360" w:lineRule="auto"/>
      <w:ind w:firstLine="709"/>
      <w:jc w:val="both"/>
    </w:pPr>
    <w:rPr>
      <w:rFonts w:ascii="Times New Roman" w:hAnsi="Times New Roman"/>
      <w:sz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tulodoLivro">
    <w:name w:val="Book Title"/>
    <w:aliases w:val="Titulo 1"/>
    <w:basedOn w:val="Fontepargpadro"/>
    <w:uiPriority w:val="33"/>
    <w:qFormat/>
    <w:rsid w:val="00165C47"/>
    <w:rPr>
      <w:rFonts w:ascii="Times New Roman" w:hAnsi="Times New Roman"/>
      <w:b/>
      <w:bCs/>
      <w:i w:val="0"/>
      <w:iCs/>
      <w:spacing w:val="5"/>
      <w:sz w:val="24"/>
    </w:rPr>
  </w:style>
  <w:style w:type="paragraph" w:styleId="SemEspaamento">
    <w:name w:val="No Spacing"/>
    <w:aliases w:val="Ementa"/>
    <w:uiPriority w:val="1"/>
    <w:qFormat/>
    <w:rsid w:val="00165C47"/>
    <w:pPr>
      <w:spacing w:after="360" w:line="360" w:lineRule="auto"/>
      <w:jc w:val="both"/>
    </w:pPr>
    <w:rPr>
      <w:rFonts w:ascii="Times New Roman" w:hAnsi="Times New Roman"/>
      <w:b/>
      <w:caps/>
      <w:sz w:val="24"/>
    </w:rPr>
  </w:style>
  <w:style w:type="paragraph" w:styleId="Citao">
    <w:name w:val="Quote"/>
    <w:basedOn w:val="Normal"/>
    <w:next w:val="Normal"/>
    <w:link w:val="CitaoChar"/>
    <w:uiPriority w:val="29"/>
    <w:qFormat/>
    <w:rsid w:val="00165C47"/>
    <w:pPr>
      <w:shd w:val="clear" w:color="auto" w:fill="FFFFFF"/>
      <w:spacing w:before="600" w:after="600"/>
      <w:ind w:left="2268"/>
    </w:pPr>
    <w:rPr>
      <w:rFonts w:eastAsia="Times New Roman" w:cs="Times New Roman"/>
      <w:spacing w:val="2"/>
      <w:sz w:val="20"/>
      <w:szCs w:val="30"/>
      <w:lang w:eastAsia="pt-BR"/>
    </w:rPr>
  </w:style>
  <w:style w:type="character" w:customStyle="1" w:styleId="CitaoChar">
    <w:name w:val="Citação Char"/>
    <w:basedOn w:val="Fontepargpadro"/>
    <w:link w:val="Citao"/>
    <w:uiPriority w:val="29"/>
    <w:rsid w:val="00165C47"/>
    <w:rPr>
      <w:rFonts w:ascii="Times New Roman" w:eastAsia="Times New Roman" w:hAnsi="Times New Roman" w:cs="Times New Roman"/>
      <w:spacing w:val="2"/>
      <w:sz w:val="20"/>
      <w:szCs w:val="30"/>
      <w:shd w:val="clear" w:color="auto" w:fill="FFFFFF"/>
      <w:lang w:eastAsia="pt-BR"/>
    </w:rPr>
  </w:style>
  <w:style w:type="paragraph" w:styleId="PargrafodaLista">
    <w:name w:val="List Paragraph"/>
    <w:basedOn w:val="Normal"/>
    <w:uiPriority w:val="34"/>
    <w:qFormat/>
    <w:rsid w:val="00AA28D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455253">
      <w:bodyDiv w:val="1"/>
      <w:marLeft w:val="0"/>
      <w:marRight w:val="0"/>
      <w:marTop w:val="0"/>
      <w:marBottom w:val="0"/>
      <w:divBdr>
        <w:top w:val="none" w:sz="0" w:space="0" w:color="auto"/>
        <w:left w:val="none" w:sz="0" w:space="0" w:color="auto"/>
        <w:bottom w:val="none" w:sz="0" w:space="0" w:color="auto"/>
        <w:right w:val="none" w:sz="0" w:space="0" w:color="auto"/>
      </w:divBdr>
    </w:div>
    <w:div w:id="12049047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047196AB5BBE5E429A3A4541B64F6B06" ma:contentTypeVersion="11" ma:contentTypeDescription="Crie um novo documento." ma:contentTypeScope="" ma:versionID="d658cdf7a47de451f1a3f98b449eaa06">
  <xsd:schema xmlns:xsd="http://www.w3.org/2001/XMLSchema" xmlns:xs="http://www.w3.org/2001/XMLSchema" xmlns:p="http://schemas.microsoft.com/office/2006/metadata/properties" xmlns:ns2="c04bd5eb-5da3-4c78-b159-2bc8443a6345" xmlns:ns3="0b1c8c71-5c14-46ef-9c85-f6af5a95de9b" targetNamespace="http://schemas.microsoft.com/office/2006/metadata/properties" ma:root="true" ma:fieldsID="0705190bd1798fcf53291ac4d5a6d4d7" ns2:_="" ns3:_="">
    <xsd:import namespace="c04bd5eb-5da3-4c78-b159-2bc8443a6345"/>
    <xsd:import namespace="0b1c8c71-5c14-46ef-9c85-f6af5a95de9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4bd5eb-5da3-4c78-b159-2bc8443a634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Marcações de imagem" ma:readOnly="false" ma:fieldId="{5cf76f15-5ced-4ddc-b409-7134ff3c332f}" ma:taxonomyMulti="true" ma:sspId="b67eaf0a-f2cb-4adb-8ec3-a80bcab9db56"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b1c8c71-5c14-46ef-9c85-f6af5a95de9b"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e74af078-3d5b-4a80-9ae6-49a763dfa133}" ma:internalName="TaxCatchAll" ma:showField="CatchAllData" ma:web="0b1c8c71-5c14-46ef-9c85-f6af5a95de9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0b1c8c71-5c14-46ef-9c85-f6af5a95de9b" xsi:nil="true"/>
    <lcf76f155ced4ddcb4097134ff3c332f xmlns="c04bd5eb-5da3-4c78-b159-2bc8443a6345">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DFAC519-D028-4EFB-9F33-2E0F190DCD3A}">
  <ds:schemaRefs>
    <ds:schemaRef ds:uri="http://schemas.microsoft.com/sharepoint/v3/contenttype/forms"/>
  </ds:schemaRefs>
</ds:datastoreItem>
</file>

<file path=customXml/itemProps2.xml><?xml version="1.0" encoding="utf-8"?>
<ds:datastoreItem xmlns:ds="http://schemas.openxmlformats.org/officeDocument/2006/customXml" ds:itemID="{D9EE20A7-0D5B-4E96-99AF-72355AA7FF1C}"/>
</file>

<file path=customXml/itemProps3.xml><?xml version="1.0" encoding="utf-8"?>
<ds:datastoreItem xmlns:ds="http://schemas.openxmlformats.org/officeDocument/2006/customXml" ds:itemID="{933FCC99-1507-4FE6-BCD3-29F86182CD7F}">
  <ds:schemaRefs>
    <ds:schemaRef ds:uri="http://schemas.microsoft.com/office/2006/metadata/properties"/>
    <ds:schemaRef ds:uri="http://schemas.microsoft.com/office/infopath/2007/PartnerControls"/>
    <ds:schemaRef ds:uri="0b1c8c71-5c14-46ef-9c85-f6af5a95de9b"/>
    <ds:schemaRef ds:uri="c04bd5eb-5da3-4c78-b159-2bc8443a6345"/>
  </ds:schemaRefs>
</ds:datastoreItem>
</file>

<file path=docProps/app.xml><?xml version="1.0" encoding="utf-8"?>
<Properties xmlns="http://schemas.openxmlformats.org/officeDocument/2006/extended-properties" xmlns:vt="http://schemas.openxmlformats.org/officeDocument/2006/docPropsVTypes">
  <Template>Normal</Template>
  <TotalTime>451</TotalTime>
  <Pages>1</Pages>
  <Words>2280</Words>
  <Characters>12840</Characters>
  <Application>Microsoft Office Word</Application>
  <DocSecurity>0</DocSecurity>
  <Lines>229</Lines>
  <Paragraphs>45</Paragraphs>
  <ScaleCrop>false</ScaleCrop>
  <HeadingPairs>
    <vt:vector size="2" baseType="variant">
      <vt:variant>
        <vt:lpstr>Título</vt:lpstr>
      </vt:variant>
      <vt:variant>
        <vt:i4>1</vt:i4>
      </vt:variant>
    </vt:vector>
  </HeadingPairs>
  <TitlesOfParts>
    <vt:vector size="1" baseType="lpstr">
      <vt:lpstr/>
    </vt:vector>
  </TitlesOfParts>
  <Company>Tribunal de Justiça do Estado do Paraná</Company>
  <LinksUpToDate>false</LinksUpToDate>
  <CharactersWithSpaces>15088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Cleysson Willian Vilaca de Jesus</dc:creator>
  <cp:keywords/>
  <dc:description/>
  <cp:lastModifiedBy>Cleysson Willian Vilaca de Jesus</cp:lastModifiedBy>
  <cp:revision>186</cp:revision>
  <dcterms:created xsi:type="dcterms:W3CDTF">2024-02-08T17:42:00Z</dcterms:created>
  <dcterms:modified xsi:type="dcterms:W3CDTF">2025-12-02T17:14:00Z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0x010100047196AB5BBE5E429A3A4541B64F6B06</vt:lpwstr>
  </property>
  <property fmtid="{D5CDD505-2E9C-101B-9397-08002B2CF9AE}" pid="3" name="Order">
    <vt:r8>338200</vt:r8>
  </property>
  <property fmtid="{D5CDD505-2E9C-101B-9397-08002B2CF9AE}" pid="4" name="docLang">
    <vt:lpwstr>pt</vt:lpwstr>
  </property>
  <property fmtid="{D5CDD505-2E9C-101B-9397-08002B2CF9AE}" pid="5" name="MediaServiceImageTags">
    <vt:lpwstr/>
  </property>
</Properties>
</file>