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FA7DD" w14:textId="7FE17686" w:rsidR="008E79B5" w:rsidRDefault="008149B1" w:rsidP="00EA5205">
      <w:pPr>
        <w:pStyle w:val="PargrafodaLista"/>
        <w:ind w:left="0" w:firstLine="0"/>
        <w:contextualSpacing w:val="0"/>
        <w:rPr>
          <w:b/>
          <w:szCs w:val="24"/>
        </w:rPr>
      </w:pPr>
      <w:r>
        <w:rPr>
          <w:b/>
          <w:szCs w:val="24"/>
        </w:rPr>
        <w:t>DIREITO PENAL E PROCESSUAL PENAL.</w:t>
      </w:r>
      <w:r w:rsidR="00507AA3">
        <w:rPr>
          <w:b/>
          <w:szCs w:val="24"/>
        </w:rPr>
        <w:t xml:space="preserve"> </w:t>
      </w:r>
      <w:r>
        <w:rPr>
          <w:b/>
          <w:szCs w:val="24"/>
        </w:rPr>
        <w:t>REVISÃO CRIMINAL.</w:t>
      </w:r>
      <w:r w:rsidR="00507AA3">
        <w:rPr>
          <w:b/>
          <w:szCs w:val="24"/>
        </w:rPr>
        <w:t xml:space="preserve"> </w:t>
      </w:r>
      <w:r w:rsidR="00802C6D">
        <w:rPr>
          <w:b/>
          <w:szCs w:val="24"/>
        </w:rPr>
        <w:t>TRÁFICO ILÍCITO DE ENTORPECENTES.</w:t>
      </w:r>
      <w:r w:rsidR="00916011">
        <w:rPr>
          <w:b/>
          <w:szCs w:val="24"/>
        </w:rPr>
        <w:t xml:space="preserve"> </w:t>
      </w:r>
      <w:r w:rsidR="008E79B5">
        <w:rPr>
          <w:b/>
          <w:szCs w:val="24"/>
        </w:rPr>
        <w:t>PORTE DE MUNIÇÃO.</w:t>
      </w:r>
      <w:r w:rsidR="00916011">
        <w:rPr>
          <w:b/>
          <w:szCs w:val="24"/>
        </w:rPr>
        <w:t xml:space="preserve"> </w:t>
      </w:r>
      <w:r w:rsidR="008E79B5">
        <w:rPr>
          <w:b/>
          <w:szCs w:val="24"/>
        </w:rPr>
        <w:t>BUSCA PESSOAL. FUNDADA SUSPEITA. ARREMESSO DE OBJETO.</w:t>
      </w:r>
      <w:r w:rsidR="00916011">
        <w:rPr>
          <w:b/>
          <w:szCs w:val="24"/>
        </w:rPr>
        <w:t xml:space="preserve"> </w:t>
      </w:r>
      <w:r w:rsidR="008E79B5">
        <w:rPr>
          <w:b/>
          <w:szCs w:val="24"/>
        </w:rPr>
        <w:t>DOSIMETRIA. CONDUTA SOCIAL.</w:t>
      </w:r>
      <w:r w:rsidR="00916011">
        <w:rPr>
          <w:b/>
          <w:szCs w:val="24"/>
        </w:rPr>
        <w:t xml:space="preserve"> CUMPRIMENTO DE PENA. CRIME ANTERIOR. INDIVIDUALIZAÇÃO DA PENA.</w:t>
      </w:r>
    </w:p>
    <w:p w14:paraId="07B6CE0B" w14:textId="77777777" w:rsidR="00EF1B86" w:rsidRDefault="00E73B75" w:rsidP="00EA5205">
      <w:pPr>
        <w:pStyle w:val="PargrafodaLista"/>
        <w:ind w:left="0" w:firstLine="0"/>
        <w:contextualSpacing w:val="0"/>
        <w:rPr>
          <w:b/>
          <w:szCs w:val="24"/>
        </w:rPr>
      </w:pPr>
      <w:r w:rsidRPr="00EA5205">
        <w:rPr>
          <w:b/>
          <w:szCs w:val="24"/>
        </w:rPr>
        <w:t>I. CASO EM EXAME</w:t>
      </w:r>
    </w:p>
    <w:p w14:paraId="7FA6725B" w14:textId="39190C15" w:rsidR="00462CE2" w:rsidRDefault="00E73B75" w:rsidP="00885813">
      <w:pPr>
        <w:pStyle w:val="PargrafodaLista"/>
        <w:ind w:left="0" w:firstLine="0"/>
        <w:contextualSpacing w:val="0"/>
        <w:rPr>
          <w:b/>
          <w:szCs w:val="24"/>
        </w:rPr>
      </w:pPr>
      <w:r w:rsidRPr="00EA5205">
        <w:rPr>
          <w:b/>
          <w:szCs w:val="24"/>
        </w:rPr>
        <w:t>Revisão criminal ajuizada com o objetivo de desconstituir</w:t>
      </w:r>
      <w:r w:rsidR="00E637DB">
        <w:rPr>
          <w:b/>
          <w:szCs w:val="24"/>
        </w:rPr>
        <w:t xml:space="preserve"> </w:t>
      </w:r>
      <w:r w:rsidR="00867D66">
        <w:rPr>
          <w:b/>
          <w:szCs w:val="24"/>
        </w:rPr>
        <w:t xml:space="preserve">acórdão confirmatório de sentença </w:t>
      </w:r>
      <w:r w:rsidR="00462CE2">
        <w:rPr>
          <w:b/>
          <w:szCs w:val="24"/>
        </w:rPr>
        <w:t xml:space="preserve">condenatória </w:t>
      </w:r>
      <w:r w:rsidR="00802C6D">
        <w:rPr>
          <w:b/>
          <w:szCs w:val="24"/>
        </w:rPr>
        <w:t>sob alegação de contrariedade da decisão ao texto expresso da lei penal.</w:t>
      </w:r>
    </w:p>
    <w:p w14:paraId="3A64C671" w14:textId="77777777" w:rsidR="00F33A0C" w:rsidRDefault="00E73B75" w:rsidP="009D6D2C">
      <w:pPr>
        <w:pStyle w:val="PargrafodaLista"/>
        <w:ind w:left="0" w:firstLine="0"/>
        <w:contextualSpacing w:val="0"/>
        <w:rPr>
          <w:b/>
          <w:szCs w:val="24"/>
        </w:rPr>
      </w:pPr>
      <w:r w:rsidRPr="00EA5205">
        <w:rPr>
          <w:b/>
          <w:szCs w:val="24"/>
        </w:rPr>
        <w:t>II. QUESTÃO EM DISCUSSÃO</w:t>
      </w:r>
    </w:p>
    <w:p w14:paraId="518C7501" w14:textId="3F1F0BAF" w:rsidR="00D121D5" w:rsidRDefault="0017299B" w:rsidP="009D6D2C">
      <w:pPr>
        <w:pStyle w:val="PargrafodaLista"/>
        <w:ind w:left="0" w:firstLine="0"/>
        <w:contextualSpacing w:val="0"/>
        <w:rPr>
          <w:b/>
          <w:szCs w:val="24"/>
        </w:rPr>
      </w:pPr>
      <w:r>
        <w:rPr>
          <w:b/>
          <w:szCs w:val="24"/>
        </w:rPr>
        <w:t>II.I. Legalidade de busca pessoal realizada pela polícia militar, em razão de questionamento sobre a configuração da fundada suspeita</w:t>
      </w:r>
      <w:r w:rsidR="00CB284D">
        <w:rPr>
          <w:b/>
          <w:szCs w:val="24"/>
        </w:rPr>
        <w:t>.</w:t>
      </w:r>
    </w:p>
    <w:p w14:paraId="1CAFB393" w14:textId="467B59A7" w:rsidR="0017299B" w:rsidRDefault="0017299B" w:rsidP="009D6D2C">
      <w:pPr>
        <w:pStyle w:val="PargrafodaLista"/>
        <w:ind w:left="0" w:firstLine="0"/>
        <w:contextualSpacing w:val="0"/>
        <w:rPr>
          <w:b/>
          <w:szCs w:val="24"/>
        </w:rPr>
      </w:pPr>
      <w:r>
        <w:rPr>
          <w:b/>
          <w:szCs w:val="24"/>
        </w:rPr>
        <w:t>II.II.</w:t>
      </w:r>
      <w:r w:rsidR="00462CE2">
        <w:rPr>
          <w:b/>
          <w:szCs w:val="24"/>
        </w:rPr>
        <w:t xml:space="preserve"> Utilização de anotações criminais anteriores para valoração negativa da conduta social, na primeira fase da dosimetria da pena.</w:t>
      </w:r>
    </w:p>
    <w:p w14:paraId="10E181C4" w14:textId="206EB117" w:rsidR="00425BE9" w:rsidRDefault="00E73B75" w:rsidP="009D6D2C">
      <w:pPr>
        <w:pStyle w:val="PargrafodaLista"/>
        <w:ind w:left="0" w:firstLine="0"/>
        <w:contextualSpacing w:val="0"/>
        <w:rPr>
          <w:b/>
          <w:szCs w:val="24"/>
        </w:rPr>
      </w:pPr>
      <w:r w:rsidRPr="009D6D2C">
        <w:rPr>
          <w:b/>
          <w:szCs w:val="24"/>
        </w:rPr>
        <w:t>III. RAZÕES DE DECIDIR</w:t>
      </w:r>
    </w:p>
    <w:p w14:paraId="57A45C14" w14:textId="1858FDAE" w:rsidR="00800A0C" w:rsidRDefault="00800A0C" w:rsidP="00800A0C">
      <w:pPr>
        <w:pStyle w:val="PargrafodaLista"/>
        <w:ind w:left="0" w:firstLine="0"/>
        <w:contextualSpacing w:val="0"/>
        <w:rPr>
          <w:b/>
          <w:szCs w:val="24"/>
        </w:rPr>
      </w:pPr>
      <w:r>
        <w:rPr>
          <w:b/>
          <w:szCs w:val="24"/>
        </w:rPr>
        <w:t xml:space="preserve">III.I. </w:t>
      </w:r>
      <w:r w:rsidRPr="00AD0287">
        <w:rPr>
          <w:b/>
          <w:szCs w:val="24"/>
        </w:rPr>
        <w:t>O arremesso de invólucro ou objeto, por indivíduo, ao perceber a aproximação de autoridade policial, constitui fundada suspeita a autorizar a busca pessoal</w:t>
      </w:r>
      <w:r>
        <w:rPr>
          <w:b/>
          <w:szCs w:val="24"/>
        </w:rPr>
        <w:t>.</w:t>
      </w:r>
    </w:p>
    <w:p w14:paraId="576D5EE1" w14:textId="2908AAD1" w:rsidR="00800A0C" w:rsidRDefault="00800A0C" w:rsidP="00800A0C">
      <w:pPr>
        <w:pStyle w:val="PargrafodaLista"/>
        <w:ind w:left="0" w:firstLine="0"/>
        <w:contextualSpacing w:val="0"/>
        <w:rPr>
          <w:b/>
          <w:szCs w:val="24"/>
        </w:rPr>
      </w:pPr>
      <w:r>
        <w:rPr>
          <w:b/>
          <w:szCs w:val="24"/>
        </w:rPr>
        <w:t xml:space="preserve">III.II. </w:t>
      </w:r>
      <w:r w:rsidRPr="00800A0C">
        <w:rPr>
          <w:b/>
          <w:szCs w:val="24"/>
        </w:rPr>
        <w:t xml:space="preserve">A prática de novo delito durante o cumprimento de pena por crime anterior justifica a valoração negativa da conduta social, sem configurar </w:t>
      </w:r>
      <w:r w:rsidRPr="00800A0C">
        <w:rPr>
          <w:b/>
          <w:i/>
          <w:iCs/>
          <w:szCs w:val="24"/>
        </w:rPr>
        <w:t>bis in idem</w:t>
      </w:r>
      <w:r w:rsidRPr="00800A0C">
        <w:rPr>
          <w:b/>
          <w:szCs w:val="24"/>
        </w:rPr>
        <w:t xml:space="preserve"> com os maus antecedentes ou a reincidência</w:t>
      </w:r>
      <w:r>
        <w:rPr>
          <w:b/>
          <w:szCs w:val="24"/>
        </w:rPr>
        <w:t>.</w:t>
      </w:r>
    </w:p>
    <w:p w14:paraId="6E3F71FE" w14:textId="08481709" w:rsidR="00F33A0C" w:rsidRDefault="00E73B75" w:rsidP="009D6D2C">
      <w:pPr>
        <w:pStyle w:val="PargrafodaLista"/>
        <w:ind w:left="0" w:firstLine="0"/>
        <w:contextualSpacing w:val="0"/>
        <w:rPr>
          <w:b/>
          <w:szCs w:val="24"/>
        </w:rPr>
      </w:pPr>
      <w:r w:rsidRPr="009D6D2C">
        <w:rPr>
          <w:b/>
          <w:szCs w:val="24"/>
        </w:rPr>
        <w:t>IV. SOLUÇÃO DO CASO</w:t>
      </w:r>
    </w:p>
    <w:p w14:paraId="45710DF9" w14:textId="61A0046F" w:rsidR="009D6D2C" w:rsidRDefault="00E73B75" w:rsidP="009D6D2C">
      <w:pPr>
        <w:pStyle w:val="PargrafodaLista"/>
        <w:ind w:left="0" w:firstLine="0"/>
        <w:contextualSpacing w:val="0"/>
        <w:rPr>
          <w:b/>
          <w:szCs w:val="24"/>
        </w:rPr>
      </w:pPr>
      <w:r w:rsidRPr="009D6D2C">
        <w:rPr>
          <w:b/>
          <w:szCs w:val="24"/>
        </w:rPr>
        <w:t xml:space="preserve">Revisão criminal </w:t>
      </w:r>
      <w:r w:rsidR="009E5418">
        <w:rPr>
          <w:b/>
          <w:szCs w:val="24"/>
        </w:rPr>
        <w:t>conhecida e improcedente.</w:t>
      </w:r>
    </w:p>
    <w:p w14:paraId="72278AF6" w14:textId="77777777" w:rsidR="009D6D2C" w:rsidRDefault="00E73B75" w:rsidP="009D6D2C">
      <w:pPr>
        <w:pStyle w:val="PargrafodaLista"/>
        <w:ind w:left="0" w:firstLine="0"/>
        <w:contextualSpacing w:val="0"/>
        <w:rPr>
          <w:b/>
          <w:szCs w:val="24"/>
        </w:rPr>
      </w:pPr>
      <w:r w:rsidRPr="009D6D2C">
        <w:rPr>
          <w:b/>
          <w:szCs w:val="24"/>
        </w:rPr>
        <w:t>V. LEGISLAÇÃO E JURISPRUDÊNCIA UTILIZADAS</w:t>
      </w:r>
    </w:p>
    <w:p w14:paraId="7FE4BE34" w14:textId="77777777" w:rsidR="009D6D2C" w:rsidRDefault="00E73B75" w:rsidP="009D6D2C">
      <w:pPr>
        <w:pStyle w:val="PargrafodaLista"/>
        <w:ind w:left="0" w:firstLine="0"/>
        <w:contextualSpacing w:val="0"/>
        <w:rPr>
          <w:b/>
          <w:szCs w:val="24"/>
        </w:rPr>
      </w:pPr>
      <w:r w:rsidRPr="009D6D2C">
        <w:rPr>
          <w:b/>
          <w:szCs w:val="24"/>
        </w:rPr>
        <w:t>V.I. LEGISLAÇÃO</w:t>
      </w:r>
    </w:p>
    <w:p w14:paraId="3E727620" w14:textId="3FBFA25E" w:rsidR="009E5418" w:rsidRDefault="009E5418" w:rsidP="009D6D2C">
      <w:pPr>
        <w:pStyle w:val="PargrafodaLista"/>
        <w:ind w:left="0" w:firstLine="0"/>
        <w:contextualSpacing w:val="0"/>
        <w:rPr>
          <w:b/>
          <w:szCs w:val="24"/>
        </w:rPr>
      </w:pPr>
      <w:r>
        <w:rPr>
          <w:b/>
          <w:szCs w:val="24"/>
        </w:rPr>
        <w:t>CF: art. 5º, XLVI; art. 105, III, ‘c’.</w:t>
      </w:r>
    </w:p>
    <w:p w14:paraId="25C91943" w14:textId="147A0EB5" w:rsidR="009D6D2C" w:rsidRDefault="009D6D2C" w:rsidP="009D6D2C">
      <w:pPr>
        <w:pStyle w:val="PargrafodaLista"/>
        <w:ind w:left="0" w:firstLine="0"/>
        <w:contextualSpacing w:val="0"/>
        <w:rPr>
          <w:b/>
          <w:szCs w:val="24"/>
        </w:rPr>
      </w:pPr>
      <w:r>
        <w:rPr>
          <w:b/>
          <w:szCs w:val="24"/>
        </w:rPr>
        <w:t>CPP:</w:t>
      </w:r>
      <w:r w:rsidR="00E73B75" w:rsidRPr="009D6D2C">
        <w:rPr>
          <w:b/>
          <w:szCs w:val="24"/>
        </w:rPr>
        <w:t xml:space="preserve"> </w:t>
      </w:r>
      <w:r w:rsidR="009E5418">
        <w:rPr>
          <w:b/>
          <w:szCs w:val="24"/>
        </w:rPr>
        <w:t xml:space="preserve">art. 244; </w:t>
      </w:r>
      <w:r w:rsidR="00E73B75" w:rsidRPr="009D6D2C">
        <w:rPr>
          <w:b/>
          <w:szCs w:val="24"/>
        </w:rPr>
        <w:t>art. 621, I.</w:t>
      </w:r>
    </w:p>
    <w:p w14:paraId="062C758A" w14:textId="46608A1A" w:rsidR="009E5418" w:rsidRDefault="009E5418" w:rsidP="009D6D2C">
      <w:pPr>
        <w:pStyle w:val="PargrafodaLista"/>
        <w:ind w:left="0" w:firstLine="0"/>
        <w:contextualSpacing w:val="0"/>
        <w:rPr>
          <w:b/>
          <w:szCs w:val="24"/>
        </w:rPr>
      </w:pPr>
      <w:r>
        <w:rPr>
          <w:b/>
          <w:szCs w:val="24"/>
        </w:rPr>
        <w:lastRenderedPageBreak/>
        <w:t>CP: art. 59.</w:t>
      </w:r>
    </w:p>
    <w:p w14:paraId="37BFC492" w14:textId="77777777" w:rsidR="009E5418" w:rsidRDefault="00E73B75" w:rsidP="009E5418">
      <w:pPr>
        <w:pStyle w:val="PargrafodaLista"/>
        <w:ind w:left="0" w:firstLine="0"/>
        <w:contextualSpacing w:val="0"/>
        <w:rPr>
          <w:b/>
          <w:szCs w:val="24"/>
        </w:rPr>
      </w:pPr>
      <w:r w:rsidRPr="009D6D2C">
        <w:rPr>
          <w:b/>
          <w:szCs w:val="24"/>
        </w:rPr>
        <w:t>V.II. JURISPRUDÊNCIA</w:t>
      </w:r>
    </w:p>
    <w:p w14:paraId="0A346FEF" w14:textId="18B6DB80" w:rsidR="009E5418" w:rsidRDefault="009E5418" w:rsidP="009E5418">
      <w:pPr>
        <w:pStyle w:val="PargrafodaLista"/>
        <w:ind w:left="0" w:firstLine="0"/>
        <w:contextualSpacing w:val="0"/>
        <w:rPr>
          <w:b/>
          <w:szCs w:val="24"/>
        </w:rPr>
      </w:pPr>
      <w:r w:rsidRPr="009E5418">
        <w:rPr>
          <w:b/>
          <w:szCs w:val="24"/>
        </w:rPr>
        <w:t>STJ. Quinta Turma. Relator: Ministro Joel Ilan Paciornik. AgRg no HC n. 891.301/SP. Data de julgamento: 30-4-2025. Data de publicação: 13-5-2025</w:t>
      </w:r>
      <w:r>
        <w:rPr>
          <w:b/>
          <w:szCs w:val="24"/>
        </w:rPr>
        <w:t>;</w:t>
      </w:r>
    </w:p>
    <w:p w14:paraId="06A5E10A" w14:textId="3A0F6F67" w:rsidR="009E5418" w:rsidRDefault="009E5418" w:rsidP="009E5418">
      <w:pPr>
        <w:pStyle w:val="PargrafodaLista"/>
        <w:ind w:left="0" w:firstLine="0"/>
        <w:contextualSpacing w:val="0"/>
        <w:rPr>
          <w:b/>
        </w:rPr>
      </w:pPr>
      <w:r w:rsidRPr="009E5418">
        <w:rPr>
          <w:b/>
        </w:rPr>
        <w:t>TJPR. 4ª Câmara Criminal. Relator: Desembargador Celso Jair Mainardi. 0001523-80.2024.8.16.0100. Jaguariaíva. Data de julgamento: 25-8-2025</w:t>
      </w:r>
      <w:r>
        <w:rPr>
          <w:b/>
        </w:rPr>
        <w:t>.</w:t>
      </w:r>
    </w:p>
    <w:p w14:paraId="731C2375" w14:textId="77777777" w:rsidR="009E5418" w:rsidRPr="009E5418" w:rsidRDefault="009E5418" w:rsidP="009E5418">
      <w:pPr>
        <w:pStyle w:val="PargrafodaLista"/>
        <w:ind w:left="0" w:firstLine="0"/>
        <w:contextualSpacing w:val="0"/>
        <w:rPr>
          <w:b/>
          <w:szCs w:val="24"/>
        </w:rPr>
      </w:pPr>
    </w:p>
    <w:p w14:paraId="3FD26058" w14:textId="77777777" w:rsidR="00AA28DF" w:rsidRDefault="00AA28DF" w:rsidP="00AA28DF">
      <w:pPr>
        <w:pStyle w:val="PargrafodaLista"/>
        <w:ind w:left="0"/>
        <w:contextualSpacing w:val="0"/>
        <w:rPr>
          <w:b/>
        </w:rPr>
      </w:pPr>
      <w:r>
        <w:rPr>
          <w:b/>
        </w:rPr>
        <w:t>I – RELATÓRIO</w:t>
      </w:r>
    </w:p>
    <w:p w14:paraId="363623C6" w14:textId="4D1C24BB" w:rsidR="00493F10" w:rsidRDefault="00AA28DF" w:rsidP="00493F10">
      <w:pPr>
        <w:pStyle w:val="PargrafodaLista"/>
        <w:ind w:left="0"/>
        <w:contextualSpacing w:val="0"/>
      </w:pPr>
      <w:r>
        <w:t>Cuida-se de</w:t>
      </w:r>
      <w:r w:rsidR="004D55DE">
        <w:t xml:space="preserve"> revisão criminal ajuizada </w:t>
      </w:r>
      <w:r w:rsidR="00446D5F">
        <w:t>por</w:t>
      </w:r>
      <w:r w:rsidR="006656C2">
        <w:t xml:space="preserve"> Rodrigo de Oliveira Araújo, tendo como</w:t>
      </w:r>
      <w:r w:rsidR="00122FBB">
        <w:t xml:space="preserve"> objeto o acórdão proferido </w:t>
      </w:r>
      <w:r w:rsidR="008645F3">
        <w:t>pela 3ª Câmara Criminal do Tribunal de Justiça do Estado do Paraná</w:t>
      </w:r>
      <w:r w:rsidR="008518C9">
        <w:t xml:space="preserve"> (evento 28.1 – Ap)</w:t>
      </w:r>
      <w:r w:rsidR="001F5235">
        <w:t xml:space="preserve">, </w:t>
      </w:r>
      <w:r w:rsidR="008645F3">
        <w:t>confirmatório de sentença do juízo da 3ª Vara Criminal de Cascavel, que condenou o requerente</w:t>
      </w:r>
      <w:r w:rsidR="0015028B">
        <w:t>, pelos crimes</w:t>
      </w:r>
      <w:r w:rsidR="008645F3">
        <w:t xml:space="preserve"> </w:t>
      </w:r>
      <w:r w:rsidR="000A3F2D">
        <w:t>do artigo 33 da Lei n. 11.343 de 2006 e</w:t>
      </w:r>
      <w:r w:rsidR="004121AF">
        <w:t xml:space="preserve"> do artigo</w:t>
      </w:r>
      <w:r w:rsidR="000A3F2D">
        <w:t xml:space="preserve"> 12 da Lei n. </w:t>
      </w:r>
      <w:r w:rsidR="004121AF">
        <w:t xml:space="preserve">10.826 de 2003, às penas de </w:t>
      </w:r>
      <w:r w:rsidR="006C0276">
        <w:t xml:space="preserve">7 (sete) anos e 7 (sete) meses de reclusão, 1 (um) ano e </w:t>
      </w:r>
      <w:r w:rsidR="0048663E">
        <w:t>9 (nove) meses de detenção e 779 (setecentos e setenta e nove) dias-multa</w:t>
      </w:r>
      <w:r w:rsidR="002D6931">
        <w:t xml:space="preserve"> (evento 174.1 – autos de origem).</w:t>
      </w:r>
    </w:p>
    <w:p w14:paraId="26735CC6" w14:textId="79185D8D" w:rsidR="009F1E6A" w:rsidRDefault="00BF6D43" w:rsidP="00BF6D43">
      <w:pPr>
        <w:pStyle w:val="PargrafodaLista"/>
        <w:ind w:left="0"/>
        <w:contextualSpacing w:val="0"/>
      </w:pPr>
      <w:r w:rsidRPr="000C1570">
        <w:t>Sustenta o requerente, em síntese,</w:t>
      </w:r>
      <w:r w:rsidR="001E1E1B" w:rsidRPr="000C1570">
        <w:t xml:space="preserve"> que</w:t>
      </w:r>
      <w:r w:rsidR="00AD70FF">
        <w:t>:</w:t>
      </w:r>
      <w:r w:rsidR="00D3582F">
        <w:t xml:space="preserve"> a) </w:t>
      </w:r>
      <w:r w:rsidR="00EC49ED">
        <w:t xml:space="preserve">inexiste prova de fundada suspeita a autorizar a busca pessoal que culminou com sua prisão em flagrante; b) </w:t>
      </w:r>
      <w:r w:rsidR="00844A6F">
        <w:t>é indevida a valoração negativa, na primeira fase da dosimetria, de anotação criminais pretéritas na vertente da conduta social; c) a contrariedade da condenação ao texto expresso da lei penal autoriza a desconstituição do julgado (evento 1.1).</w:t>
      </w:r>
    </w:p>
    <w:p w14:paraId="13632704" w14:textId="446EA301" w:rsidR="00BF6D43" w:rsidRDefault="008B432F" w:rsidP="00BF6D43">
      <w:pPr>
        <w:pStyle w:val="PargrafodaLista"/>
        <w:ind w:left="0"/>
        <w:contextualSpacing w:val="0"/>
      </w:pPr>
      <w:r>
        <w:t>A Procuradoria-Geral de Justiça se manifestou pe</w:t>
      </w:r>
      <w:r w:rsidR="007506A1">
        <w:t>lo conhecimento e pel</w:t>
      </w:r>
      <w:r w:rsidR="006F6477">
        <w:t>a</w:t>
      </w:r>
      <w:r w:rsidR="007506A1">
        <w:t xml:space="preserve"> </w:t>
      </w:r>
      <w:r>
        <w:t xml:space="preserve">improcedência da ação (evento </w:t>
      </w:r>
      <w:r w:rsidR="00C669B1">
        <w:t>13</w:t>
      </w:r>
      <w:r w:rsidR="002C5CA2">
        <w:t>.1).</w:t>
      </w:r>
    </w:p>
    <w:p w14:paraId="3FF085E9" w14:textId="77777777" w:rsidR="004D55DE" w:rsidRDefault="004D55DE" w:rsidP="004D55DE">
      <w:pPr>
        <w:pStyle w:val="PargrafodaLista"/>
        <w:ind w:left="0"/>
        <w:contextualSpacing w:val="0"/>
      </w:pPr>
      <w:r>
        <w:t>É o necessário relato.</w:t>
      </w:r>
    </w:p>
    <w:p w14:paraId="094E1616" w14:textId="77777777" w:rsidR="00AA28DF" w:rsidRDefault="00AA28DF" w:rsidP="00877419">
      <w:pPr>
        <w:pStyle w:val="PargrafodaLista"/>
        <w:ind w:left="0"/>
        <w:contextualSpacing w:val="0"/>
      </w:pPr>
    </w:p>
    <w:p w14:paraId="13B206B0" w14:textId="77777777" w:rsidR="00AA28DF" w:rsidRPr="00AA28DF" w:rsidRDefault="00AA28DF" w:rsidP="00877419">
      <w:pPr>
        <w:pStyle w:val="PargrafodaLista"/>
        <w:ind w:left="0"/>
        <w:contextualSpacing w:val="0"/>
        <w:rPr>
          <w:b/>
        </w:rPr>
      </w:pPr>
      <w:r w:rsidRPr="00AA28DF">
        <w:rPr>
          <w:b/>
        </w:rPr>
        <w:t>II – VOTO E SUA FUNDAMENTAÇÃO</w:t>
      </w:r>
    </w:p>
    <w:p w14:paraId="2FB7465C" w14:textId="305111E0" w:rsidR="004D55DE" w:rsidRDefault="004D55DE" w:rsidP="004D55DE">
      <w:pPr>
        <w:pStyle w:val="PargrafodaLista"/>
        <w:ind w:left="0"/>
        <w:contextualSpacing w:val="0"/>
      </w:pPr>
      <w:r>
        <w:t>II.I – DO JUÍZO DE ADMISSIBILIDADE</w:t>
      </w:r>
    </w:p>
    <w:p w14:paraId="4614A512" w14:textId="13406C78" w:rsidR="00B1268D" w:rsidRDefault="009E5418" w:rsidP="004D55DE">
      <w:pPr>
        <w:pStyle w:val="PargrafodaLista"/>
        <w:ind w:left="0"/>
        <w:contextualSpacing w:val="0"/>
      </w:pPr>
      <w:r>
        <w:lastRenderedPageBreak/>
        <w:t>Satisfeitos os pressupostos processuais, conhece-se a revisão criminal.</w:t>
      </w:r>
    </w:p>
    <w:p w14:paraId="3622D368" w14:textId="77777777" w:rsidR="009E5418" w:rsidRDefault="009E5418" w:rsidP="004D55DE">
      <w:pPr>
        <w:pStyle w:val="PargrafodaLista"/>
        <w:ind w:left="0"/>
        <w:contextualSpacing w:val="0"/>
      </w:pPr>
    </w:p>
    <w:p w14:paraId="1AF4E1EB" w14:textId="123FCD01" w:rsidR="00B1268D" w:rsidRDefault="00B1268D" w:rsidP="004D55DE">
      <w:pPr>
        <w:pStyle w:val="PargrafodaLista"/>
        <w:ind w:left="0"/>
        <w:contextualSpacing w:val="0"/>
      </w:pPr>
      <w:r>
        <w:t xml:space="preserve">II.II – DA CONTRARIEDADE AO TEXTO </w:t>
      </w:r>
      <w:r w:rsidR="00DD426E">
        <w:t>EXPRESSO DA LEI PENAL</w:t>
      </w:r>
    </w:p>
    <w:p w14:paraId="00C7D2D0" w14:textId="210D6BFF" w:rsidR="00247F60" w:rsidRDefault="00580A7A" w:rsidP="004D55DE">
      <w:pPr>
        <w:pStyle w:val="PargrafodaLista"/>
        <w:ind w:left="0"/>
        <w:contextualSpacing w:val="0"/>
      </w:pPr>
      <w:r>
        <w:t xml:space="preserve">Circunscreve-se o objeto da demanda ao exame de pretensão de desconstituição de </w:t>
      </w:r>
      <w:r w:rsidR="00AD041B">
        <w:t xml:space="preserve">pronunciamento judicial condenatório, </w:t>
      </w:r>
      <w:r w:rsidR="00247F60">
        <w:t xml:space="preserve">sob </w:t>
      </w:r>
      <w:r w:rsidR="00B1268D">
        <w:t>alegação de contrariedade ao texto expresso da lei penal.</w:t>
      </w:r>
    </w:p>
    <w:p w14:paraId="2E972981" w14:textId="3A5BCACE" w:rsidR="00B1268D" w:rsidRDefault="00B1268D" w:rsidP="004D55DE">
      <w:pPr>
        <w:pStyle w:val="PargrafodaLista"/>
        <w:ind w:left="0"/>
        <w:contextualSpacing w:val="0"/>
      </w:pPr>
      <w:r>
        <w:t>Sustenta o requerente</w:t>
      </w:r>
      <w:r w:rsidR="00F57C8B">
        <w:t xml:space="preserve"> a ilegalidade da abordagem policial, que culminou com sua prisão em flagrante, por </w:t>
      </w:r>
      <w:r w:rsidR="0081316D">
        <w:t>contrariedade ao disposto no artigo 244 do Código de Processo Penal, por ausência de fundada suspeita</w:t>
      </w:r>
      <w:r w:rsidR="00D609DC">
        <w:t xml:space="preserve">, bem como ilegalidade na quantificação de sua pena-base, em razão da valoração negativa de </w:t>
      </w:r>
      <w:r w:rsidR="00AE590B">
        <w:t>condenações anteriores no tópico da conduta social.</w:t>
      </w:r>
    </w:p>
    <w:p w14:paraId="32F69AEF" w14:textId="49564EFE" w:rsidR="00136EE8" w:rsidRDefault="00D73840" w:rsidP="004D55DE">
      <w:pPr>
        <w:pStyle w:val="PargrafodaLista"/>
        <w:ind w:left="0"/>
        <w:contextualSpacing w:val="0"/>
      </w:pPr>
      <w:r>
        <w:t>A despeito da pretensão revisora, os elementos de prova angariados denotam que a abordagem policial foi precedida de</w:t>
      </w:r>
      <w:r w:rsidR="0096384A">
        <w:t xml:space="preserve"> visualização</w:t>
      </w:r>
      <w:r>
        <w:t xml:space="preserve">, dos policiais militares, </w:t>
      </w:r>
      <w:r w:rsidR="005C2598">
        <w:t>do arremesse de um invólucro em uma plantação (eventos</w:t>
      </w:r>
      <w:r w:rsidR="001C0665">
        <w:t xml:space="preserve"> </w:t>
      </w:r>
      <w:r w:rsidR="002E6E53">
        <w:t>1.17</w:t>
      </w:r>
      <w:r w:rsidR="00136EE8">
        <w:t xml:space="preserve">, </w:t>
      </w:r>
      <w:r w:rsidR="00790742">
        <w:t>149.2</w:t>
      </w:r>
      <w:r w:rsidR="00DD1F95">
        <w:t>, 149.3</w:t>
      </w:r>
      <w:r w:rsidR="00D03E59">
        <w:t xml:space="preserve"> e </w:t>
      </w:r>
      <w:r w:rsidR="00136EE8">
        <w:t>149.4</w:t>
      </w:r>
      <w:r w:rsidR="00D03E59">
        <w:t xml:space="preserve"> – autos de origem).</w:t>
      </w:r>
    </w:p>
    <w:p w14:paraId="2C3D0417" w14:textId="411997C6" w:rsidR="00D03E59" w:rsidRDefault="00D03E59" w:rsidP="004D55DE">
      <w:pPr>
        <w:pStyle w:val="PargrafodaLista"/>
        <w:ind w:left="0"/>
        <w:contextualSpacing w:val="0"/>
      </w:pPr>
      <w:r>
        <w:t xml:space="preserve">Sobre o tema, a jurisprudência do Superior Tribunal de Justiça, </w:t>
      </w:r>
      <w:r w:rsidR="00D91468">
        <w:t>que possui competência constitucional para unificar interpretação de lei federal</w:t>
      </w:r>
      <w:r w:rsidR="005173FF">
        <w:t xml:space="preserve"> (CF, art. 105</w:t>
      </w:r>
      <w:r w:rsidR="00193559">
        <w:t>, III, ‘c’)</w:t>
      </w:r>
      <w:r w:rsidR="00D91468">
        <w:t>, estabeleceu que o arremess</w:t>
      </w:r>
      <w:r w:rsidR="00193559">
        <w:t>o</w:t>
      </w:r>
      <w:r w:rsidR="00D91468">
        <w:t xml:space="preserve"> de objeto</w:t>
      </w:r>
      <w:r w:rsidR="001D7BFE">
        <w:t xml:space="preserve">, após percepção de aproximação da polícia ostensiva, constitui justa causa para </w:t>
      </w:r>
      <w:r w:rsidR="00DD1F95">
        <w:t>a busca pessoal.</w:t>
      </w:r>
    </w:p>
    <w:p w14:paraId="5F5A6219" w14:textId="343CA1C4" w:rsidR="00DD1F95" w:rsidRDefault="00DD1F95" w:rsidP="004D55DE">
      <w:pPr>
        <w:pStyle w:val="PargrafodaLista"/>
        <w:ind w:left="0"/>
        <w:contextualSpacing w:val="0"/>
      </w:pPr>
      <w:r>
        <w:t>A exemplo:</w:t>
      </w:r>
    </w:p>
    <w:p w14:paraId="22138406" w14:textId="77777777" w:rsidR="00DD1F95" w:rsidRDefault="00DD1F95" w:rsidP="004D55DE">
      <w:pPr>
        <w:pStyle w:val="PargrafodaLista"/>
        <w:ind w:left="0"/>
        <w:contextualSpacing w:val="0"/>
      </w:pPr>
    </w:p>
    <w:p w14:paraId="7A31DA20" w14:textId="7EFB9719" w:rsidR="00D105D5" w:rsidRDefault="00D105D5" w:rsidP="00D105D5">
      <w:pPr>
        <w:pStyle w:val="PargrafodaLista"/>
        <w:ind w:left="2268" w:firstLine="0"/>
        <w:contextualSpacing w:val="0"/>
        <w:rPr>
          <w:sz w:val="20"/>
          <w:szCs w:val="18"/>
        </w:rPr>
      </w:pPr>
      <w:r w:rsidRPr="00D105D5">
        <w:rPr>
          <w:sz w:val="20"/>
          <w:szCs w:val="18"/>
        </w:rPr>
        <w:t>DIREITO PROCESSUAL PENAL. AGRAVO REGIMENTAL. ATUAÇÃO DE GUARDAS CIVIS METROPOLITANOS. PRISÃO EM FLAGRANTE. HABEAS CORPUS SUBSTITUTIVO. AGRAVO PROVIDO.</w:t>
      </w:r>
      <w:r>
        <w:rPr>
          <w:sz w:val="20"/>
          <w:szCs w:val="18"/>
        </w:rPr>
        <w:t xml:space="preserve"> [...] </w:t>
      </w:r>
      <w:r w:rsidRPr="00D105D5">
        <w:rPr>
          <w:sz w:val="20"/>
          <w:szCs w:val="18"/>
        </w:rPr>
        <w:t>7. A atitude do paciente, ao arremessar uma pochete ao telhado ao avistar os agentes públicos, constitui fundamento suficiente para a abordagem imediata, revelando fundada suspeita e evidenciando a tentativa de ocultar elementos de crime.</w:t>
      </w:r>
      <w:r>
        <w:rPr>
          <w:sz w:val="20"/>
          <w:szCs w:val="18"/>
        </w:rPr>
        <w:t xml:space="preserve"> </w:t>
      </w:r>
      <w:r w:rsidRPr="00D105D5">
        <w:rPr>
          <w:sz w:val="20"/>
          <w:szCs w:val="18"/>
        </w:rPr>
        <w:t>IV. Dispositivo e tese</w:t>
      </w:r>
      <w:r>
        <w:rPr>
          <w:sz w:val="20"/>
          <w:szCs w:val="18"/>
        </w:rPr>
        <w:t xml:space="preserve"> </w:t>
      </w:r>
      <w:r w:rsidRPr="00D105D5">
        <w:rPr>
          <w:sz w:val="20"/>
          <w:szCs w:val="18"/>
        </w:rPr>
        <w:t xml:space="preserve">8. Agravo provido, reconhecendo a inadmissibilidade do habeas corpus substitutivo e afastando a concessão da ordem de ofício, mantendo-se hígida a condenação imposta nas instâncias </w:t>
      </w:r>
      <w:r w:rsidRPr="00D105D5">
        <w:rPr>
          <w:sz w:val="20"/>
          <w:szCs w:val="18"/>
        </w:rPr>
        <w:lastRenderedPageBreak/>
        <w:t>ordinárias.</w:t>
      </w:r>
      <w:r>
        <w:rPr>
          <w:sz w:val="20"/>
          <w:szCs w:val="18"/>
        </w:rPr>
        <w:t xml:space="preserve"> </w:t>
      </w:r>
      <w:r w:rsidRPr="00D105D5">
        <w:rPr>
          <w:sz w:val="20"/>
          <w:szCs w:val="18"/>
        </w:rPr>
        <w:t>Tese de julgamento: "1. A atuação das Guardas Municipais em situações de flagrância é legítima, desde que respeitados os limites constitucionais e legais. 2. A prisão em flagrante realizada por guardas civis metropolitanos não configura prova ilícita quando fundamentada em fundada suspeita e em contexto de flagrante delito."</w:t>
      </w:r>
      <w:r>
        <w:rPr>
          <w:sz w:val="20"/>
          <w:szCs w:val="18"/>
        </w:rPr>
        <w:t xml:space="preserve"> </w:t>
      </w:r>
      <w:r w:rsidRPr="00D105D5">
        <w:rPr>
          <w:sz w:val="20"/>
          <w:szCs w:val="18"/>
        </w:rPr>
        <w:t>Dispositivos relevantes citados: CPP, art. 301; Lei n. 13.022/2014.</w:t>
      </w:r>
      <w:r>
        <w:rPr>
          <w:sz w:val="20"/>
          <w:szCs w:val="18"/>
        </w:rPr>
        <w:t xml:space="preserve"> </w:t>
      </w:r>
      <w:r w:rsidRPr="00D105D5">
        <w:rPr>
          <w:sz w:val="20"/>
          <w:szCs w:val="18"/>
        </w:rPr>
        <w:t>Jurisprudência relevante citada: STF, RE 608588/SP, Tema 656; STJ, AgRg no HC 884.287/SP, Rel. Min. Antonio Saldanha Palheiro, Sexta Turma, julgado em 19/8/2024; STJ, AgRg no REsp 2.135.396/SP, Rel. Min. Reynaldo Soares da Fonseca, Quinta Turma, julgado em 4/6/2024.</w:t>
      </w:r>
      <w:r>
        <w:rPr>
          <w:sz w:val="20"/>
          <w:szCs w:val="18"/>
        </w:rPr>
        <w:t xml:space="preserve"> </w:t>
      </w:r>
      <w:r w:rsidRPr="00D105D5">
        <w:rPr>
          <w:sz w:val="20"/>
          <w:szCs w:val="18"/>
        </w:rPr>
        <w:t>(</w:t>
      </w:r>
      <w:r>
        <w:rPr>
          <w:sz w:val="20"/>
          <w:szCs w:val="18"/>
        </w:rPr>
        <w:t xml:space="preserve">STJ. Quinta Turma. Relator: Ministro Joel Ilan Paciornik. </w:t>
      </w:r>
      <w:r w:rsidRPr="00D105D5">
        <w:rPr>
          <w:sz w:val="20"/>
          <w:szCs w:val="18"/>
        </w:rPr>
        <w:t>AgRg no HC n. 891.301/SP</w:t>
      </w:r>
      <w:r>
        <w:rPr>
          <w:sz w:val="20"/>
          <w:szCs w:val="18"/>
        </w:rPr>
        <w:t>. Data de julgamento: 30-4-2025. Data de publicação: 13-5-2025).</w:t>
      </w:r>
    </w:p>
    <w:p w14:paraId="31B31D9C" w14:textId="77777777" w:rsidR="00D73840" w:rsidRDefault="00D73840" w:rsidP="004D55DE">
      <w:pPr>
        <w:pStyle w:val="PargrafodaLista"/>
        <w:ind w:left="0"/>
        <w:contextualSpacing w:val="0"/>
      </w:pPr>
    </w:p>
    <w:p w14:paraId="1ED19B4F" w14:textId="2AF9BFD5" w:rsidR="00DD1F95" w:rsidRDefault="00DD1F95" w:rsidP="004D55DE">
      <w:pPr>
        <w:pStyle w:val="PargrafodaLista"/>
        <w:ind w:left="0"/>
        <w:contextualSpacing w:val="0"/>
      </w:pPr>
      <w:r>
        <w:t>Havendo, pois, efetiva comprovação da ocorrência de situação que legitimou a ação policial</w:t>
      </w:r>
      <w:r w:rsidR="004B7B53">
        <w:t>, reputa-se válida a busca pessoal, bem como o flagrante e as provas dela decorrentes, afastando-se, por conseguinte, a hipótese de contrariedade ao texto da lei penal.</w:t>
      </w:r>
    </w:p>
    <w:p w14:paraId="7B79A5BE" w14:textId="77777777" w:rsidR="00AF6FEB" w:rsidRDefault="007629EA" w:rsidP="004D55DE">
      <w:pPr>
        <w:pStyle w:val="PargrafodaLista"/>
        <w:ind w:left="0"/>
        <w:contextualSpacing w:val="0"/>
      </w:pPr>
      <w:r>
        <w:t xml:space="preserve">A respeito da dosimetria, </w:t>
      </w:r>
      <w:r w:rsidR="0041551F">
        <w:t>diversamente</w:t>
      </w:r>
      <w:r>
        <w:t xml:space="preserve"> da </w:t>
      </w:r>
      <w:r w:rsidR="0041551F">
        <w:t xml:space="preserve">invectiva defensiva, </w:t>
      </w:r>
      <w:r w:rsidR="00C82B74">
        <w:t>a</w:t>
      </w:r>
      <w:r w:rsidR="0041551F">
        <w:t xml:space="preserve"> sentença valorou o </w:t>
      </w:r>
      <w:r w:rsidR="00C82B74">
        <w:t xml:space="preserve">vetor conduta social negativamente em razão de o imputado ter cometido o crime durante o cumprimento de pena por fato anterior, </w:t>
      </w:r>
      <w:r w:rsidR="00AF6FEB">
        <w:t>circunstância fática indicativa de especial desapreço às normas de conduta social de relevância penal.</w:t>
      </w:r>
    </w:p>
    <w:p w14:paraId="37849E3E" w14:textId="1FDA7623" w:rsidR="00B42846" w:rsidRPr="00B42846" w:rsidRDefault="00D73A20" w:rsidP="008F66F0">
      <w:pPr>
        <w:pStyle w:val="PargrafodaLista"/>
        <w:ind w:left="0"/>
        <w:contextualSpacing w:val="0"/>
      </w:pPr>
      <w:r>
        <w:t>Indigitado fundamento apresenta evidente di</w:t>
      </w:r>
      <w:r w:rsidR="003B74BB">
        <w:t>ferença sobre a mera referência à existência de anotações criminais anteriores</w:t>
      </w:r>
      <w:r w:rsidR="008F66F0">
        <w:t xml:space="preserve">, pois, no caso, </w:t>
      </w:r>
      <w:r w:rsidR="00B42846">
        <w:t>o desvalor reside na repetição delitiva durante o processo de apenamento</w:t>
      </w:r>
      <w:r w:rsidR="008F66F0">
        <w:t>.</w:t>
      </w:r>
    </w:p>
    <w:p w14:paraId="1990D9DE" w14:textId="1B13BB43" w:rsidR="00013E06" w:rsidRDefault="008F66F0" w:rsidP="00013E06">
      <w:pPr>
        <w:pStyle w:val="PargrafodaLista"/>
        <w:ind w:left="0"/>
        <w:contextualSpacing w:val="0"/>
      </w:pPr>
      <w:r>
        <w:t>A prop</w:t>
      </w:r>
      <w:r w:rsidR="008E7F02">
        <w:t>ó</w:t>
      </w:r>
      <w:r>
        <w:t>sito do tema, eis a jurisprudência desta colenda 4ª Câmara Criminal:</w:t>
      </w:r>
    </w:p>
    <w:p w14:paraId="3C514E5A" w14:textId="77777777" w:rsidR="004B7B53" w:rsidRDefault="004B7B53" w:rsidP="00013E06">
      <w:pPr>
        <w:pStyle w:val="PargrafodaLista"/>
        <w:ind w:left="0"/>
        <w:contextualSpacing w:val="0"/>
      </w:pPr>
    </w:p>
    <w:p w14:paraId="3BEF20F3" w14:textId="65A5C746" w:rsidR="00AB32AB" w:rsidRDefault="00AB32AB" w:rsidP="00AB32AB">
      <w:pPr>
        <w:pStyle w:val="PargrafodaLista"/>
        <w:ind w:left="2268" w:firstLine="0"/>
        <w:contextualSpacing w:val="0"/>
        <w:rPr>
          <w:sz w:val="20"/>
          <w:szCs w:val="18"/>
        </w:rPr>
      </w:pPr>
      <w:r w:rsidRPr="00AB32AB">
        <w:rPr>
          <w:sz w:val="20"/>
          <w:szCs w:val="18"/>
        </w:rPr>
        <w:t xml:space="preserve">DIREITO PENAL E PROCESSUAL PENAL. apelação criminal. FURTO SIMPLES. SENTENÇA CONDENATÓRIA. RECURSO DEFENSIVO. PEDIDO DE ABSOLVIÇÃO POR ATIPICIDADE MATERIAL DA CONDUTA, COM APLICAÇÃO DO PRINCÍPIO DA INSIGNIFICÂNCIA. INVIABILIDADE. MATÉRIA NÃO DEBATIDA NA ORIGEM. INOVAÇÃO RECURSAL. NÃO CONHECIMENTO DESTE TÓPICO SOB PENA DE SUPRESSÃO DE INSTÂNCIA. PRECEDENTES DO STJ E </w:t>
      </w:r>
      <w:r w:rsidRPr="00AB32AB">
        <w:rPr>
          <w:sz w:val="20"/>
          <w:szCs w:val="18"/>
        </w:rPr>
        <w:lastRenderedPageBreak/>
        <w:t>DESTA CORTE DE JUSTIÇA. PRETENSÃO ABSOLUTÓRIA POR INSUFICIÊNCIA DE PROVAS. NÃO ACOLHIMENTO. CONJUNTO PROBATÓRIO SÓLIDO E HARMÔNICO PARA EMBASAR O DECRETO CONDENATÓRIO. PALAVRA DA VÍTIMA COERENTE E HARMÔNICA CORROBORADA PELO DEPOIMENTO DE TESTEMUNHA E PELA CONFISSÃO EXTRAJUDICIAL DO RÉU. ADMISSÃO DO DELITO NA FASE POLICIAL EM HARMONIA COM AS DEMAIS PROVAS PRODUZIDAS EM JUÍZO. AUTORIA E MATERIALIDADE COMPROVADAS. PRINCÍPIO IN DUBIO PRO REO INAPLICÁVEL NA ESPÉCIE.</w:t>
      </w:r>
      <w:r>
        <w:rPr>
          <w:sz w:val="20"/>
          <w:szCs w:val="18"/>
        </w:rPr>
        <w:t xml:space="preserve"> </w:t>
      </w:r>
      <w:r w:rsidRPr="00AB32AB">
        <w:rPr>
          <w:sz w:val="20"/>
          <w:szCs w:val="18"/>
        </w:rPr>
        <w:t>TESE DEFENSIVA DE QUE O ACUSADO PRATICOU O DELITO SOB EFEITO DE ÁLCOOL E DROGAS. TEORIA DA ‘ACTIO LIBERA IN CAUSA’. EXEGESE DO ART. 28, II, DO CÓDIGO PENAL. INGESTÃO VOLUNTÁRIA DE ÁLCOOL OU SUBSTÂNCIAS PSICOTRÓPICAS QUE NÃO AFASTA A CULPABILIDADE. CONDENAÇÃO MANTIDA. DOSIMETRIA. ALEGAÇÃO DE DESPROPORCIONALIDADE NA AVALIAÇÃO DAS CONDENAÇÕES PRETÉRITAS. INOCORRÊNCIA. RÉU QUE OSTENTA DIVERSAS CONDENAÇÕES DEFINITIVAS, APTAS A CONFIGURAR TANTO MAUS ANTECEDENTES QUANTO REINCIDÊNCIA. INCREMENTOS FUNDAMENTADOS EM CONDENAÇÕES DISTINTAS, NÃO ALCANÇADAS PELO PERÍODO DEPURADOR. NEGATIVAÇÃO DO VETOR CONDUTA SOCIAL DECORRENTE DA PRÁTICA DE NOVO DELITO DURANTE CUMPRIMENTO DE PENA. EVIDÊNCIA DE MAIOR REPROVABILIDADE DA PRÁTICA DELITIVA, HAJA VISTA QUE, MESMO SOB A TUTELA E FISCALIZAÇÃO DO ESTADO, EM TOTAL DESRESPEITO AOS OBJETIVOS E FINALIDADES DA RESSOCIALIZAÇÃO PRETENDIDA, O APELANTE IGNOROU O PRÓPRIO SISTEMA CRIMINAL E NOVAMENTE INFRINGIU AS NORMAS PENAIS. FUNDAMENTAÇÃO IDÔNEA. DEMANDA DE ALTERAÇÃO DO REGIME INICIALMENTE FIXADO. NÃO ACOLHIMENTO. REINCIDÊNCIA MÚLTIPLA E PRESENÇA DE CIRCUNSTÂNCIA</w:t>
      </w:r>
      <w:r>
        <w:rPr>
          <w:sz w:val="20"/>
          <w:szCs w:val="18"/>
        </w:rPr>
        <w:t xml:space="preserve">S </w:t>
      </w:r>
      <w:r w:rsidRPr="00AB32AB">
        <w:rPr>
          <w:sz w:val="20"/>
          <w:szCs w:val="18"/>
        </w:rPr>
        <w:t>JUDICIA</w:t>
      </w:r>
      <w:r>
        <w:rPr>
          <w:sz w:val="20"/>
          <w:szCs w:val="18"/>
        </w:rPr>
        <w:t>IS</w:t>
      </w:r>
      <w:r w:rsidRPr="00AB32AB">
        <w:rPr>
          <w:sz w:val="20"/>
          <w:szCs w:val="18"/>
        </w:rPr>
        <w:t xml:space="preserve"> NEGATIVA</w:t>
      </w:r>
      <w:r>
        <w:rPr>
          <w:sz w:val="20"/>
          <w:szCs w:val="18"/>
        </w:rPr>
        <w:t>S</w:t>
      </w:r>
      <w:r w:rsidRPr="00AB32AB">
        <w:rPr>
          <w:sz w:val="20"/>
          <w:szCs w:val="18"/>
        </w:rPr>
        <w:t xml:space="preserve"> QUE JUSTIFICA</w:t>
      </w:r>
      <w:r>
        <w:rPr>
          <w:sz w:val="20"/>
          <w:szCs w:val="18"/>
        </w:rPr>
        <w:t>M</w:t>
      </w:r>
      <w:r w:rsidRPr="00AB32AB">
        <w:rPr>
          <w:sz w:val="20"/>
          <w:szCs w:val="18"/>
        </w:rPr>
        <w:t xml:space="preserve"> O REGIME fechado. INVIABILIDADE DE SUBSTITUIÇÃO DA RECLUSIVA POR RESTRITIVAS DE DIREITOS. REQUISITOS NÃO PREENCHIDOS. RECURSO PARCIALMENTE CONHECIDO E, NESSA EXTENSÃO, NÃO PROVIDO, COM ARBITRAMENTO DE HONORÁRIOS ADVOCATÍCIOS.</w:t>
      </w:r>
      <w:r>
        <w:rPr>
          <w:sz w:val="20"/>
          <w:szCs w:val="18"/>
        </w:rPr>
        <w:t xml:space="preserve"> </w:t>
      </w:r>
      <w:r w:rsidRPr="00AB32AB">
        <w:rPr>
          <w:sz w:val="20"/>
          <w:szCs w:val="18"/>
        </w:rPr>
        <w:t xml:space="preserve">[...] 14. A motivação adotada na sentença é suficiente a ensejar a negativação do vetor conduta social, porquanto o fato de ter cometido o delito durante cumprimento de pena demonstra o desapreço do réu pela ordem jurídica, a revelar comportamento arredio à organização </w:t>
      </w:r>
      <w:r w:rsidRPr="00AB32AB">
        <w:rPr>
          <w:sz w:val="20"/>
          <w:szCs w:val="18"/>
        </w:rPr>
        <w:lastRenderedPageBreak/>
        <w:t>social e à autoridade do Poder Judiciário, merecendo maior reprovação.</w:t>
      </w:r>
      <w:r>
        <w:rPr>
          <w:sz w:val="20"/>
          <w:szCs w:val="18"/>
        </w:rPr>
        <w:t xml:space="preserve"> </w:t>
      </w:r>
      <w:r w:rsidRPr="00AB32AB">
        <w:rPr>
          <w:sz w:val="20"/>
          <w:szCs w:val="18"/>
        </w:rPr>
        <w:t>[...]</w:t>
      </w:r>
      <w:r>
        <w:rPr>
          <w:sz w:val="20"/>
          <w:szCs w:val="18"/>
        </w:rPr>
        <w:t xml:space="preserve"> </w:t>
      </w:r>
      <w:r w:rsidRPr="00AB32AB">
        <w:rPr>
          <w:sz w:val="20"/>
          <w:szCs w:val="18"/>
        </w:rPr>
        <w:t>(</w:t>
      </w:r>
      <w:bookmarkStart w:id="0" w:name="_Hlk208594259"/>
      <w:r w:rsidRPr="00AB32AB">
        <w:rPr>
          <w:sz w:val="20"/>
          <w:szCs w:val="18"/>
        </w:rPr>
        <w:t>TJPR</w:t>
      </w:r>
      <w:r>
        <w:rPr>
          <w:sz w:val="20"/>
          <w:szCs w:val="18"/>
        </w:rPr>
        <w:t xml:space="preserve">. 4ª Câmara Criminal. Relator: Desembargador Celso Jair Mainardi. </w:t>
      </w:r>
      <w:r w:rsidRPr="00AB32AB">
        <w:rPr>
          <w:sz w:val="20"/>
          <w:szCs w:val="18"/>
        </w:rPr>
        <w:t>0001523-80.2024.8.16.0100</w:t>
      </w:r>
      <w:r>
        <w:rPr>
          <w:sz w:val="20"/>
          <w:szCs w:val="18"/>
        </w:rPr>
        <w:t>.</w:t>
      </w:r>
      <w:r w:rsidRPr="00AB32AB">
        <w:rPr>
          <w:sz w:val="20"/>
          <w:szCs w:val="18"/>
        </w:rPr>
        <w:t xml:space="preserve"> Jaguariaíva</w:t>
      </w:r>
      <w:r>
        <w:rPr>
          <w:sz w:val="20"/>
          <w:szCs w:val="18"/>
        </w:rPr>
        <w:t>. Data de julgamento: 25-8-2025</w:t>
      </w:r>
      <w:bookmarkEnd w:id="0"/>
      <w:r w:rsidR="007629EA">
        <w:rPr>
          <w:sz w:val="20"/>
          <w:szCs w:val="18"/>
        </w:rPr>
        <w:t>).</w:t>
      </w:r>
    </w:p>
    <w:p w14:paraId="340B20BD" w14:textId="77777777" w:rsidR="0074727A" w:rsidRPr="00AB32AB" w:rsidRDefault="0074727A" w:rsidP="00AB32AB">
      <w:pPr>
        <w:pStyle w:val="PargrafodaLista"/>
        <w:ind w:left="2268"/>
        <w:contextualSpacing w:val="0"/>
        <w:rPr>
          <w:sz w:val="20"/>
          <w:szCs w:val="18"/>
        </w:rPr>
      </w:pPr>
    </w:p>
    <w:p w14:paraId="079A6BF4" w14:textId="65C02897" w:rsidR="0074727A" w:rsidRDefault="008F66F0" w:rsidP="004D55DE">
      <w:pPr>
        <w:pStyle w:val="PargrafodaLista"/>
        <w:ind w:left="0"/>
        <w:contextualSpacing w:val="0"/>
      </w:pPr>
      <w:r>
        <w:t xml:space="preserve">Assim, a disposição decisória sobre a quantificação da pena </w:t>
      </w:r>
      <w:r w:rsidR="00BF6EBE">
        <w:t>está adequada ao artigo 59 do Código Penal, bem como ao princípio da individualização da pena (CF, art. 5</w:t>
      </w:r>
      <w:r w:rsidR="00902357">
        <w:t>º, XLVI)</w:t>
      </w:r>
      <w:r w:rsidR="009E5418">
        <w:t>.</w:t>
      </w:r>
    </w:p>
    <w:p w14:paraId="59793FB1" w14:textId="5F82A62C" w:rsidR="009E5418" w:rsidRDefault="009E5418" w:rsidP="004D55DE">
      <w:pPr>
        <w:pStyle w:val="PargrafodaLista"/>
        <w:ind w:left="0"/>
        <w:contextualSpacing w:val="0"/>
      </w:pPr>
      <w:r>
        <w:t>Julga-se, pois, improcedente a pretensão revisional.</w:t>
      </w:r>
    </w:p>
    <w:p w14:paraId="14F991E4" w14:textId="77777777" w:rsidR="009E5418" w:rsidRDefault="009E5418" w:rsidP="004D55DE">
      <w:pPr>
        <w:pStyle w:val="PargrafodaLista"/>
        <w:ind w:left="0"/>
        <w:contextualSpacing w:val="0"/>
      </w:pPr>
    </w:p>
    <w:p w14:paraId="338EFC9D" w14:textId="77777777" w:rsidR="004D55DE" w:rsidRDefault="004D55DE" w:rsidP="004D55DE">
      <w:pPr>
        <w:pStyle w:val="PargrafodaLista"/>
        <w:ind w:left="0"/>
        <w:contextualSpacing w:val="0"/>
      </w:pPr>
      <w:r>
        <w:t>II.II – DA CONCLUSÃO</w:t>
      </w:r>
    </w:p>
    <w:p w14:paraId="0F7DDF0E" w14:textId="776655A1" w:rsidR="004D55DE" w:rsidRDefault="004D55DE" w:rsidP="004D55DE">
      <w:pPr>
        <w:pStyle w:val="PargrafodaLista"/>
        <w:ind w:left="0"/>
        <w:contextualSpacing w:val="0"/>
      </w:pPr>
      <w:r>
        <w:t>Pela conjugação das premissas deduzidas, a conclusão a ser adota</w:t>
      </w:r>
      <w:r w:rsidR="0008035F">
        <w:t>da</w:t>
      </w:r>
      <w:r>
        <w:t xml:space="preserve"> consiste </w:t>
      </w:r>
      <w:r w:rsidR="00FE7807">
        <w:t xml:space="preserve">em </w:t>
      </w:r>
      <w:r w:rsidR="004B7B53">
        <w:t>conhecer e julgar improcedente a revisão criminal.</w:t>
      </w:r>
    </w:p>
    <w:p w14:paraId="6AE2C6E8" w14:textId="77777777" w:rsidR="004D55DE" w:rsidRDefault="004D55DE" w:rsidP="004D55DE">
      <w:pPr>
        <w:pStyle w:val="PargrafodaLista"/>
        <w:ind w:left="0"/>
        <w:contextualSpacing w:val="0"/>
      </w:pPr>
      <w:r>
        <w:t>É como voto.</w:t>
      </w:r>
    </w:p>
    <w:p w14:paraId="18F597ED" w14:textId="77777777" w:rsidR="004D55DE" w:rsidRDefault="004D55DE" w:rsidP="004D55DE">
      <w:pPr>
        <w:pStyle w:val="PargrafodaLista"/>
        <w:ind w:left="0"/>
        <w:contextualSpacing w:val="0"/>
      </w:pPr>
    </w:p>
    <w:p w14:paraId="3589E9CD" w14:textId="4395952F" w:rsidR="00AA28DF" w:rsidRPr="00AA28DF" w:rsidRDefault="004D55DE" w:rsidP="004D55DE">
      <w:pPr>
        <w:pStyle w:val="PargrafodaLista"/>
        <w:ind w:left="0"/>
        <w:contextualSpacing w:val="0"/>
        <w:rPr>
          <w:b/>
        </w:rPr>
      </w:pPr>
      <w:r>
        <w:rPr>
          <w:b/>
        </w:rPr>
        <w:t>III – DECISÃO</w:t>
      </w:r>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836531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42"/>
    <w:rsid w:val="00013E06"/>
    <w:rsid w:val="00042C20"/>
    <w:rsid w:val="00050377"/>
    <w:rsid w:val="00054735"/>
    <w:rsid w:val="000577A9"/>
    <w:rsid w:val="00067842"/>
    <w:rsid w:val="0008035F"/>
    <w:rsid w:val="000A13C0"/>
    <w:rsid w:val="000A3F2D"/>
    <w:rsid w:val="000C1570"/>
    <w:rsid w:val="000F6AE7"/>
    <w:rsid w:val="00101526"/>
    <w:rsid w:val="00105108"/>
    <w:rsid w:val="00122FBB"/>
    <w:rsid w:val="00123AC9"/>
    <w:rsid w:val="00135F24"/>
    <w:rsid w:val="00136EE8"/>
    <w:rsid w:val="001373DC"/>
    <w:rsid w:val="0015028B"/>
    <w:rsid w:val="0016332A"/>
    <w:rsid w:val="00165C47"/>
    <w:rsid w:val="0017299B"/>
    <w:rsid w:val="00175CD1"/>
    <w:rsid w:val="00184C5C"/>
    <w:rsid w:val="00186B66"/>
    <w:rsid w:val="00187EC8"/>
    <w:rsid w:val="00193559"/>
    <w:rsid w:val="001950D9"/>
    <w:rsid w:val="001C0665"/>
    <w:rsid w:val="001C47A5"/>
    <w:rsid w:val="001C5F91"/>
    <w:rsid w:val="001D1D06"/>
    <w:rsid w:val="001D7BFE"/>
    <w:rsid w:val="001E1E1B"/>
    <w:rsid w:val="001F5235"/>
    <w:rsid w:val="001F6FF9"/>
    <w:rsid w:val="00247F60"/>
    <w:rsid w:val="0029193B"/>
    <w:rsid w:val="002C5CA2"/>
    <w:rsid w:val="002C7667"/>
    <w:rsid w:val="002D6931"/>
    <w:rsid w:val="002E6E53"/>
    <w:rsid w:val="00304F3F"/>
    <w:rsid w:val="00322D79"/>
    <w:rsid w:val="00355F7A"/>
    <w:rsid w:val="003649A6"/>
    <w:rsid w:val="00383BED"/>
    <w:rsid w:val="003B74BB"/>
    <w:rsid w:val="004121AF"/>
    <w:rsid w:val="0041551F"/>
    <w:rsid w:val="00425BE9"/>
    <w:rsid w:val="00431731"/>
    <w:rsid w:val="00437B31"/>
    <w:rsid w:val="00445D13"/>
    <w:rsid w:val="00446D5F"/>
    <w:rsid w:val="00462CE2"/>
    <w:rsid w:val="00472413"/>
    <w:rsid w:val="0048663E"/>
    <w:rsid w:val="00491FC2"/>
    <w:rsid w:val="00493F10"/>
    <w:rsid w:val="004A31B5"/>
    <w:rsid w:val="004B7B53"/>
    <w:rsid w:val="004D55DE"/>
    <w:rsid w:val="00507AA3"/>
    <w:rsid w:val="00515A59"/>
    <w:rsid w:val="005173FF"/>
    <w:rsid w:val="00580A7A"/>
    <w:rsid w:val="005C2598"/>
    <w:rsid w:val="00620FA3"/>
    <w:rsid w:val="0062409E"/>
    <w:rsid w:val="00640276"/>
    <w:rsid w:val="00644982"/>
    <w:rsid w:val="006615F6"/>
    <w:rsid w:val="006656C2"/>
    <w:rsid w:val="00667653"/>
    <w:rsid w:val="00672942"/>
    <w:rsid w:val="006862AF"/>
    <w:rsid w:val="006C0276"/>
    <w:rsid w:val="006F6477"/>
    <w:rsid w:val="00731697"/>
    <w:rsid w:val="00731E4C"/>
    <w:rsid w:val="007357C2"/>
    <w:rsid w:val="0074727A"/>
    <w:rsid w:val="007506A1"/>
    <w:rsid w:val="007629EA"/>
    <w:rsid w:val="00786EFA"/>
    <w:rsid w:val="00790742"/>
    <w:rsid w:val="007B62D4"/>
    <w:rsid w:val="007D7720"/>
    <w:rsid w:val="00800A0C"/>
    <w:rsid w:val="00802C6D"/>
    <w:rsid w:val="0081316D"/>
    <w:rsid w:val="008149B1"/>
    <w:rsid w:val="00833A34"/>
    <w:rsid w:val="00834558"/>
    <w:rsid w:val="00844A6F"/>
    <w:rsid w:val="008518C9"/>
    <w:rsid w:val="00852671"/>
    <w:rsid w:val="008645F3"/>
    <w:rsid w:val="00867D66"/>
    <w:rsid w:val="00877419"/>
    <w:rsid w:val="00885813"/>
    <w:rsid w:val="008B432F"/>
    <w:rsid w:val="008C1E30"/>
    <w:rsid w:val="008C5093"/>
    <w:rsid w:val="008D5B2E"/>
    <w:rsid w:val="008E79B5"/>
    <w:rsid w:val="008E7F02"/>
    <w:rsid w:val="008F66F0"/>
    <w:rsid w:val="00902357"/>
    <w:rsid w:val="00916011"/>
    <w:rsid w:val="00921704"/>
    <w:rsid w:val="009478AE"/>
    <w:rsid w:val="00952BB6"/>
    <w:rsid w:val="009538C4"/>
    <w:rsid w:val="0096384A"/>
    <w:rsid w:val="00966C85"/>
    <w:rsid w:val="00973AD9"/>
    <w:rsid w:val="0099036F"/>
    <w:rsid w:val="009A13ED"/>
    <w:rsid w:val="009C4541"/>
    <w:rsid w:val="009D6D2C"/>
    <w:rsid w:val="009D7621"/>
    <w:rsid w:val="009E5418"/>
    <w:rsid w:val="009F1E6A"/>
    <w:rsid w:val="00A3437D"/>
    <w:rsid w:val="00A5786B"/>
    <w:rsid w:val="00A60BD3"/>
    <w:rsid w:val="00A64EF7"/>
    <w:rsid w:val="00A65D0A"/>
    <w:rsid w:val="00A834AD"/>
    <w:rsid w:val="00AA28DF"/>
    <w:rsid w:val="00AB32AB"/>
    <w:rsid w:val="00AD0287"/>
    <w:rsid w:val="00AD041B"/>
    <w:rsid w:val="00AD4A82"/>
    <w:rsid w:val="00AD70FF"/>
    <w:rsid w:val="00AE171A"/>
    <w:rsid w:val="00AE47D1"/>
    <w:rsid w:val="00AE590B"/>
    <w:rsid w:val="00AF6FEB"/>
    <w:rsid w:val="00B1268D"/>
    <w:rsid w:val="00B41DF5"/>
    <w:rsid w:val="00B42846"/>
    <w:rsid w:val="00BF6D43"/>
    <w:rsid w:val="00BF6EBE"/>
    <w:rsid w:val="00C14B8E"/>
    <w:rsid w:val="00C410FA"/>
    <w:rsid w:val="00C561E7"/>
    <w:rsid w:val="00C669B1"/>
    <w:rsid w:val="00C82B74"/>
    <w:rsid w:val="00C91BDB"/>
    <w:rsid w:val="00C9594E"/>
    <w:rsid w:val="00CB12C1"/>
    <w:rsid w:val="00CB284D"/>
    <w:rsid w:val="00CB5CF7"/>
    <w:rsid w:val="00CE47C7"/>
    <w:rsid w:val="00D03E59"/>
    <w:rsid w:val="00D105D5"/>
    <w:rsid w:val="00D121D5"/>
    <w:rsid w:val="00D3582F"/>
    <w:rsid w:val="00D609DC"/>
    <w:rsid w:val="00D73840"/>
    <w:rsid w:val="00D73A20"/>
    <w:rsid w:val="00D91468"/>
    <w:rsid w:val="00DB39FC"/>
    <w:rsid w:val="00DC37B4"/>
    <w:rsid w:val="00DD1F95"/>
    <w:rsid w:val="00DD426E"/>
    <w:rsid w:val="00DD7D12"/>
    <w:rsid w:val="00DF5966"/>
    <w:rsid w:val="00E42A5A"/>
    <w:rsid w:val="00E637DB"/>
    <w:rsid w:val="00E73B75"/>
    <w:rsid w:val="00E7671E"/>
    <w:rsid w:val="00E77063"/>
    <w:rsid w:val="00E87E18"/>
    <w:rsid w:val="00EA5205"/>
    <w:rsid w:val="00EC2CD4"/>
    <w:rsid w:val="00EC49ED"/>
    <w:rsid w:val="00ED0BA1"/>
    <w:rsid w:val="00EF1B86"/>
    <w:rsid w:val="00EF621A"/>
    <w:rsid w:val="00F214C2"/>
    <w:rsid w:val="00F3015A"/>
    <w:rsid w:val="00F33A0C"/>
    <w:rsid w:val="00F51551"/>
    <w:rsid w:val="00F57C8B"/>
    <w:rsid w:val="00F57D8B"/>
    <w:rsid w:val="00F61C21"/>
    <w:rsid w:val="00F67A4B"/>
    <w:rsid w:val="00F928E5"/>
    <w:rsid w:val="00FA16D1"/>
    <w:rsid w:val="00FC2BAB"/>
    <w:rsid w:val="00FC61A1"/>
    <w:rsid w:val="00FE780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2DE85"/>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55253">
      <w:bodyDiv w:val="1"/>
      <w:marLeft w:val="0"/>
      <w:marRight w:val="0"/>
      <w:marTop w:val="0"/>
      <w:marBottom w:val="0"/>
      <w:divBdr>
        <w:top w:val="none" w:sz="0" w:space="0" w:color="auto"/>
        <w:left w:val="none" w:sz="0" w:space="0" w:color="auto"/>
        <w:bottom w:val="none" w:sz="0" w:space="0" w:color="auto"/>
        <w:right w:val="none" w:sz="0" w:space="0" w:color="auto"/>
      </w:divBdr>
    </w:div>
    <w:div w:id="1204904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3FCC99-1507-4FE6-BCD3-29F86182CD7F}">
  <ds:schemaRefs>
    <ds:schemaRef ds:uri="http://schemas.microsoft.com/office/2006/metadata/properties"/>
    <ds:schemaRef ds:uri="http://schemas.microsoft.com/office/infopath/2007/PartnerControls"/>
    <ds:schemaRef ds:uri="0b1c8c71-5c14-46ef-9c85-f6af5a95de9b"/>
    <ds:schemaRef ds:uri="c04bd5eb-5da3-4c78-b159-2bc8443a6345"/>
  </ds:schemaRefs>
</ds:datastoreItem>
</file>

<file path=customXml/itemProps2.xml><?xml version="1.0" encoding="utf-8"?>
<ds:datastoreItem xmlns:ds="http://schemas.openxmlformats.org/officeDocument/2006/customXml" ds:itemID="{EE72DC64-58F1-45EB-A97E-09501DA995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bd5eb-5da3-4c78-b159-2bc8443a6345"/>
    <ds:schemaRef ds:uri="0b1c8c71-5c14-46ef-9c85-f6af5a95de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FAC519-D028-4EFB-9F33-2E0F190DCD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468</TotalTime>
  <Pages>6</Pages>
  <Words>1471</Words>
  <Characters>7949</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Vitor Soffredi de Campos Veiga</cp:lastModifiedBy>
  <cp:revision>185</cp:revision>
  <dcterms:created xsi:type="dcterms:W3CDTF">2024-02-08T17:42:00Z</dcterms:created>
  <dcterms:modified xsi:type="dcterms:W3CDTF">2025-10-21T15:06:00Z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338200</vt:r8>
  </property>
  <property fmtid="{D5CDD505-2E9C-101B-9397-08002B2CF9AE}" pid="4" name="docLang">
    <vt:lpwstr>pt</vt:lpwstr>
  </property>
  <property fmtid="{D5CDD505-2E9C-101B-9397-08002B2CF9AE}" pid="5" name="MediaServiceImageTags">
    <vt:lpwstr/>
  </property>
</Properties>
</file>