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065EA" w14:textId="396CC7B7" w:rsidR="00C13AD0" w:rsidRDefault="000D696F" w:rsidP="000D696F">
      <w:pPr>
        <w:spacing w:before="240"/>
        <w:rPr>
          <w:rFonts w:eastAsia="Times New Roman" w:cs="Times New Roman"/>
          <w:b/>
          <w:szCs w:val="24"/>
          <w:lang w:eastAsia="pt-BR"/>
        </w:rPr>
      </w:pPr>
      <w:r w:rsidRPr="00C13AD0">
        <w:rPr>
          <w:rFonts w:eastAsia="Times New Roman" w:cs="Times New Roman"/>
          <w:b/>
          <w:szCs w:val="24"/>
          <w:lang w:eastAsia="pt-BR"/>
        </w:rPr>
        <w:t>DIREITO</w:t>
      </w:r>
      <w:r w:rsidR="00C13AD0">
        <w:rPr>
          <w:rFonts w:eastAsia="Times New Roman" w:cs="Times New Roman"/>
          <w:b/>
          <w:szCs w:val="24"/>
          <w:lang w:eastAsia="pt-BR"/>
        </w:rPr>
        <w:t xml:space="preserve"> PENAL E PROCESSUAL PENAL. EMBARGOS DE DECLARAÇÃO.</w:t>
      </w:r>
      <w:r w:rsidR="00432839">
        <w:rPr>
          <w:rFonts w:eastAsia="Times New Roman" w:cs="Times New Roman"/>
          <w:b/>
          <w:szCs w:val="24"/>
          <w:lang w:eastAsia="pt-BR"/>
        </w:rPr>
        <w:t xml:space="preserve"> </w:t>
      </w:r>
      <w:r w:rsidR="00C13AD0">
        <w:rPr>
          <w:rFonts w:eastAsia="Times New Roman" w:cs="Times New Roman"/>
          <w:b/>
          <w:szCs w:val="24"/>
          <w:lang w:eastAsia="pt-BR"/>
        </w:rPr>
        <w:t xml:space="preserve">AÇÃO PENAL. </w:t>
      </w:r>
      <w:r w:rsidR="00432839">
        <w:rPr>
          <w:rFonts w:eastAsia="Times New Roman" w:cs="Times New Roman"/>
          <w:b/>
          <w:szCs w:val="24"/>
          <w:lang w:eastAsia="pt-BR"/>
        </w:rPr>
        <w:t>OMISSÕES. MERO INCONFORMISMO.</w:t>
      </w:r>
    </w:p>
    <w:p w14:paraId="05E257F9" w14:textId="77777777" w:rsidR="000D696F" w:rsidRPr="00C13AD0" w:rsidRDefault="000D696F" w:rsidP="000D696F">
      <w:pPr>
        <w:spacing w:before="240"/>
        <w:rPr>
          <w:rFonts w:eastAsia="Times New Roman" w:cs="Times New Roman"/>
          <w:b/>
          <w:szCs w:val="24"/>
          <w:lang w:eastAsia="pt-BR"/>
        </w:rPr>
      </w:pPr>
      <w:r w:rsidRPr="00C13AD0">
        <w:rPr>
          <w:rFonts w:eastAsia="Times New Roman" w:cs="Times New Roman"/>
          <w:b/>
          <w:szCs w:val="24"/>
          <w:lang w:eastAsia="pt-BR"/>
        </w:rPr>
        <w:t>I. CASO EM EXAME</w:t>
      </w:r>
    </w:p>
    <w:p w14:paraId="54D93AB8" w14:textId="2D49B29D" w:rsidR="000D696F" w:rsidRPr="00C13AD0" w:rsidRDefault="000D696F" w:rsidP="00C13AD0">
      <w:pPr>
        <w:spacing w:before="240"/>
        <w:rPr>
          <w:rFonts w:eastAsia="Times New Roman" w:cs="Times New Roman"/>
          <w:b/>
          <w:szCs w:val="24"/>
          <w:lang w:eastAsia="pt-BR"/>
        </w:rPr>
      </w:pPr>
      <w:r w:rsidRPr="00C13AD0">
        <w:rPr>
          <w:rFonts w:eastAsia="Times New Roman" w:cs="Times New Roman"/>
          <w:b/>
          <w:szCs w:val="24"/>
          <w:lang w:eastAsia="pt-BR"/>
        </w:rPr>
        <w:t xml:space="preserve">Embargos de declaração interpostos contra acórdão que conheceu </w:t>
      </w:r>
      <w:r w:rsidRPr="00C13AD0">
        <w:rPr>
          <w:rFonts w:eastAsia="Times New Roman" w:cs="Times New Roman"/>
          <w:b/>
          <w:szCs w:val="24"/>
          <w:lang w:eastAsia="pt-BR"/>
        </w:rPr>
        <w:t>julgou parcialmente procedente pretensão punitiva estatal</w:t>
      </w:r>
      <w:r w:rsidR="00284039" w:rsidRPr="00C13AD0">
        <w:rPr>
          <w:rFonts w:eastAsia="Times New Roman" w:cs="Times New Roman"/>
          <w:b/>
          <w:szCs w:val="24"/>
          <w:lang w:eastAsia="pt-BR"/>
        </w:rPr>
        <w:t>, para condená-lo pela infração penal prevista no artigo 1º</w:t>
      </w:r>
      <w:r w:rsidR="00C13AD0" w:rsidRPr="00C13AD0">
        <w:rPr>
          <w:rFonts w:eastAsia="Times New Roman" w:cs="Times New Roman"/>
          <w:b/>
          <w:szCs w:val="24"/>
          <w:lang w:eastAsia="pt-BR"/>
        </w:rPr>
        <w:t xml:space="preserve">, inciso II, </w:t>
      </w:r>
      <w:r w:rsidRPr="00C13AD0">
        <w:rPr>
          <w:b/>
        </w:rPr>
        <w:t>do Decreto-Lei n. 201 de 1967, por 3 (três) vezes (3º, 4º e 5º fatos da denúncia), em concurso material, na forma do artigo 69 do Código Penal, à pena total de 9 (nove) anos e 9 (nove) meses de reclusão</w:t>
      </w:r>
      <w:r w:rsidR="00C13AD0" w:rsidRPr="00C13AD0">
        <w:rPr>
          <w:b/>
        </w:rPr>
        <w:t>.</w:t>
      </w:r>
    </w:p>
    <w:p w14:paraId="0C7C9474" w14:textId="77777777" w:rsidR="000D696F" w:rsidRPr="00C13AD0" w:rsidRDefault="000D696F" w:rsidP="000D696F">
      <w:pPr>
        <w:spacing w:before="240"/>
        <w:rPr>
          <w:rFonts w:eastAsia="Times New Roman" w:cs="Times New Roman"/>
          <w:b/>
          <w:szCs w:val="24"/>
          <w:lang w:eastAsia="pt-BR"/>
        </w:rPr>
      </w:pPr>
      <w:r w:rsidRPr="00C13AD0">
        <w:rPr>
          <w:rFonts w:eastAsia="Times New Roman" w:cs="Times New Roman"/>
          <w:b/>
          <w:szCs w:val="24"/>
          <w:lang w:eastAsia="pt-BR"/>
        </w:rPr>
        <w:t>II. QUESTÕES EM DISCUSSÃO</w:t>
      </w:r>
    </w:p>
    <w:p w14:paraId="2257E695" w14:textId="3FF0ECAB" w:rsidR="000D696F" w:rsidRDefault="000D696F" w:rsidP="000D696F">
      <w:pPr>
        <w:spacing w:before="240"/>
        <w:rPr>
          <w:rFonts w:eastAsia="Times New Roman" w:cs="Times New Roman"/>
          <w:b/>
          <w:szCs w:val="24"/>
          <w:lang w:eastAsia="pt-BR"/>
        </w:rPr>
      </w:pPr>
      <w:r w:rsidRPr="00491A12">
        <w:rPr>
          <w:rFonts w:eastAsia="Times New Roman" w:cs="Times New Roman"/>
          <w:b/>
          <w:szCs w:val="24"/>
          <w:lang w:eastAsia="pt-BR"/>
        </w:rPr>
        <w:t>Hipótese de acometimento do julgado por</w:t>
      </w:r>
      <w:r>
        <w:rPr>
          <w:rFonts w:eastAsia="Times New Roman" w:cs="Times New Roman"/>
          <w:b/>
          <w:szCs w:val="24"/>
          <w:lang w:eastAsia="pt-BR"/>
        </w:rPr>
        <w:t xml:space="preserve"> </w:t>
      </w:r>
      <w:r>
        <w:rPr>
          <w:rFonts w:eastAsia="Times New Roman" w:cs="Times New Roman"/>
          <w:b/>
          <w:szCs w:val="24"/>
          <w:lang w:eastAsia="pt-BR"/>
        </w:rPr>
        <w:t>omissões</w:t>
      </w:r>
      <w:r>
        <w:rPr>
          <w:rFonts w:eastAsia="Times New Roman" w:cs="Times New Roman"/>
          <w:b/>
          <w:szCs w:val="24"/>
          <w:lang w:eastAsia="pt-BR"/>
        </w:rPr>
        <w:t>.</w:t>
      </w:r>
    </w:p>
    <w:p w14:paraId="21359DB3" w14:textId="77777777" w:rsidR="000D696F" w:rsidRPr="00491A12" w:rsidRDefault="000D696F" w:rsidP="000D696F">
      <w:pPr>
        <w:spacing w:before="240"/>
        <w:rPr>
          <w:rFonts w:eastAsia="Times New Roman" w:cs="Times New Roman"/>
          <w:b/>
          <w:szCs w:val="24"/>
          <w:lang w:eastAsia="pt-BR"/>
        </w:rPr>
      </w:pPr>
      <w:r w:rsidRPr="00491A12">
        <w:rPr>
          <w:rFonts w:eastAsia="Times New Roman" w:cs="Times New Roman"/>
          <w:b/>
          <w:szCs w:val="24"/>
          <w:lang w:eastAsia="pt-BR"/>
        </w:rPr>
        <w:t>III. RAZÕES DE DECIDIR</w:t>
      </w:r>
    </w:p>
    <w:p w14:paraId="20EF9F04" w14:textId="77777777" w:rsidR="000D696F" w:rsidRDefault="000D696F" w:rsidP="000D696F">
      <w:pPr>
        <w:spacing w:before="240"/>
        <w:rPr>
          <w:rFonts w:eastAsia="Times New Roman" w:cs="Times New Roman"/>
          <w:b/>
          <w:szCs w:val="24"/>
          <w:lang w:eastAsia="pt-BR"/>
        </w:rPr>
      </w:pPr>
      <w:r w:rsidRPr="00A33BD4">
        <w:rPr>
          <w:rFonts w:eastAsia="Times New Roman" w:cs="Times New Roman"/>
          <w:b/>
          <w:szCs w:val="24"/>
          <w:lang w:eastAsia="pt-BR"/>
        </w:rPr>
        <w:t>Os embargos de declaração prestam-se a esclarecer obscuridade, eliminar contradição, suprir omissão ou corrigir erro material, sendo defesa sua utilização como sucedâneo recursal para manifestação de mero inconformismo.</w:t>
      </w:r>
    </w:p>
    <w:p w14:paraId="246EDD8A" w14:textId="77777777" w:rsidR="000B0CEA" w:rsidRPr="00146748" w:rsidRDefault="000B0CEA" w:rsidP="0036224D">
      <w:pPr>
        <w:rPr>
          <w:b/>
        </w:rPr>
      </w:pPr>
      <w:r w:rsidRPr="00146748">
        <w:rPr>
          <w:b/>
        </w:rPr>
        <w:t>IV. SOLUÇÃO DO CASO</w:t>
      </w:r>
    </w:p>
    <w:p w14:paraId="4C35B9D2" w14:textId="72645E74" w:rsidR="000B0CEA" w:rsidRPr="00146748" w:rsidRDefault="000B0CEA" w:rsidP="0036224D">
      <w:pPr>
        <w:rPr>
          <w:b/>
        </w:rPr>
      </w:pPr>
      <w:r w:rsidRPr="00146748">
        <w:rPr>
          <w:b/>
        </w:rPr>
        <w:t>Recurso</w:t>
      </w:r>
      <w:r w:rsidR="00433517">
        <w:rPr>
          <w:b/>
        </w:rPr>
        <w:t xml:space="preserve"> conhecido </w:t>
      </w:r>
      <w:r w:rsidR="00274065">
        <w:rPr>
          <w:b/>
        </w:rPr>
        <w:t>e desprovido</w:t>
      </w:r>
      <w:r w:rsidRPr="00146748">
        <w:rPr>
          <w:b/>
        </w:rPr>
        <w:t>.</w:t>
      </w:r>
    </w:p>
    <w:p w14:paraId="44267A17" w14:textId="77777777" w:rsidR="000B0CEA" w:rsidRDefault="000B0CEA" w:rsidP="0036224D">
      <w:pPr>
        <w:rPr>
          <w:b/>
        </w:rPr>
      </w:pPr>
      <w:r w:rsidRPr="00146748">
        <w:rPr>
          <w:b/>
        </w:rPr>
        <w:t>V. JURISPRUDÊNCIA E LEGISLAÇÃO UTILIZADAS</w:t>
      </w:r>
    </w:p>
    <w:p w14:paraId="1326A52A" w14:textId="77777777" w:rsidR="000B0CEA" w:rsidRDefault="000B0CEA" w:rsidP="0036224D">
      <w:pPr>
        <w:rPr>
          <w:b/>
        </w:rPr>
      </w:pPr>
      <w:r>
        <w:rPr>
          <w:b/>
        </w:rPr>
        <w:t>V. I. Legislação</w:t>
      </w:r>
    </w:p>
    <w:p w14:paraId="4C9B09CF" w14:textId="599D69D0" w:rsidR="000B0CEA" w:rsidRPr="00146748" w:rsidRDefault="00433517" w:rsidP="0036224D">
      <w:pPr>
        <w:rPr>
          <w:b/>
        </w:rPr>
      </w:pPr>
      <w:r>
        <w:rPr>
          <w:b/>
        </w:rPr>
        <w:t>CPP: art. 619.</w:t>
      </w:r>
    </w:p>
    <w:p w14:paraId="29C49F7A" w14:textId="0729403B" w:rsidR="00433517" w:rsidRPr="00433517" w:rsidRDefault="000B0CEA" w:rsidP="00433517">
      <w:pPr>
        <w:rPr>
          <w:b/>
        </w:rPr>
      </w:pPr>
      <w:r>
        <w:rPr>
          <w:b/>
        </w:rPr>
        <w:t xml:space="preserve">V. II. </w:t>
      </w:r>
      <w:r w:rsidRPr="00146748">
        <w:rPr>
          <w:b/>
        </w:rPr>
        <w:t>Jurisprudência</w:t>
      </w:r>
    </w:p>
    <w:p w14:paraId="54BD0D8D" w14:textId="53DE3EE1" w:rsidR="00433517" w:rsidRPr="00433517" w:rsidRDefault="00433517" w:rsidP="0036224D">
      <w:pPr>
        <w:rPr>
          <w:rFonts w:eastAsia="Times New Roman" w:cs="Times New Roman"/>
          <w:b/>
          <w:bCs/>
          <w:szCs w:val="24"/>
          <w:lang w:eastAsia="pt-BR"/>
        </w:rPr>
      </w:pPr>
      <w:r w:rsidRPr="00433517">
        <w:rPr>
          <w:rFonts w:cs="Times New Roman"/>
          <w:b/>
          <w:bCs/>
          <w:szCs w:val="24"/>
        </w:rPr>
        <w:t xml:space="preserve">STJ. 1ª Seção. Relator: Ministro Mauro Campbell Marques. EDcl. no AgRg. nos </w:t>
      </w:r>
      <w:proofErr w:type="spellStart"/>
      <w:r w:rsidRPr="00433517">
        <w:rPr>
          <w:rFonts w:cs="Times New Roman"/>
          <w:b/>
          <w:bCs/>
          <w:szCs w:val="24"/>
        </w:rPr>
        <w:t>EAREsp</w:t>
      </w:r>
      <w:proofErr w:type="spellEnd"/>
      <w:r w:rsidRPr="00433517">
        <w:rPr>
          <w:rFonts w:cs="Times New Roman"/>
          <w:b/>
          <w:bCs/>
          <w:szCs w:val="24"/>
        </w:rPr>
        <w:t>. n. 620.940/RS. Data de Julgamento: 14-09-2016. Data de Publicação: 21-09-2016</w:t>
      </w:r>
      <w:r>
        <w:rPr>
          <w:rFonts w:cs="Times New Roman"/>
          <w:b/>
          <w:bCs/>
          <w:szCs w:val="24"/>
        </w:rPr>
        <w:t>;</w:t>
      </w:r>
    </w:p>
    <w:p w14:paraId="093716D4" w14:textId="11A07BE0" w:rsidR="00AE14AD" w:rsidRPr="00433517" w:rsidRDefault="00433517" w:rsidP="0036224D">
      <w:pPr>
        <w:rPr>
          <w:b/>
          <w:bCs/>
          <w:szCs w:val="24"/>
        </w:rPr>
      </w:pPr>
      <w:proofErr w:type="spellStart"/>
      <w:r w:rsidRPr="00433517">
        <w:rPr>
          <w:rFonts w:eastAsia="Times New Roman" w:cs="Times New Roman"/>
          <w:b/>
          <w:bCs/>
          <w:szCs w:val="24"/>
          <w:lang w:eastAsia="pt-BR"/>
        </w:rPr>
        <w:t>TJPR</w:t>
      </w:r>
      <w:proofErr w:type="spellEnd"/>
      <w:r w:rsidRPr="00433517">
        <w:rPr>
          <w:rFonts w:eastAsia="Times New Roman" w:cs="Times New Roman"/>
          <w:b/>
          <w:bCs/>
          <w:szCs w:val="24"/>
          <w:lang w:eastAsia="pt-BR"/>
        </w:rPr>
        <w:t>. 2ª Câmara Criminal. Relator: Desembargador Mario Helton Jorge. 0009712-80.2025.8.16.0013. Curitiba. Data de julgamento: 22-9-2025</w:t>
      </w:r>
      <w:r w:rsidR="000B0CEA" w:rsidRPr="00433517">
        <w:rPr>
          <w:b/>
          <w:bCs/>
          <w:szCs w:val="24"/>
        </w:rPr>
        <w:t>.</w:t>
      </w:r>
    </w:p>
    <w:p w14:paraId="21737AD7" w14:textId="77777777" w:rsidR="00AE14AD" w:rsidRDefault="00AE14AD" w:rsidP="0036224D">
      <w:pPr>
        <w:pStyle w:val="PargrafodaLista"/>
        <w:ind w:left="0"/>
        <w:contextualSpacing w:val="0"/>
        <w:rPr>
          <w:b/>
        </w:rPr>
      </w:pPr>
    </w:p>
    <w:p w14:paraId="663C49F1" w14:textId="77777777" w:rsidR="00AA28DF" w:rsidRDefault="00AA28DF" w:rsidP="0036224D">
      <w:pPr>
        <w:pStyle w:val="PargrafodaLista"/>
        <w:ind w:left="0"/>
        <w:contextualSpacing w:val="0"/>
        <w:rPr>
          <w:b/>
        </w:rPr>
      </w:pPr>
      <w:r>
        <w:rPr>
          <w:b/>
        </w:rPr>
        <w:t>I – RELATÓRIO</w:t>
      </w:r>
    </w:p>
    <w:p w14:paraId="66D51C72" w14:textId="254E1166" w:rsidR="00FF24C5" w:rsidRDefault="00AA28DF" w:rsidP="0036224D">
      <w:pPr>
        <w:pStyle w:val="PargrafodaLista"/>
        <w:ind w:left="0"/>
        <w:contextualSpacing w:val="0"/>
      </w:pPr>
      <w:r>
        <w:t xml:space="preserve">Cuida-se de </w:t>
      </w:r>
      <w:r w:rsidR="003379B0">
        <w:t xml:space="preserve">embargos de declaração </w:t>
      </w:r>
      <w:r w:rsidR="00240DA4">
        <w:t>interpostos por Leonir Antunes dos Santos em face do Ministério Público do Estado do Paraná</w:t>
      </w:r>
      <w:r w:rsidR="000F7C48">
        <w:t xml:space="preserve">, tendo como objeto o v. acórdão proferido </w:t>
      </w:r>
      <w:r w:rsidR="009502B2">
        <w:t xml:space="preserve">pela </w:t>
      </w:r>
      <w:r w:rsidR="00420374">
        <w:t>2ª Câmara Criminal do Tribunal de Justiça do Estado do Paraná</w:t>
      </w:r>
      <w:r w:rsidR="00FF24C5">
        <w:t>,</w:t>
      </w:r>
      <w:r w:rsidR="00A74FC6">
        <w:t xml:space="preserve"> que julgou parcialmente procedente a pretensão punitiva estatal para condenar o ora embargante, </w:t>
      </w:r>
      <w:r w:rsidR="004221BE">
        <w:t xml:space="preserve">pela </w:t>
      </w:r>
      <w:r w:rsidR="004221BE" w:rsidRPr="004221BE">
        <w:t>prática da infração penal prevista no artigo 1º, inciso II, do Decreto-Lei n. 201 de 1967, por 3 (três) vezes (3º, 4º e 5º fatos da denúncia), em concurso material, na forma do artigo 69 do Código Penal, à pena total de 9 (nove) anos e 9 (nove) meses de reclusão, em regime inicial fechado, fixando-se o valor mínimo de R$ 5.874,36 (cinco mil, oitocentos e setenta e quatro reais e trinta e seis centavos) para reparação dos danos causados pelas infrações penais</w:t>
      </w:r>
      <w:r w:rsidR="008759F2">
        <w:t xml:space="preserve"> (evento 100.1 – </w:t>
      </w:r>
      <w:proofErr w:type="spellStart"/>
      <w:r w:rsidR="008759F2">
        <w:t>APN</w:t>
      </w:r>
      <w:proofErr w:type="spellEnd"/>
      <w:r w:rsidR="008759F2">
        <w:t>).</w:t>
      </w:r>
    </w:p>
    <w:p w14:paraId="63C68194" w14:textId="17F40F3C" w:rsidR="00DD2E61" w:rsidRDefault="00B75F30" w:rsidP="0036224D">
      <w:pPr>
        <w:pStyle w:val="PargrafodaLista"/>
        <w:ind w:left="0"/>
        <w:contextualSpacing w:val="0"/>
      </w:pPr>
      <w:r>
        <w:t xml:space="preserve">Eis, em síntese, as razões de inconformismo: </w:t>
      </w:r>
      <w:r w:rsidR="006A35C5">
        <w:t>a)</w:t>
      </w:r>
      <w:r w:rsidR="007B6267">
        <w:t xml:space="preserve"> </w:t>
      </w:r>
      <w:r w:rsidR="00171F24">
        <w:t>não houve suficiente distinção sobre o liame temporal entre as condutas</w:t>
      </w:r>
      <w:r w:rsidR="00C8549F">
        <w:t xml:space="preserve"> narradas na acusação, fator relevante para a adequação típica e eventual unificação das imputações</w:t>
      </w:r>
      <w:r w:rsidR="0069287C">
        <w:t>;</w:t>
      </w:r>
      <w:r w:rsidR="00186392">
        <w:t xml:space="preserve"> b</w:t>
      </w:r>
      <w:r w:rsidR="00E6558C">
        <w:t xml:space="preserve">) não foi realizada </w:t>
      </w:r>
      <w:r w:rsidR="00280A9A">
        <w:t>distinção ou superação de precedentes que concluíram pela atipicidade da conduta de uso indevido de veículo público pelo chefe do executivo municipal</w:t>
      </w:r>
      <w:r w:rsidR="002932EC">
        <w:t xml:space="preserve"> (evento 1.1).</w:t>
      </w:r>
    </w:p>
    <w:p w14:paraId="437588F8" w14:textId="321F0460" w:rsidR="00C26293" w:rsidRDefault="002932EC" w:rsidP="0036224D">
      <w:pPr>
        <w:pStyle w:val="PargrafodaLista"/>
        <w:ind w:left="0"/>
        <w:contextualSpacing w:val="0"/>
      </w:pPr>
      <w:r>
        <w:t xml:space="preserve">Manifestou-se o </w:t>
      </w:r>
      <w:r w:rsidRPr="002932EC">
        <w:rPr>
          <w:i/>
          <w:iCs/>
        </w:rPr>
        <w:t>Parquet</w:t>
      </w:r>
      <w:r>
        <w:t xml:space="preserve"> pelo conhecimento e desprovimento do recurso (evento 10.1).</w:t>
      </w:r>
    </w:p>
    <w:p w14:paraId="0F14583B" w14:textId="77777777" w:rsidR="00AA28DF" w:rsidRDefault="00C26293" w:rsidP="0036224D">
      <w:pPr>
        <w:pStyle w:val="PargrafodaLista"/>
        <w:ind w:left="0"/>
        <w:contextualSpacing w:val="0"/>
      </w:pPr>
      <w:r>
        <w:t>É o necessário relato.</w:t>
      </w:r>
    </w:p>
    <w:p w14:paraId="1A899A84" w14:textId="77777777" w:rsidR="00C26293" w:rsidRDefault="00C26293" w:rsidP="0036224D">
      <w:pPr>
        <w:pStyle w:val="PargrafodaLista"/>
        <w:ind w:left="0"/>
        <w:contextualSpacing w:val="0"/>
      </w:pPr>
    </w:p>
    <w:p w14:paraId="2BF96D95" w14:textId="77777777" w:rsidR="00AA28DF" w:rsidRPr="00AA28DF" w:rsidRDefault="00AA28DF" w:rsidP="0036224D">
      <w:pPr>
        <w:pStyle w:val="PargrafodaLista"/>
        <w:ind w:left="0"/>
        <w:contextualSpacing w:val="0"/>
        <w:rPr>
          <w:b/>
        </w:rPr>
      </w:pPr>
      <w:r w:rsidRPr="00AA28DF">
        <w:rPr>
          <w:b/>
        </w:rPr>
        <w:t>II – VOTO E SUA FUNDAMENTAÇÃO</w:t>
      </w:r>
    </w:p>
    <w:p w14:paraId="1AEDA660" w14:textId="77777777" w:rsidR="00AA28DF" w:rsidRDefault="00AA28DF" w:rsidP="0036224D">
      <w:pPr>
        <w:pStyle w:val="PargrafodaLista"/>
        <w:ind w:left="0"/>
        <w:contextualSpacing w:val="0"/>
      </w:pPr>
      <w:r>
        <w:t>II.I – DO JUÍZO DE ADMISSIBILIDADE</w:t>
      </w:r>
    </w:p>
    <w:p w14:paraId="2A148206" w14:textId="33D2898D" w:rsidR="00C26293" w:rsidRDefault="00C26293" w:rsidP="0036224D">
      <w:pPr>
        <w:pStyle w:val="PargrafodaLista"/>
        <w:ind w:left="0"/>
        <w:contextualSpacing w:val="0"/>
      </w:pPr>
      <w:r>
        <w:t>Satisfeitos os requisitos de admissibilidade recursal, conhecem-se dos embargos de declaração.</w:t>
      </w:r>
    </w:p>
    <w:p w14:paraId="6FCCEF27" w14:textId="77777777" w:rsidR="00C26293" w:rsidRDefault="00C26293" w:rsidP="0036224D">
      <w:pPr>
        <w:pStyle w:val="PargrafodaLista"/>
        <w:ind w:left="0"/>
        <w:contextualSpacing w:val="0"/>
      </w:pPr>
    </w:p>
    <w:p w14:paraId="23FF963E" w14:textId="1C769C2A" w:rsidR="00C26293" w:rsidRDefault="00C26293" w:rsidP="0036224D">
      <w:pPr>
        <w:pStyle w:val="PargrafodaLista"/>
        <w:ind w:left="0"/>
        <w:contextualSpacing w:val="0"/>
      </w:pPr>
      <w:r>
        <w:t xml:space="preserve">II.II – </w:t>
      </w:r>
      <w:r w:rsidR="002932EC">
        <w:t>DAS OMISSÕES</w:t>
      </w:r>
    </w:p>
    <w:p w14:paraId="7E653B18" w14:textId="4674A53A" w:rsidR="00906848" w:rsidRDefault="003E0245" w:rsidP="0036224D">
      <w:pPr>
        <w:rPr>
          <w:rFonts w:eastAsia="Times New Roman" w:cs="Times New Roman"/>
          <w:szCs w:val="24"/>
          <w:lang w:eastAsia="pt-BR"/>
        </w:rPr>
      </w:pPr>
      <w:r>
        <w:rPr>
          <w:rFonts w:eastAsia="Times New Roman" w:cs="Times New Roman"/>
          <w:szCs w:val="24"/>
          <w:lang w:eastAsia="pt-BR"/>
        </w:rPr>
        <w:t xml:space="preserve">Do exame do pronunciamento judicial hostilizado, em cotejo com as razões dos embargos, constata-se que a pretensão declaratória não possui compatibilidade com o perfil normativo do artigo </w:t>
      </w:r>
      <w:r w:rsidR="00906848">
        <w:rPr>
          <w:rFonts w:eastAsia="Times New Roman" w:cs="Times New Roman"/>
          <w:szCs w:val="24"/>
          <w:lang w:eastAsia="pt-BR"/>
        </w:rPr>
        <w:t>619 do Código de Processo Penal.</w:t>
      </w:r>
    </w:p>
    <w:p w14:paraId="6666A356" w14:textId="77777777" w:rsidR="003E0245" w:rsidRDefault="003E0245" w:rsidP="0036224D">
      <w:pPr>
        <w:rPr>
          <w:rFonts w:eastAsia="Times New Roman" w:cs="Times New Roman"/>
          <w:szCs w:val="24"/>
          <w:lang w:eastAsia="pt-BR"/>
        </w:rPr>
      </w:pPr>
      <w:r>
        <w:rPr>
          <w:rFonts w:eastAsia="Times New Roman" w:cs="Times New Roman"/>
          <w:szCs w:val="24"/>
          <w:lang w:eastAsia="pt-BR"/>
        </w:rPr>
        <w:t>A propósito do tema:</w:t>
      </w:r>
    </w:p>
    <w:p w14:paraId="0A95168D" w14:textId="77777777" w:rsidR="003E0245" w:rsidRDefault="003E0245" w:rsidP="0036224D">
      <w:pPr>
        <w:rPr>
          <w:rFonts w:eastAsia="Times New Roman" w:cs="Times New Roman"/>
          <w:szCs w:val="24"/>
          <w:lang w:eastAsia="pt-BR"/>
        </w:rPr>
      </w:pPr>
    </w:p>
    <w:p w14:paraId="148EDFD0" w14:textId="77777777" w:rsidR="003E0245" w:rsidRDefault="003E0245" w:rsidP="0036224D">
      <w:pPr>
        <w:ind w:left="2268" w:firstLine="0"/>
        <w:rPr>
          <w:rFonts w:cs="Times New Roman"/>
          <w:sz w:val="20"/>
        </w:rPr>
      </w:pPr>
      <w:r w:rsidRPr="005E3E78">
        <w:rPr>
          <w:rFonts w:cs="Times New Roman"/>
          <w:sz w:val="20"/>
        </w:rPr>
        <w:t xml:space="preserve">PROCESSUAL CIVIL. ENUNCIADO ADMINISTRATIVO Nº 03/STJ. EMBARGOS DE DECLARAÇÃO. INEXISTÊNCIA DE VÍCIOS NO JULGADO. REDISCUSSÃO DE MATÉRIA JÁ DECIDIDA. IMPOSSIBILIDADE. </w:t>
      </w:r>
      <w:r w:rsidRPr="001F4679">
        <w:rPr>
          <w:rFonts w:cs="Times New Roman"/>
          <w:b/>
          <w:sz w:val="20"/>
        </w:rPr>
        <w:t xml:space="preserve">1. Os embargos de declaração têm a finalidade simples e única de completar, aclarar ou corrigir uma decisão omissa, obscura ou contraditória. Não são destinados à adequação do decisum ao entendimento da parte embargante, nem ao acolhimento de pretensões que refletem mero inconformismo, e, menos ainda, à rediscussão de questão já resolvida. Precedentes. </w:t>
      </w:r>
      <w:r w:rsidRPr="005E3E78">
        <w:rPr>
          <w:rFonts w:cs="Times New Roman"/>
          <w:sz w:val="20"/>
        </w:rPr>
        <w:t>2. A análise das razões recursais revela a pretensão da parte em alterar o resultado do decisum, o que é inviável nesta seara recursal. 3. Embargos de declaração r</w:t>
      </w:r>
      <w:r>
        <w:rPr>
          <w:rFonts w:cs="Times New Roman"/>
          <w:sz w:val="20"/>
        </w:rPr>
        <w:t>ejeitados. (STJ. 1ª Seção. Relator: Ministro Mauro Campbell Marques.</w:t>
      </w:r>
      <w:r w:rsidRPr="005E3E78">
        <w:rPr>
          <w:rFonts w:cs="Times New Roman"/>
          <w:sz w:val="20"/>
        </w:rPr>
        <w:t xml:space="preserve"> EDcl. no AgRg. nos </w:t>
      </w:r>
      <w:proofErr w:type="spellStart"/>
      <w:r w:rsidRPr="005E3E78">
        <w:rPr>
          <w:rFonts w:cs="Times New Roman"/>
          <w:sz w:val="20"/>
        </w:rPr>
        <w:t>EAREsp</w:t>
      </w:r>
      <w:proofErr w:type="spellEnd"/>
      <w:r w:rsidRPr="005E3E78">
        <w:rPr>
          <w:rFonts w:cs="Times New Roman"/>
          <w:sz w:val="20"/>
        </w:rPr>
        <w:t>. n. 620.940/RS</w:t>
      </w:r>
      <w:r>
        <w:rPr>
          <w:rFonts w:cs="Times New Roman"/>
          <w:sz w:val="20"/>
        </w:rPr>
        <w:t>. Data de Julgamento: 14-09-2016. Data de Publicação: 21-09-2016).</w:t>
      </w:r>
    </w:p>
    <w:p w14:paraId="482CF811" w14:textId="77777777" w:rsidR="003E0245" w:rsidRDefault="003E0245" w:rsidP="0036224D">
      <w:pPr>
        <w:rPr>
          <w:rFonts w:cs="Times New Roman"/>
          <w:sz w:val="20"/>
        </w:rPr>
      </w:pPr>
    </w:p>
    <w:p w14:paraId="00358549" w14:textId="0CC2D876" w:rsidR="003E0245" w:rsidRDefault="003E0245" w:rsidP="0036224D">
      <w:pPr>
        <w:rPr>
          <w:rFonts w:eastAsia="Times New Roman" w:cs="Times New Roman"/>
          <w:szCs w:val="24"/>
          <w:lang w:eastAsia="pt-BR"/>
        </w:rPr>
      </w:pPr>
      <w:r>
        <w:rPr>
          <w:rFonts w:eastAsia="Times New Roman" w:cs="Times New Roman"/>
          <w:szCs w:val="24"/>
          <w:lang w:eastAsia="pt-BR"/>
        </w:rPr>
        <w:t xml:space="preserve">Todas as teses jurídicas veiculadas foram objeto de percuciente análise e a respectiva decisão, </w:t>
      </w:r>
      <w:r w:rsidR="0076067E">
        <w:rPr>
          <w:rFonts w:eastAsia="Times New Roman" w:cs="Times New Roman"/>
          <w:szCs w:val="24"/>
          <w:lang w:eastAsia="pt-BR"/>
        </w:rPr>
        <w:t>exposta</w:t>
      </w:r>
      <w:r>
        <w:rPr>
          <w:rFonts w:eastAsia="Times New Roman" w:cs="Times New Roman"/>
          <w:szCs w:val="24"/>
          <w:lang w:eastAsia="pt-BR"/>
        </w:rPr>
        <w:t xml:space="preserve"> sem nenhuma contradição, omissão, obscuridade ou erro material.</w:t>
      </w:r>
    </w:p>
    <w:p w14:paraId="0DA1C7FF" w14:textId="32290245" w:rsidR="00C95DCD" w:rsidRDefault="003E0245" w:rsidP="0036224D">
      <w:pPr>
        <w:rPr>
          <w:rFonts w:eastAsia="Times New Roman" w:cs="Times New Roman"/>
          <w:szCs w:val="24"/>
          <w:lang w:eastAsia="pt-BR"/>
        </w:rPr>
      </w:pPr>
      <w:r>
        <w:rPr>
          <w:rFonts w:eastAsia="Times New Roman" w:cs="Times New Roman"/>
          <w:szCs w:val="24"/>
          <w:lang w:eastAsia="pt-BR"/>
        </w:rPr>
        <w:t xml:space="preserve">Ao contrário da invectiva recursal, </w:t>
      </w:r>
      <w:r w:rsidR="000A02D3">
        <w:rPr>
          <w:rFonts w:eastAsia="Times New Roman" w:cs="Times New Roman"/>
          <w:szCs w:val="24"/>
          <w:lang w:eastAsia="pt-BR"/>
        </w:rPr>
        <w:t>a decisão sobre a capitulação jurídica e distinção ontológica de cada uma das condutas, para conformação do concurso material</w:t>
      </w:r>
      <w:r w:rsidR="00506D1F">
        <w:rPr>
          <w:rFonts w:eastAsia="Times New Roman" w:cs="Times New Roman"/>
          <w:szCs w:val="24"/>
          <w:lang w:eastAsia="pt-BR"/>
        </w:rPr>
        <w:t xml:space="preserve">, foi </w:t>
      </w:r>
      <w:r w:rsidR="0076067E">
        <w:rPr>
          <w:rFonts w:eastAsia="Times New Roman" w:cs="Times New Roman"/>
          <w:szCs w:val="24"/>
          <w:lang w:eastAsia="pt-BR"/>
        </w:rPr>
        <w:t>edifica sob fundamentação plena.</w:t>
      </w:r>
    </w:p>
    <w:p w14:paraId="0ADE72A8" w14:textId="469EADF1" w:rsidR="0076067E" w:rsidRDefault="0076067E" w:rsidP="0036224D">
      <w:pPr>
        <w:rPr>
          <w:rFonts w:eastAsia="Times New Roman" w:cs="Times New Roman"/>
          <w:szCs w:val="24"/>
          <w:lang w:eastAsia="pt-BR"/>
        </w:rPr>
      </w:pPr>
      <w:r>
        <w:rPr>
          <w:rFonts w:eastAsia="Times New Roman" w:cs="Times New Roman"/>
          <w:szCs w:val="24"/>
          <w:lang w:eastAsia="pt-BR"/>
        </w:rPr>
        <w:t>Com efeito, o julgado</w:t>
      </w:r>
      <w:r w:rsidR="008D41CB">
        <w:rPr>
          <w:rFonts w:eastAsia="Times New Roman" w:cs="Times New Roman"/>
          <w:szCs w:val="24"/>
          <w:lang w:eastAsia="pt-BR"/>
        </w:rPr>
        <w:t>r</w:t>
      </w:r>
      <w:r>
        <w:rPr>
          <w:rFonts w:eastAsia="Times New Roman" w:cs="Times New Roman"/>
          <w:szCs w:val="24"/>
          <w:lang w:eastAsia="pt-BR"/>
        </w:rPr>
        <w:t xml:space="preserve"> não está obrigado a exaurir</w:t>
      </w:r>
      <w:r w:rsidR="0036224D">
        <w:rPr>
          <w:rFonts w:eastAsia="Times New Roman" w:cs="Times New Roman"/>
          <w:szCs w:val="24"/>
          <w:lang w:eastAsia="pt-BR"/>
        </w:rPr>
        <w:t>, de maneira particularizada, cada uma das teses defensivas, desde que fundamente a decisão adotada.</w:t>
      </w:r>
    </w:p>
    <w:p w14:paraId="1F8526C5" w14:textId="77777777" w:rsidR="0036224D" w:rsidRDefault="0036224D" w:rsidP="0036224D">
      <w:pPr>
        <w:rPr>
          <w:rFonts w:eastAsia="Times New Roman" w:cs="Times New Roman"/>
          <w:szCs w:val="24"/>
          <w:lang w:eastAsia="pt-BR"/>
        </w:rPr>
      </w:pPr>
      <w:r>
        <w:rPr>
          <w:rFonts w:eastAsia="Times New Roman" w:cs="Times New Roman"/>
          <w:szCs w:val="24"/>
          <w:lang w:eastAsia="pt-BR"/>
        </w:rPr>
        <w:t>A exemplo:</w:t>
      </w:r>
    </w:p>
    <w:p w14:paraId="072C90B3" w14:textId="77777777" w:rsidR="0036224D" w:rsidRDefault="0036224D" w:rsidP="0036224D">
      <w:pPr>
        <w:rPr>
          <w:rFonts w:eastAsia="Times New Roman" w:cs="Times New Roman"/>
          <w:szCs w:val="24"/>
          <w:lang w:eastAsia="pt-BR"/>
        </w:rPr>
      </w:pPr>
    </w:p>
    <w:p w14:paraId="694C3AF3" w14:textId="4E2FD1AD" w:rsidR="00433517" w:rsidRDefault="0076067E" w:rsidP="00433517">
      <w:pPr>
        <w:ind w:left="2268" w:firstLine="0"/>
        <w:rPr>
          <w:rFonts w:eastAsia="Times New Roman" w:cs="Times New Roman"/>
          <w:sz w:val="20"/>
          <w:szCs w:val="20"/>
          <w:lang w:eastAsia="pt-BR"/>
        </w:rPr>
      </w:pPr>
      <w:r w:rsidRPr="0036224D">
        <w:rPr>
          <w:rFonts w:eastAsia="Times New Roman" w:cs="Times New Roman"/>
          <w:sz w:val="20"/>
          <w:szCs w:val="20"/>
          <w:lang w:eastAsia="pt-BR"/>
        </w:rPr>
        <w:t>Direito penal e direito processual penal. Embargos de declaração. Embriaguez ao volante. Embargos rejeitados. I. Caso em exame</w:t>
      </w:r>
      <w:r w:rsidR="0036224D" w:rsidRPr="0036224D">
        <w:rPr>
          <w:rFonts w:eastAsia="Times New Roman" w:cs="Times New Roman"/>
          <w:sz w:val="20"/>
          <w:szCs w:val="20"/>
          <w:lang w:eastAsia="pt-BR"/>
        </w:rPr>
        <w:t xml:space="preserve"> </w:t>
      </w:r>
      <w:r w:rsidRPr="0036224D">
        <w:rPr>
          <w:rFonts w:eastAsia="Times New Roman" w:cs="Times New Roman"/>
          <w:sz w:val="20"/>
          <w:szCs w:val="20"/>
          <w:lang w:eastAsia="pt-BR"/>
        </w:rPr>
        <w:t>1. Embargos de declaração opostos em face de acórdão que negou provimento a apelação criminal, mantendo a condenação pelo crime de embriaguez ao volante, tipificado no artigo 306 do Código de Trânsito Brasileiro, com pena de 07 meses de detenção, além de multa e suspensão da habilitação, em razão de fatos ocorridos durante uma perseguição policial em que o réu foi flagrado dirigindo sob a influência de álcool.</w:t>
      </w:r>
      <w:r w:rsidR="0036224D" w:rsidRPr="0036224D">
        <w:rPr>
          <w:rFonts w:eastAsia="Times New Roman" w:cs="Times New Roman"/>
          <w:sz w:val="20"/>
          <w:szCs w:val="20"/>
          <w:lang w:eastAsia="pt-BR"/>
        </w:rPr>
        <w:t xml:space="preserve"> </w:t>
      </w:r>
      <w:r w:rsidRPr="0036224D">
        <w:rPr>
          <w:rFonts w:eastAsia="Times New Roman" w:cs="Times New Roman"/>
          <w:sz w:val="20"/>
          <w:szCs w:val="20"/>
          <w:lang w:eastAsia="pt-BR"/>
        </w:rPr>
        <w:t>II. Questão em discussão</w:t>
      </w:r>
      <w:r w:rsidR="0036224D" w:rsidRPr="0036224D">
        <w:rPr>
          <w:rFonts w:eastAsia="Times New Roman" w:cs="Times New Roman"/>
          <w:sz w:val="20"/>
          <w:szCs w:val="20"/>
          <w:lang w:eastAsia="pt-BR"/>
        </w:rPr>
        <w:t xml:space="preserve"> </w:t>
      </w:r>
      <w:r w:rsidRPr="0036224D">
        <w:rPr>
          <w:rFonts w:eastAsia="Times New Roman" w:cs="Times New Roman"/>
          <w:sz w:val="20"/>
          <w:szCs w:val="20"/>
          <w:lang w:eastAsia="pt-BR"/>
        </w:rPr>
        <w:t>2. A questão em discussão consiste em saber se há omissão, obscuridade ou contradição no acórdão que negou provimento ao recurso de apelação.</w:t>
      </w:r>
      <w:r w:rsidR="0036224D" w:rsidRPr="0036224D">
        <w:rPr>
          <w:rFonts w:eastAsia="Times New Roman" w:cs="Times New Roman"/>
          <w:sz w:val="20"/>
          <w:szCs w:val="20"/>
          <w:lang w:eastAsia="pt-BR"/>
        </w:rPr>
        <w:t xml:space="preserve"> </w:t>
      </w:r>
      <w:r w:rsidRPr="0036224D">
        <w:rPr>
          <w:rFonts w:eastAsia="Times New Roman" w:cs="Times New Roman"/>
          <w:sz w:val="20"/>
          <w:szCs w:val="20"/>
          <w:lang w:eastAsia="pt-BR"/>
        </w:rPr>
        <w:t>III. Razões de decidir</w:t>
      </w:r>
      <w:r w:rsidR="0036224D" w:rsidRPr="0036224D">
        <w:rPr>
          <w:rFonts w:eastAsia="Times New Roman" w:cs="Times New Roman"/>
          <w:sz w:val="20"/>
          <w:szCs w:val="20"/>
          <w:lang w:eastAsia="pt-BR"/>
        </w:rPr>
        <w:t xml:space="preserve"> </w:t>
      </w:r>
      <w:r w:rsidRPr="0036224D">
        <w:rPr>
          <w:rFonts w:eastAsia="Times New Roman" w:cs="Times New Roman"/>
          <w:sz w:val="20"/>
          <w:szCs w:val="20"/>
          <w:lang w:eastAsia="pt-BR"/>
        </w:rPr>
        <w:t>3. Os embargos não apontam qualquer erro, obscuridade, contradição ou omissão no acórdão embargado.</w:t>
      </w:r>
      <w:r w:rsidR="0036224D" w:rsidRPr="0036224D">
        <w:rPr>
          <w:rFonts w:eastAsia="Times New Roman" w:cs="Times New Roman"/>
          <w:sz w:val="20"/>
          <w:szCs w:val="20"/>
          <w:lang w:eastAsia="pt-BR"/>
        </w:rPr>
        <w:t xml:space="preserve"> </w:t>
      </w:r>
      <w:r w:rsidRPr="0036224D">
        <w:rPr>
          <w:rFonts w:eastAsia="Times New Roman" w:cs="Times New Roman"/>
          <w:sz w:val="20"/>
          <w:szCs w:val="20"/>
          <w:lang w:eastAsia="pt-BR"/>
        </w:rPr>
        <w:t>4. A recusa do oferecimento do Acordo de Não Persecução Penal pelo Ministério Público foi fundamentada na reiteração delitiva, diversa da reincidência, fundamentação legal, não cabendo ao Judiciário interferir nessa hipótese.</w:t>
      </w:r>
      <w:r w:rsidR="0036224D" w:rsidRPr="0036224D">
        <w:rPr>
          <w:rFonts w:eastAsia="Times New Roman" w:cs="Times New Roman"/>
          <w:sz w:val="20"/>
          <w:szCs w:val="20"/>
          <w:lang w:eastAsia="pt-BR"/>
        </w:rPr>
        <w:t xml:space="preserve"> </w:t>
      </w:r>
      <w:r w:rsidRPr="0036224D">
        <w:rPr>
          <w:rFonts w:eastAsia="Times New Roman" w:cs="Times New Roman"/>
          <w:sz w:val="20"/>
          <w:szCs w:val="20"/>
          <w:lang w:eastAsia="pt-BR"/>
        </w:rPr>
        <w:t>5. As divergências nos relatos policiais foram consideradas pontuais e não maculam a validade dos depoimentos, que confirmam o estado de embriaguez do réu.</w:t>
      </w:r>
      <w:r w:rsidR="0036224D" w:rsidRPr="0036224D">
        <w:rPr>
          <w:rFonts w:eastAsia="Times New Roman" w:cs="Times New Roman"/>
          <w:sz w:val="20"/>
          <w:szCs w:val="20"/>
          <w:lang w:eastAsia="pt-BR"/>
        </w:rPr>
        <w:t xml:space="preserve"> </w:t>
      </w:r>
      <w:r w:rsidRPr="0036224D">
        <w:rPr>
          <w:rFonts w:eastAsia="Times New Roman" w:cs="Times New Roman"/>
          <w:sz w:val="20"/>
          <w:szCs w:val="20"/>
          <w:lang w:eastAsia="pt-BR"/>
        </w:rPr>
        <w:t>6. Não houve omissão na análise da suposta nulidade do termo de constatação, eis que a questão central, assinatura do documento por terceira pessoa, foi devidamente enfrentado.</w:t>
      </w:r>
      <w:r w:rsidR="0036224D" w:rsidRPr="0036224D">
        <w:rPr>
          <w:rFonts w:eastAsia="Times New Roman" w:cs="Times New Roman"/>
          <w:sz w:val="20"/>
          <w:szCs w:val="20"/>
          <w:lang w:eastAsia="pt-BR"/>
        </w:rPr>
        <w:t xml:space="preserve"> </w:t>
      </w:r>
      <w:r w:rsidRPr="0036224D">
        <w:rPr>
          <w:rFonts w:eastAsia="Times New Roman" w:cs="Times New Roman"/>
          <w:sz w:val="20"/>
          <w:szCs w:val="20"/>
          <w:lang w:eastAsia="pt-BR"/>
        </w:rPr>
        <w:t>7. O magistrado não está obrigado a rebater, individualmente, todos os argumentos levantados pela defesa, desde que fundamente a contento a sua decisão.</w:t>
      </w:r>
      <w:r w:rsidR="0036224D" w:rsidRPr="0036224D">
        <w:rPr>
          <w:rFonts w:eastAsia="Times New Roman" w:cs="Times New Roman"/>
          <w:sz w:val="20"/>
          <w:szCs w:val="20"/>
          <w:lang w:eastAsia="pt-BR"/>
        </w:rPr>
        <w:t xml:space="preserve"> </w:t>
      </w:r>
      <w:r w:rsidRPr="0036224D">
        <w:rPr>
          <w:rFonts w:eastAsia="Times New Roman" w:cs="Times New Roman"/>
          <w:sz w:val="20"/>
          <w:szCs w:val="20"/>
          <w:lang w:eastAsia="pt-BR"/>
        </w:rPr>
        <w:t>IV. Dispositivo e tese</w:t>
      </w:r>
      <w:r w:rsidR="0036224D" w:rsidRPr="0036224D">
        <w:rPr>
          <w:rFonts w:eastAsia="Times New Roman" w:cs="Times New Roman"/>
          <w:sz w:val="20"/>
          <w:szCs w:val="20"/>
          <w:lang w:eastAsia="pt-BR"/>
        </w:rPr>
        <w:t xml:space="preserve"> </w:t>
      </w:r>
      <w:r w:rsidRPr="0036224D">
        <w:rPr>
          <w:rFonts w:eastAsia="Times New Roman" w:cs="Times New Roman"/>
          <w:sz w:val="20"/>
          <w:szCs w:val="20"/>
          <w:lang w:eastAsia="pt-BR"/>
        </w:rPr>
        <w:t>8. Embargos de declaração rejeitados.</w:t>
      </w:r>
      <w:r w:rsidR="0036224D" w:rsidRPr="0036224D">
        <w:rPr>
          <w:rFonts w:eastAsia="Times New Roman" w:cs="Times New Roman"/>
          <w:sz w:val="20"/>
          <w:szCs w:val="20"/>
          <w:lang w:eastAsia="pt-BR"/>
        </w:rPr>
        <w:t xml:space="preserve"> </w:t>
      </w:r>
      <w:r w:rsidRPr="0036224D">
        <w:rPr>
          <w:rFonts w:eastAsia="Times New Roman" w:cs="Times New Roman"/>
          <w:sz w:val="20"/>
          <w:szCs w:val="20"/>
          <w:lang w:eastAsia="pt-BR"/>
        </w:rPr>
        <w:t>Tese de julgamento: Os embargos de declaração servem para a análise de eventuais erros, omissões, contradições ou obscuridades nas decisões, não sendo possível a rediscussão da matéria por essa via.</w:t>
      </w:r>
      <w:r w:rsidR="0036224D" w:rsidRPr="0036224D">
        <w:rPr>
          <w:rFonts w:eastAsia="Times New Roman" w:cs="Times New Roman"/>
          <w:sz w:val="20"/>
          <w:szCs w:val="20"/>
          <w:lang w:eastAsia="pt-BR"/>
        </w:rPr>
        <w:t xml:space="preserve"> </w:t>
      </w:r>
      <w:r w:rsidRPr="0036224D">
        <w:rPr>
          <w:rFonts w:eastAsia="Times New Roman" w:cs="Times New Roman"/>
          <w:sz w:val="20"/>
          <w:szCs w:val="20"/>
          <w:lang w:eastAsia="pt-BR"/>
        </w:rPr>
        <w:t>Dispositivos relevantes citados:</w:t>
      </w:r>
      <w:r w:rsidR="0036224D" w:rsidRPr="0036224D">
        <w:rPr>
          <w:rFonts w:eastAsia="Times New Roman" w:cs="Times New Roman"/>
          <w:sz w:val="20"/>
          <w:szCs w:val="20"/>
          <w:lang w:eastAsia="pt-BR"/>
        </w:rPr>
        <w:t xml:space="preserve"> </w:t>
      </w:r>
      <w:r w:rsidRPr="0036224D">
        <w:rPr>
          <w:rFonts w:eastAsia="Times New Roman" w:cs="Times New Roman"/>
          <w:sz w:val="20"/>
          <w:szCs w:val="20"/>
          <w:lang w:eastAsia="pt-BR"/>
        </w:rPr>
        <w:t xml:space="preserve">CR/1988, art. 5º, </w:t>
      </w:r>
      <w:proofErr w:type="spellStart"/>
      <w:r w:rsidRPr="0036224D">
        <w:rPr>
          <w:rFonts w:eastAsia="Times New Roman" w:cs="Times New Roman"/>
          <w:sz w:val="20"/>
          <w:szCs w:val="20"/>
          <w:lang w:eastAsia="pt-BR"/>
        </w:rPr>
        <w:t>XXX</w:t>
      </w:r>
      <w:proofErr w:type="spellEnd"/>
      <w:r w:rsidRPr="0036224D">
        <w:rPr>
          <w:rFonts w:eastAsia="Times New Roman" w:cs="Times New Roman"/>
          <w:sz w:val="20"/>
          <w:szCs w:val="20"/>
          <w:lang w:eastAsia="pt-BR"/>
        </w:rPr>
        <w:t xml:space="preserve">; CP, art. 306, § 1º, II; CPP, </w:t>
      </w:r>
      <w:proofErr w:type="spellStart"/>
      <w:r w:rsidRPr="0036224D">
        <w:rPr>
          <w:rFonts w:eastAsia="Times New Roman" w:cs="Times New Roman"/>
          <w:sz w:val="20"/>
          <w:szCs w:val="20"/>
          <w:lang w:eastAsia="pt-BR"/>
        </w:rPr>
        <w:t>arts</w:t>
      </w:r>
      <w:proofErr w:type="spellEnd"/>
      <w:r w:rsidRPr="0036224D">
        <w:rPr>
          <w:rFonts w:eastAsia="Times New Roman" w:cs="Times New Roman"/>
          <w:sz w:val="20"/>
          <w:szCs w:val="20"/>
          <w:lang w:eastAsia="pt-BR"/>
        </w:rPr>
        <w:t xml:space="preserve">. 619 e </w:t>
      </w:r>
      <w:proofErr w:type="spellStart"/>
      <w:r w:rsidRPr="0036224D">
        <w:rPr>
          <w:rFonts w:eastAsia="Times New Roman" w:cs="Times New Roman"/>
          <w:sz w:val="20"/>
          <w:szCs w:val="20"/>
          <w:lang w:eastAsia="pt-BR"/>
        </w:rPr>
        <w:t>28-A</w:t>
      </w:r>
      <w:proofErr w:type="spellEnd"/>
      <w:r w:rsidRPr="0036224D">
        <w:rPr>
          <w:rFonts w:eastAsia="Times New Roman" w:cs="Times New Roman"/>
          <w:sz w:val="20"/>
          <w:szCs w:val="20"/>
          <w:lang w:eastAsia="pt-BR"/>
        </w:rPr>
        <w:t>, § 2º, II.</w:t>
      </w:r>
      <w:r w:rsidR="0036224D" w:rsidRPr="0036224D">
        <w:rPr>
          <w:rFonts w:eastAsia="Times New Roman" w:cs="Times New Roman"/>
          <w:sz w:val="20"/>
          <w:szCs w:val="20"/>
          <w:lang w:eastAsia="pt-BR"/>
        </w:rPr>
        <w:t xml:space="preserve"> </w:t>
      </w:r>
      <w:r w:rsidRPr="0036224D">
        <w:rPr>
          <w:rFonts w:eastAsia="Times New Roman" w:cs="Times New Roman"/>
          <w:sz w:val="20"/>
          <w:szCs w:val="20"/>
          <w:lang w:eastAsia="pt-BR"/>
        </w:rPr>
        <w:t>Jurisprudência relevante citada:</w:t>
      </w:r>
      <w:r w:rsidR="0036224D" w:rsidRPr="0036224D">
        <w:rPr>
          <w:rFonts w:eastAsia="Times New Roman" w:cs="Times New Roman"/>
          <w:sz w:val="20"/>
          <w:szCs w:val="20"/>
          <w:lang w:eastAsia="pt-BR"/>
        </w:rPr>
        <w:t xml:space="preserve"> </w:t>
      </w:r>
      <w:r w:rsidRPr="0036224D">
        <w:rPr>
          <w:rFonts w:eastAsia="Times New Roman" w:cs="Times New Roman"/>
          <w:sz w:val="20"/>
          <w:szCs w:val="20"/>
          <w:lang w:eastAsia="pt-BR"/>
        </w:rPr>
        <w:t xml:space="preserve"> </w:t>
      </w:r>
      <w:proofErr w:type="spellStart"/>
      <w:r w:rsidRPr="0036224D">
        <w:rPr>
          <w:rFonts w:eastAsia="Times New Roman" w:cs="Times New Roman"/>
          <w:sz w:val="20"/>
          <w:szCs w:val="20"/>
          <w:lang w:eastAsia="pt-BR"/>
        </w:rPr>
        <w:t>TJPR</w:t>
      </w:r>
      <w:proofErr w:type="spellEnd"/>
      <w:r w:rsidRPr="0036224D">
        <w:rPr>
          <w:rFonts w:eastAsia="Times New Roman" w:cs="Times New Roman"/>
          <w:sz w:val="20"/>
          <w:szCs w:val="20"/>
          <w:lang w:eastAsia="pt-BR"/>
        </w:rPr>
        <w:t xml:space="preserve">, HC 612.449/SP, Rel. Min. Reynaldo Soares da Fonseca, Quinta Turma, j. 22.09.2020; </w:t>
      </w:r>
      <w:proofErr w:type="spellStart"/>
      <w:r w:rsidRPr="0036224D">
        <w:rPr>
          <w:rFonts w:eastAsia="Times New Roman" w:cs="Times New Roman"/>
          <w:sz w:val="20"/>
          <w:szCs w:val="20"/>
          <w:lang w:eastAsia="pt-BR"/>
        </w:rPr>
        <w:t>TJPR</w:t>
      </w:r>
      <w:proofErr w:type="spellEnd"/>
      <w:r w:rsidRPr="0036224D">
        <w:rPr>
          <w:rFonts w:eastAsia="Times New Roman" w:cs="Times New Roman"/>
          <w:sz w:val="20"/>
          <w:szCs w:val="20"/>
          <w:lang w:eastAsia="pt-BR"/>
        </w:rPr>
        <w:t xml:space="preserve">, </w:t>
      </w:r>
      <w:proofErr w:type="spellStart"/>
      <w:r w:rsidRPr="0036224D">
        <w:rPr>
          <w:rFonts w:eastAsia="Times New Roman" w:cs="Times New Roman"/>
          <w:sz w:val="20"/>
          <w:szCs w:val="20"/>
          <w:lang w:eastAsia="pt-BR"/>
        </w:rPr>
        <w:t>ACr</w:t>
      </w:r>
      <w:proofErr w:type="spellEnd"/>
      <w:r w:rsidRPr="0036224D">
        <w:rPr>
          <w:rFonts w:eastAsia="Times New Roman" w:cs="Times New Roman"/>
          <w:sz w:val="20"/>
          <w:szCs w:val="20"/>
          <w:lang w:eastAsia="pt-BR"/>
        </w:rPr>
        <w:t xml:space="preserve"> 0003883-17.2019.8.16.0147, Rel. Desembargador José Mauricio Pinto de Almeida, 2ª Câmara Criminal, j. 03.10.2024; </w:t>
      </w:r>
      <w:proofErr w:type="spellStart"/>
      <w:r w:rsidRPr="0036224D">
        <w:rPr>
          <w:rFonts w:eastAsia="Times New Roman" w:cs="Times New Roman"/>
          <w:sz w:val="20"/>
          <w:szCs w:val="20"/>
          <w:lang w:eastAsia="pt-BR"/>
        </w:rPr>
        <w:t>TJPR</w:t>
      </w:r>
      <w:proofErr w:type="spellEnd"/>
      <w:r w:rsidRPr="0036224D">
        <w:rPr>
          <w:rFonts w:eastAsia="Times New Roman" w:cs="Times New Roman"/>
          <w:sz w:val="20"/>
          <w:szCs w:val="20"/>
          <w:lang w:eastAsia="pt-BR"/>
        </w:rPr>
        <w:t xml:space="preserve">, AgRg no </w:t>
      </w:r>
      <w:proofErr w:type="spellStart"/>
      <w:r w:rsidRPr="0036224D">
        <w:rPr>
          <w:rFonts w:eastAsia="Times New Roman" w:cs="Times New Roman"/>
          <w:sz w:val="20"/>
          <w:szCs w:val="20"/>
          <w:lang w:eastAsia="pt-BR"/>
        </w:rPr>
        <w:t>AREsp</w:t>
      </w:r>
      <w:proofErr w:type="spellEnd"/>
      <w:r w:rsidRPr="0036224D">
        <w:rPr>
          <w:rFonts w:eastAsia="Times New Roman" w:cs="Times New Roman"/>
          <w:sz w:val="20"/>
          <w:szCs w:val="20"/>
          <w:lang w:eastAsia="pt-BR"/>
        </w:rPr>
        <w:t xml:space="preserve"> 2.185.075/ES, Rel. Min. Joel Ilan Paciornik, Quinta Turma, j. 15.04.2024; </w:t>
      </w:r>
      <w:proofErr w:type="spellStart"/>
      <w:r w:rsidRPr="0036224D">
        <w:rPr>
          <w:rFonts w:eastAsia="Times New Roman" w:cs="Times New Roman"/>
          <w:sz w:val="20"/>
          <w:szCs w:val="20"/>
          <w:lang w:eastAsia="pt-BR"/>
        </w:rPr>
        <w:t>TJPR</w:t>
      </w:r>
      <w:proofErr w:type="spellEnd"/>
      <w:r w:rsidRPr="0036224D">
        <w:rPr>
          <w:rFonts w:eastAsia="Times New Roman" w:cs="Times New Roman"/>
          <w:sz w:val="20"/>
          <w:szCs w:val="20"/>
          <w:lang w:eastAsia="pt-BR"/>
        </w:rPr>
        <w:t xml:space="preserve">, 0018253-39.2024.8.16.0013, Rel. Desª. Priscilla </w:t>
      </w:r>
      <w:proofErr w:type="spellStart"/>
      <w:r w:rsidRPr="0036224D">
        <w:rPr>
          <w:rFonts w:eastAsia="Times New Roman" w:cs="Times New Roman"/>
          <w:sz w:val="20"/>
          <w:szCs w:val="20"/>
          <w:lang w:eastAsia="pt-BR"/>
        </w:rPr>
        <w:t>Placha</w:t>
      </w:r>
      <w:proofErr w:type="spellEnd"/>
      <w:r w:rsidRPr="0036224D">
        <w:rPr>
          <w:rFonts w:eastAsia="Times New Roman" w:cs="Times New Roman"/>
          <w:sz w:val="20"/>
          <w:szCs w:val="20"/>
          <w:lang w:eastAsia="pt-BR"/>
        </w:rPr>
        <w:t xml:space="preserve"> Sá, 2ª Câmara Criminal, j. 09.12.2024; </w:t>
      </w:r>
      <w:proofErr w:type="spellStart"/>
      <w:r w:rsidRPr="0036224D">
        <w:rPr>
          <w:rFonts w:eastAsia="Times New Roman" w:cs="Times New Roman"/>
          <w:sz w:val="20"/>
          <w:szCs w:val="20"/>
          <w:lang w:eastAsia="pt-BR"/>
        </w:rPr>
        <w:t>TJPR</w:t>
      </w:r>
      <w:proofErr w:type="spellEnd"/>
      <w:r w:rsidRPr="0036224D">
        <w:rPr>
          <w:rFonts w:eastAsia="Times New Roman" w:cs="Times New Roman"/>
          <w:sz w:val="20"/>
          <w:szCs w:val="20"/>
          <w:lang w:eastAsia="pt-BR"/>
        </w:rPr>
        <w:t xml:space="preserve">, 0002201-21.2023.8.16.0136, Rel. Des. Luís Carlos Xavier, 2ª Câmara Criminal, j. 18.09.2023; </w:t>
      </w:r>
      <w:proofErr w:type="spellStart"/>
      <w:r w:rsidRPr="0036224D">
        <w:rPr>
          <w:rFonts w:eastAsia="Times New Roman" w:cs="Times New Roman"/>
          <w:sz w:val="20"/>
          <w:szCs w:val="20"/>
          <w:lang w:eastAsia="pt-BR"/>
        </w:rPr>
        <w:t>TJPR</w:t>
      </w:r>
      <w:proofErr w:type="spellEnd"/>
      <w:r w:rsidRPr="0036224D">
        <w:rPr>
          <w:rFonts w:eastAsia="Times New Roman" w:cs="Times New Roman"/>
          <w:sz w:val="20"/>
          <w:szCs w:val="20"/>
          <w:lang w:eastAsia="pt-BR"/>
        </w:rPr>
        <w:t xml:space="preserve">, 0000605-28.2025.8.16.0137, Rel. Desembargador </w:t>
      </w:r>
      <w:proofErr w:type="spellStart"/>
      <w:r w:rsidRPr="0036224D">
        <w:rPr>
          <w:rFonts w:eastAsia="Times New Roman" w:cs="Times New Roman"/>
          <w:sz w:val="20"/>
          <w:szCs w:val="20"/>
          <w:lang w:eastAsia="pt-BR"/>
        </w:rPr>
        <w:t>Luis</w:t>
      </w:r>
      <w:proofErr w:type="spellEnd"/>
      <w:r w:rsidRPr="0036224D">
        <w:rPr>
          <w:rFonts w:eastAsia="Times New Roman" w:cs="Times New Roman"/>
          <w:sz w:val="20"/>
          <w:szCs w:val="20"/>
          <w:lang w:eastAsia="pt-BR"/>
        </w:rPr>
        <w:t xml:space="preserve"> Carlos Xavier, 2ª Câmara Criminal, j. 24.04.2025.</w:t>
      </w:r>
      <w:r w:rsidR="0036224D" w:rsidRPr="0036224D">
        <w:rPr>
          <w:rFonts w:eastAsia="Times New Roman" w:cs="Times New Roman"/>
          <w:sz w:val="20"/>
          <w:szCs w:val="20"/>
          <w:lang w:eastAsia="pt-BR"/>
        </w:rPr>
        <w:t xml:space="preserve"> </w:t>
      </w:r>
      <w:proofErr w:type="gramStart"/>
      <w:r w:rsidRPr="0036224D">
        <w:rPr>
          <w:rFonts w:eastAsia="Times New Roman" w:cs="Times New Roman"/>
          <w:sz w:val="20"/>
          <w:szCs w:val="20"/>
          <w:lang w:eastAsia="pt-BR"/>
        </w:rPr>
        <w:t>Resumo</w:t>
      </w:r>
      <w:proofErr w:type="gramEnd"/>
      <w:r w:rsidRPr="0036224D">
        <w:rPr>
          <w:rFonts w:eastAsia="Times New Roman" w:cs="Times New Roman"/>
          <w:sz w:val="20"/>
          <w:szCs w:val="20"/>
          <w:lang w:eastAsia="pt-BR"/>
        </w:rPr>
        <w:t xml:space="preserve"> em linguagem acessível: O Tribunal decidiu rejeitar os Embargos de Declaração apresentados pelo apelante, que pedia a revisão de uma condenação por embriaguez ao volante. O juiz entendeu que não havia omissões ou contradições na decisão anterior, recusando, portanto, o pedido defensivo.</w:t>
      </w:r>
      <w:r w:rsidR="0036224D" w:rsidRPr="0036224D">
        <w:rPr>
          <w:rFonts w:eastAsia="Times New Roman" w:cs="Times New Roman"/>
          <w:sz w:val="20"/>
          <w:szCs w:val="20"/>
          <w:lang w:eastAsia="pt-BR"/>
        </w:rPr>
        <w:t xml:space="preserve"> </w:t>
      </w:r>
      <w:r w:rsidRPr="0036224D">
        <w:rPr>
          <w:rFonts w:eastAsia="Times New Roman" w:cs="Times New Roman"/>
          <w:sz w:val="20"/>
          <w:szCs w:val="20"/>
          <w:lang w:eastAsia="pt-BR"/>
        </w:rPr>
        <w:t>(</w:t>
      </w:r>
      <w:proofErr w:type="spellStart"/>
      <w:r w:rsidRPr="0036224D">
        <w:rPr>
          <w:rFonts w:eastAsia="Times New Roman" w:cs="Times New Roman"/>
          <w:sz w:val="20"/>
          <w:szCs w:val="20"/>
          <w:lang w:eastAsia="pt-BR"/>
        </w:rPr>
        <w:t>TJPR</w:t>
      </w:r>
      <w:proofErr w:type="spellEnd"/>
      <w:r w:rsidR="0034720E">
        <w:rPr>
          <w:rFonts w:eastAsia="Times New Roman" w:cs="Times New Roman"/>
          <w:sz w:val="20"/>
          <w:szCs w:val="20"/>
          <w:lang w:eastAsia="pt-BR"/>
        </w:rPr>
        <w:t>. 2ª</w:t>
      </w:r>
      <w:r w:rsidR="00433517">
        <w:rPr>
          <w:rFonts w:eastAsia="Times New Roman" w:cs="Times New Roman"/>
          <w:sz w:val="20"/>
          <w:szCs w:val="20"/>
          <w:lang w:eastAsia="pt-BR"/>
        </w:rPr>
        <w:t xml:space="preserve"> Câmara Criminal. Relator: Desembargador Mario Helton Jorge.</w:t>
      </w:r>
      <w:r w:rsidRPr="0036224D">
        <w:rPr>
          <w:rFonts w:eastAsia="Times New Roman" w:cs="Times New Roman"/>
          <w:sz w:val="20"/>
          <w:szCs w:val="20"/>
          <w:lang w:eastAsia="pt-BR"/>
        </w:rPr>
        <w:t xml:space="preserve"> 0009712-80.2025.8.16.0013</w:t>
      </w:r>
      <w:r w:rsidR="00433517">
        <w:rPr>
          <w:rFonts w:eastAsia="Times New Roman" w:cs="Times New Roman"/>
          <w:sz w:val="20"/>
          <w:szCs w:val="20"/>
          <w:lang w:eastAsia="pt-BR"/>
        </w:rPr>
        <w:t>.</w:t>
      </w:r>
      <w:r w:rsidRPr="0036224D">
        <w:rPr>
          <w:rFonts w:eastAsia="Times New Roman" w:cs="Times New Roman"/>
          <w:sz w:val="20"/>
          <w:szCs w:val="20"/>
          <w:lang w:eastAsia="pt-BR"/>
        </w:rPr>
        <w:t xml:space="preserve"> Curitiba</w:t>
      </w:r>
      <w:r w:rsidR="00433517">
        <w:rPr>
          <w:rFonts w:eastAsia="Times New Roman" w:cs="Times New Roman"/>
          <w:sz w:val="20"/>
          <w:szCs w:val="20"/>
          <w:lang w:eastAsia="pt-BR"/>
        </w:rPr>
        <w:t>. Data de julgamento: 22-9-2025).</w:t>
      </w:r>
    </w:p>
    <w:p w14:paraId="64DCFE86" w14:textId="77777777" w:rsidR="00C95DCD" w:rsidRDefault="00C95DCD" w:rsidP="0036224D">
      <w:pPr>
        <w:rPr>
          <w:rFonts w:eastAsia="Times New Roman" w:cs="Times New Roman"/>
          <w:szCs w:val="24"/>
          <w:lang w:eastAsia="pt-BR"/>
        </w:rPr>
      </w:pPr>
    </w:p>
    <w:p w14:paraId="65C43B67" w14:textId="77777777" w:rsidR="00433517" w:rsidRDefault="003E0245" w:rsidP="00433517">
      <w:pPr>
        <w:rPr>
          <w:rFonts w:eastAsia="Times New Roman" w:cs="Times New Roman"/>
          <w:szCs w:val="24"/>
          <w:lang w:eastAsia="pt-BR"/>
        </w:rPr>
      </w:pPr>
      <w:r>
        <w:rPr>
          <w:rFonts w:eastAsia="Times New Roman" w:cs="Times New Roman"/>
          <w:szCs w:val="24"/>
          <w:lang w:eastAsia="pt-BR"/>
        </w:rPr>
        <w:t>Ausente, pois, propósito de colmatação e sendo evidente a pretensão de rediscussão da matéria, não se excogita o acolhimento do repto.</w:t>
      </w:r>
    </w:p>
    <w:p w14:paraId="75AEACCC" w14:textId="77777777" w:rsidR="00433517" w:rsidRDefault="00433517" w:rsidP="00433517">
      <w:pPr>
        <w:rPr>
          <w:rFonts w:eastAsia="Times New Roman" w:cs="Times New Roman"/>
          <w:szCs w:val="24"/>
          <w:lang w:eastAsia="pt-BR"/>
        </w:rPr>
      </w:pPr>
    </w:p>
    <w:p w14:paraId="661BD109" w14:textId="3427CB4A" w:rsidR="00AA28DF" w:rsidRPr="00433517" w:rsidRDefault="00C26293" w:rsidP="00433517">
      <w:pPr>
        <w:rPr>
          <w:rFonts w:eastAsia="Times New Roman" w:cs="Times New Roman"/>
          <w:szCs w:val="24"/>
          <w:lang w:eastAsia="pt-BR"/>
        </w:rPr>
      </w:pPr>
      <w:proofErr w:type="spellStart"/>
      <w:r>
        <w:t>II.III</w:t>
      </w:r>
      <w:proofErr w:type="spellEnd"/>
      <w:r>
        <w:t xml:space="preserve"> – </w:t>
      </w:r>
      <w:r w:rsidR="00AA28DF">
        <w:t>DA CONCLUSÃO</w:t>
      </w:r>
    </w:p>
    <w:p w14:paraId="542F3D1B" w14:textId="4608F805" w:rsidR="00AA28DF" w:rsidRDefault="00AA28DF" w:rsidP="0036224D">
      <w:pPr>
        <w:pStyle w:val="PargrafodaLista"/>
        <w:ind w:left="0"/>
        <w:contextualSpacing w:val="0"/>
      </w:pPr>
      <w:r>
        <w:t>Pela conjugação das premissas deduzidas, a conclusão a ser adota</w:t>
      </w:r>
      <w:r w:rsidR="00DC37B4">
        <w:t>da</w:t>
      </w:r>
      <w:r>
        <w:t xml:space="preserve"> consiste </w:t>
      </w:r>
      <w:r w:rsidR="004A08CD">
        <w:t>em</w:t>
      </w:r>
      <w:r w:rsidR="002932EC">
        <w:t xml:space="preserve"> julgar conhecidos e desprovidos os embargos.</w:t>
      </w:r>
    </w:p>
    <w:p w14:paraId="334811CC" w14:textId="77777777" w:rsidR="00AA28DF" w:rsidRDefault="00AA28DF" w:rsidP="0036224D">
      <w:pPr>
        <w:pStyle w:val="PargrafodaLista"/>
        <w:ind w:left="0"/>
        <w:contextualSpacing w:val="0"/>
      </w:pPr>
      <w:r>
        <w:t>É como voto.</w:t>
      </w:r>
    </w:p>
    <w:p w14:paraId="6EDF828B" w14:textId="77777777" w:rsidR="00AA28DF" w:rsidRDefault="00AA28DF" w:rsidP="0036224D">
      <w:pPr>
        <w:pStyle w:val="PargrafodaLista"/>
        <w:ind w:left="0"/>
        <w:contextualSpacing w:val="0"/>
      </w:pPr>
    </w:p>
    <w:p w14:paraId="0F9FFA9F" w14:textId="77777777" w:rsidR="00AA28DF" w:rsidRPr="00AA28DF" w:rsidRDefault="00877419" w:rsidP="0036224D">
      <w:pPr>
        <w:pStyle w:val="PargrafodaLista"/>
        <w:ind w:left="0"/>
        <w:contextualSpacing w:val="0"/>
        <w:rPr>
          <w:b/>
        </w:rPr>
      </w:pPr>
      <w:r>
        <w:rPr>
          <w:b/>
        </w:rPr>
        <w:t xml:space="preserve">III </w:t>
      </w:r>
      <w:r w:rsidR="00C26293">
        <w:rPr>
          <w:b/>
        </w:rPr>
        <w:t>–</w:t>
      </w:r>
      <w:r>
        <w:rPr>
          <w:b/>
        </w:rPr>
        <w:t xml:space="preserve"> DECISÃO</w:t>
      </w:r>
    </w:p>
    <w:sectPr w:rsidR="00AA28DF" w:rsidRPr="00AA28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81E31"/>
    <w:multiLevelType w:val="hybridMultilevel"/>
    <w:tmpl w:val="C55E378C"/>
    <w:lvl w:ilvl="0" w:tplc="99A60A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536962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942"/>
    <w:rsid w:val="00014739"/>
    <w:rsid w:val="000A02D3"/>
    <w:rsid w:val="000B0CEA"/>
    <w:rsid w:val="000C75ED"/>
    <w:rsid w:val="000D696F"/>
    <w:rsid w:val="000F7C48"/>
    <w:rsid w:val="00165C47"/>
    <w:rsid w:val="00171F24"/>
    <w:rsid w:val="00186392"/>
    <w:rsid w:val="001C4FB7"/>
    <w:rsid w:val="00240DA4"/>
    <w:rsid w:val="00274065"/>
    <w:rsid w:val="00280A9A"/>
    <w:rsid w:val="00284039"/>
    <w:rsid w:val="002932EC"/>
    <w:rsid w:val="003379B0"/>
    <w:rsid w:val="0034720E"/>
    <w:rsid w:val="0036224D"/>
    <w:rsid w:val="003C4B25"/>
    <w:rsid w:val="003E0245"/>
    <w:rsid w:val="00420374"/>
    <w:rsid w:val="004221BE"/>
    <w:rsid w:val="00432839"/>
    <w:rsid w:val="00433517"/>
    <w:rsid w:val="00475F17"/>
    <w:rsid w:val="00493232"/>
    <w:rsid w:val="004A08CD"/>
    <w:rsid w:val="00506D1F"/>
    <w:rsid w:val="00672942"/>
    <w:rsid w:val="0069287C"/>
    <w:rsid w:val="006A35C5"/>
    <w:rsid w:val="0076067E"/>
    <w:rsid w:val="007B6267"/>
    <w:rsid w:val="00824DFB"/>
    <w:rsid w:val="008759F2"/>
    <w:rsid w:val="00877419"/>
    <w:rsid w:val="008B68CD"/>
    <w:rsid w:val="008D41CB"/>
    <w:rsid w:val="00906848"/>
    <w:rsid w:val="009502B2"/>
    <w:rsid w:val="009B4C96"/>
    <w:rsid w:val="00A74FC6"/>
    <w:rsid w:val="00A867C5"/>
    <w:rsid w:val="00AA28DF"/>
    <w:rsid w:val="00AE14AD"/>
    <w:rsid w:val="00AE47D1"/>
    <w:rsid w:val="00B75F30"/>
    <w:rsid w:val="00C13AD0"/>
    <w:rsid w:val="00C26293"/>
    <w:rsid w:val="00C66B4D"/>
    <w:rsid w:val="00C8549F"/>
    <w:rsid w:val="00C95DCD"/>
    <w:rsid w:val="00DC37B4"/>
    <w:rsid w:val="00DD2E61"/>
    <w:rsid w:val="00E6558C"/>
    <w:rsid w:val="00EB5974"/>
    <w:rsid w:val="00FF2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782D3"/>
  <w15:chartTrackingRefBased/>
  <w15:docId w15:val="{E71B5493-078B-43B1-8B3D-80B00A759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C47"/>
    <w:pPr>
      <w:spacing w:after="240" w:line="360" w:lineRule="auto"/>
      <w:ind w:firstLine="709"/>
      <w:jc w:val="both"/>
    </w:pPr>
    <w:rPr>
      <w:rFonts w:ascii="Times New Roman" w:hAnsi="Times New Roman"/>
      <w:sz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tulodoLivro">
    <w:name w:val="Book Title"/>
    <w:aliases w:val="Titulo 1"/>
    <w:basedOn w:val="Fontepargpadro"/>
    <w:uiPriority w:val="33"/>
    <w:qFormat/>
    <w:rsid w:val="00165C47"/>
    <w:rPr>
      <w:rFonts w:ascii="Times New Roman" w:hAnsi="Times New Roman"/>
      <w:b/>
      <w:bCs/>
      <w:i w:val="0"/>
      <w:iCs/>
      <w:spacing w:val="5"/>
      <w:sz w:val="24"/>
    </w:rPr>
  </w:style>
  <w:style w:type="paragraph" w:styleId="SemEspaamento">
    <w:name w:val="No Spacing"/>
    <w:aliases w:val="Ementa"/>
    <w:uiPriority w:val="1"/>
    <w:qFormat/>
    <w:rsid w:val="00165C47"/>
    <w:pPr>
      <w:spacing w:after="360" w:line="360" w:lineRule="auto"/>
      <w:jc w:val="both"/>
    </w:pPr>
    <w:rPr>
      <w:rFonts w:ascii="Times New Roman" w:hAnsi="Times New Roman"/>
      <w:b/>
      <w:caps/>
      <w:sz w:val="24"/>
    </w:rPr>
  </w:style>
  <w:style w:type="paragraph" w:styleId="Citao">
    <w:name w:val="Quote"/>
    <w:basedOn w:val="Normal"/>
    <w:next w:val="Normal"/>
    <w:link w:val="CitaoChar"/>
    <w:uiPriority w:val="29"/>
    <w:qFormat/>
    <w:rsid w:val="00165C47"/>
    <w:pPr>
      <w:shd w:val="clear" w:color="auto" w:fill="FFFFFF"/>
      <w:spacing w:before="600" w:after="600"/>
      <w:ind w:left="2268"/>
    </w:pPr>
    <w:rPr>
      <w:rFonts w:eastAsia="Times New Roman" w:cs="Times New Roman"/>
      <w:spacing w:val="2"/>
      <w:sz w:val="20"/>
      <w:szCs w:val="30"/>
      <w:lang w:eastAsia="pt-BR"/>
    </w:rPr>
  </w:style>
  <w:style w:type="character" w:customStyle="1" w:styleId="CitaoChar">
    <w:name w:val="Citação Char"/>
    <w:basedOn w:val="Fontepargpadro"/>
    <w:link w:val="Citao"/>
    <w:uiPriority w:val="29"/>
    <w:rsid w:val="00165C47"/>
    <w:rPr>
      <w:rFonts w:ascii="Times New Roman" w:eastAsia="Times New Roman" w:hAnsi="Times New Roman" w:cs="Times New Roman"/>
      <w:spacing w:val="2"/>
      <w:sz w:val="20"/>
      <w:szCs w:val="30"/>
      <w:shd w:val="clear" w:color="auto" w:fill="FFFFFF"/>
      <w:lang w:eastAsia="pt-BR"/>
    </w:rPr>
  </w:style>
  <w:style w:type="paragraph" w:styleId="PargrafodaLista">
    <w:name w:val="List Paragraph"/>
    <w:basedOn w:val="Normal"/>
    <w:uiPriority w:val="34"/>
    <w:qFormat/>
    <w:rsid w:val="00AA28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1c8c71-5c14-46ef-9c85-f6af5a95de9b" xsi:nil="true"/>
    <lcf76f155ced4ddcb4097134ff3c332f xmlns="c04bd5eb-5da3-4c78-b159-2bc8443a634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10" ma:contentTypeDescription="Crie um novo documento." ma:contentTypeScope="" ma:versionID="643d9fb435752e3d6862488196d3e0f5">
  <xsd:schema xmlns:xsd="http://www.w3.org/2001/XMLSchema" xmlns:xs="http://www.w3.org/2001/XMLSchema" xmlns:p="http://schemas.microsoft.com/office/2006/metadata/properties" xmlns:ns2="c04bd5eb-5da3-4c78-b159-2bc8443a6345" xmlns:ns3="0b1c8c71-5c14-46ef-9c85-f6af5a95de9b" targetNamespace="http://schemas.microsoft.com/office/2006/metadata/properties" ma:root="true" ma:fieldsID="78acd22a2cf20e79878f507866f50da0" ns2:_="" ns3:_="">
    <xsd:import namespace="c04bd5eb-5da3-4c78-b159-2bc8443a6345"/>
    <xsd:import namespace="0b1c8c71-5c14-46ef-9c85-f6af5a95d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bd5eb-5da3-4c78-b159-2bc8443a63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7eaf0a-f2cb-4adb-8ec3-a80bcab9d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c8c71-5c14-46ef-9c85-f6af5a95de9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4af078-3d5b-4a80-9ae6-49a763dfa133}" ma:internalName="TaxCatchAll" ma:showField="CatchAllData" ma:web="0b1c8c71-5c14-46ef-9c85-f6af5a95de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F53F0E5-1DBD-4F0E-94C2-57C5926DC24F}">
  <ds:schemaRefs>
    <ds:schemaRef ds:uri="http://schemas.microsoft.com/office/2006/metadata/properties"/>
    <ds:schemaRef ds:uri="http://schemas.microsoft.com/office/infopath/2007/PartnerControls"/>
    <ds:schemaRef ds:uri="0b1c8c71-5c14-46ef-9c85-f6af5a95de9b"/>
    <ds:schemaRef ds:uri="c04bd5eb-5da3-4c78-b159-2bc8443a6345"/>
  </ds:schemaRefs>
</ds:datastoreItem>
</file>

<file path=customXml/itemProps2.xml><?xml version="1.0" encoding="utf-8"?>
<ds:datastoreItem xmlns:ds="http://schemas.openxmlformats.org/officeDocument/2006/customXml" ds:itemID="{5055661B-6A47-4EE7-8E4E-AF060A2E416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BFFC480-0BA3-4F80-A9A0-3C180AD5F1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4bd5eb-5da3-4c78-b159-2bc8443a6345"/>
    <ds:schemaRef ds:uri="0b1c8c71-5c14-46ef-9c85-f6af5a95de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</Pages>
  <Words>1211</Words>
  <Characters>6542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Tribunal de Justiça do Estado do Paraná</Company>
  <LinksUpToDate>false</LinksUpToDate>
  <CharactersWithSpaces>7738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Cleysson Willian Vilaca de Jesus</dc:creator>
  <cp:keywords/>
  <dc:description/>
  <cp:lastModifiedBy>Cleysson Willian Vilaca de Jesus</cp:lastModifiedBy>
  <cp:revision>50</cp:revision>
  <dcterms:created xsi:type="dcterms:W3CDTF">2024-02-08T17:42:00Z</dcterms:created>
  <dcterms:modified xsi:type="dcterms:W3CDTF">2025-10-01T20:33:00Z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Order">
    <vt:r8>323000</vt:r8>
  </property>
  <property fmtid="{D5CDD505-2E9C-101B-9397-08002B2CF9AE}" pid="4" name="MediaServiceImageTags">
    <vt:lpwstr/>
  </property>
</Properties>
</file>