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22E4" w:rsidP="163E2A73" w:rsidRDefault="00146748" w14:paraId="424DC5B2" w14:textId="1E65458B" w14:noSpellErr="1">
      <w:pPr>
        <w:ind w:firstLine="0"/>
        <w:jc w:val="both"/>
        <w:rPr>
          <w:b w:val="1"/>
          <w:bCs w:val="1"/>
        </w:rPr>
      </w:pPr>
      <w:r w:rsidRPr="163E2A73" w:rsidR="00146748">
        <w:rPr>
          <w:b w:val="1"/>
          <w:bCs w:val="1"/>
        </w:rPr>
        <w:t xml:space="preserve">DIREITO </w:t>
      </w:r>
      <w:r w:rsidRPr="163E2A73" w:rsidR="00973737">
        <w:rPr>
          <w:b w:val="1"/>
          <w:bCs w:val="1"/>
        </w:rPr>
        <w:t xml:space="preserve">CIVIL E </w:t>
      </w:r>
      <w:r w:rsidRPr="163E2A73" w:rsidR="00146748">
        <w:rPr>
          <w:b w:val="1"/>
          <w:bCs w:val="1"/>
        </w:rPr>
        <w:t xml:space="preserve">PROCESSUAL CIVIL. </w:t>
      </w:r>
      <w:r w:rsidRPr="163E2A73" w:rsidR="0012055C">
        <w:rPr>
          <w:b w:val="1"/>
          <w:bCs w:val="1"/>
        </w:rPr>
        <w:t>APELAÇÃO CÍVEL.</w:t>
      </w:r>
      <w:r w:rsidRPr="163E2A73" w:rsidR="00C72958">
        <w:rPr>
          <w:b w:val="1"/>
          <w:bCs w:val="1"/>
        </w:rPr>
        <w:t xml:space="preserve"> PROPRIEDADE. MÁQUINA INDUSTRIAL. NOTA FISCAL. FINANCIAMENTO. ÔNUS DA PROVA.</w:t>
      </w:r>
    </w:p>
    <w:p w:rsidR="00146748" w:rsidP="00C72958" w:rsidRDefault="00146748" w14:paraId="153FB66C" w14:textId="55E0CF7A">
      <w:pPr>
        <w:ind w:firstLine="0"/>
        <w:rPr>
          <w:b/>
        </w:rPr>
      </w:pPr>
      <w:r w:rsidRPr="00146748">
        <w:rPr>
          <w:b/>
        </w:rPr>
        <w:t>I. CASO EM EXAME</w:t>
      </w:r>
    </w:p>
    <w:p w:rsidRPr="00146748" w:rsidR="00C72958" w:rsidP="00C72958" w:rsidRDefault="00E65819" w14:paraId="08A969A0" w14:textId="006C5443">
      <w:pPr>
        <w:ind w:firstLine="0"/>
        <w:rPr>
          <w:b/>
        </w:rPr>
      </w:pPr>
      <w:r>
        <w:rPr>
          <w:b/>
        </w:rPr>
        <w:t xml:space="preserve">Recurso de apelação interposto contra sentença que julgou procedente o pedido autoral, reconhecendo a propriedade </w:t>
      </w:r>
      <w:r w:rsidR="00F77424">
        <w:rPr>
          <w:b/>
        </w:rPr>
        <w:t>sobre máquina industrial e determinando a entrega à autora.</w:t>
      </w:r>
    </w:p>
    <w:p w:rsidRPr="00146748" w:rsidR="00146748" w:rsidP="00C72958" w:rsidRDefault="00146748" w14:paraId="02435230" w14:textId="07D4FE09">
      <w:pPr>
        <w:ind w:firstLine="0"/>
        <w:rPr>
          <w:b/>
        </w:rPr>
      </w:pPr>
      <w:r w:rsidRPr="00146748">
        <w:rPr>
          <w:b/>
        </w:rPr>
        <w:t>II. QUEST</w:t>
      </w:r>
      <w:r w:rsidR="00F77424">
        <w:rPr>
          <w:b/>
        </w:rPr>
        <w:t xml:space="preserve">ÕES </w:t>
      </w:r>
      <w:r w:rsidRPr="00146748">
        <w:rPr>
          <w:b/>
        </w:rPr>
        <w:t>EM DISCUSSÃO</w:t>
      </w:r>
    </w:p>
    <w:p w:rsidR="009C27CF" w:rsidP="00C72958" w:rsidRDefault="00F77424" w14:paraId="502A8A63" w14:textId="3EA19899">
      <w:pPr>
        <w:pStyle w:val="PargrafodaLista"/>
        <w:ind w:left="0" w:firstLine="0"/>
        <w:contextualSpacing w:val="0"/>
        <w:rPr>
          <w:b/>
        </w:rPr>
      </w:pPr>
      <w:r w:rsidRPr="009C27CF">
        <w:rPr>
          <w:b/>
        </w:rPr>
        <w:t xml:space="preserve">II.I. </w:t>
      </w:r>
      <w:r w:rsidR="009C27CF">
        <w:rPr>
          <w:b/>
        </w:rPr>
        <w:t>Definição da propriedade de máquina industrial</w:t>
      </w:r>
      <w:r w:rsidR="006A4BDA">
        <w:rPr>
          <w:b/>
        </w:rPr>
        <w:t>, objeto do litígio, à luz da prova testemunhal e documental produzidas pelas partes.</w:t>
      </w:r>
    </w:p>
    <w:p w:rsidR="004E22E4" w:rsidP="00C72958" w:rsidRDefault="00F77424" w14:paraId="420272DF" w14:textId="209BCA0B">
      <w:pPr>
        <w:ind w:firstLine="0"/>
        <w:rPr>
          <w:b/>
        </w:rPr>
      </w:pPr>
      <w:r w:rsidRPr="009C27CF">
        <w:rPr>
          <w:b/>
        </w:rPr>
        <w:t>II.II</w:t>
      </w:r>
      <w:r w:rsidR="007B0459">
        <w:rPr>
          <w:b/>
        </w:rPr>
        <w:t>. Minoração dos honorários advocatícios de sucumbência.</w:t>
      </w:r>
    </w:p>
    <w:p w:rsidR="00F77424" w:rsidP="00F77424" w:rsidRDefault="00146748" w14:paraId="55E399DF" w14:textId="77777777">
      <w:pPr>
        <w:ind w:firstLine="0"/>
        <w:rPr>
          <w:b/>
        </w:rPr>
      </w:pPr>
      <w:r w:rsidRPr="00146748">
        <w:rPr>
          <w:b/>
        </w:rPr>
        <w:t>III. RAZÕES DE DECIDIR</w:t>
      </w:r>
    </w:p>
    <w:p w:rsidR="00EF28F9" w:rsidP="00F77424" w:rsidRDefault="00EF28F9" w14:paraId="4895C73D" w14:textId="303767CF">
      <w:pPr>
        <w:ind w:firstLine="0"/>
        <w:rPr>
          <w:b/>
        </w:rPr>
      </w:pPr>
      <w:r>
        <w:rPr>
          <w:b/>
        </w:rPr>
        <w:t>II</w:t>
      </w:r>
      <w:r w:rsidR="00762513">
        <w:rPr>
          <w:b/>
        </w:rPr>
        <w:t xml:space="preserve">.I. A pessoa jurídica, </w:t>
      </w:r>
      <w:r w:rsidR="00D658F7">
        <w:rPr>
          <w:b/>
        </w:rPr>
        <w:t>instrumento jurídico de segregação e alocação patrimonial, não se confunde com a pessoa do sócio.</w:t>
      </w:r>
    </w:p>
    <w:p w:rsidR="00CD451F" w:rsidP="00F77424" w:rsidRDefault="00EF28F9" w14:paraId="76670EEC" w14:textId="2DCE77A2">
      <w:pPr>
        <w:ind w:firstLine="0"/>
        <w:rPr>
          <w:b/>
        </w:rPr>
      </w:pPr>
      <w:r>
        <w:rPr>
          <w:b/>
        </w:rPr>
        <w:t xml:space="preserve">II.II. </w:t>
      </w:r>
      <w:r w:rsidR="00CD451F">
        <w:rPr>
          <w:b/>
        </w:rPr>
        <w:t>A nota fiscal, representativa do negócio jurídico</w:t>
      </w:r>
      <w:r w:rsidR="006A2C65">
        <w:rPr>
          <w:b/>
        </w:rPr>
        <w:t xml:space="preserve"> de compra e venda</w:t>
      </w:r>
      <w:r w:rsidR="00CD451F">
        <w:rPr>
          <w:b/>
        </w:rPr>
        <w:t xml:space="preserve">, em cotejo com contrato de financiamento com cláusula de alienação fiduciária, ratificados por prova testemunhal, </w:t>
      </w:r>
      <w:r w:rsidR="006A2C65">
        <w:rPr>
          <w:b/>
        </w:rPr>
        <w:t xml:space="preserve">comprovam a aquisição e propriedade </w:t>
      </w:r>
      <w:r>
        <w:rPr>
          <w:b/>
        </w:rPr>
        <w:t xml:space="preserve">da </w:t>
      </w:r>
      <w:r w:rsidR="006A2C65">
        <w:rPr>
          <w:b/>
        </w:rPr>
        <w:t>coisa móvel.</w:t>
      </w:r>
    </w:p>
    <w:p w:rsidRPr="00F77424" w:rsidR="004E22E4" w:rsidP="00F77424" w:rsidRDefault="00D658F7" w14:paraId="1AF99F7F" w14:textId="571F4A1C">
      <w:pPr>
        <w:ind w:firstLine="0"/>
        <w:rPr>
          <w:b/>
        </w:rPr>
      </w:pPr>
      <w:proofErr w:type="spellStart"/>
      <w:r>
        <w:rPr>
          <w:b/>
        </w:rPr>
        <w:t>II.III</w:t>
      </w:r>
      <w:proofErr w:type="spellEnd"/>
      <w:r>
        <w:rPr>
          <w:b/>
        </w:rPr>
        <w:t xml:space="preserve">. Os honorários de sucumbência subordinam-se aos limites </w:t>
      </w:r>
      <w:r w:rsidR="00931457">
        <w:rPr>
          <w:b/>
        </w:rPr>
        <w:t>mínimo e máximo de 10% (dez por cento) e 20% (vinte por cento), por expressa previsão legal.</w:t>
      </w:r>
    </w:p>
    <w:p w:rsidRPr="00146748" w:rsidR="00146748" w:rsidP="00146748" w:rsidRDefault="00146748" w14:paraId="6AF28E16" w14:textId="10D179F6">
      <w:pPr>
        <w:ind w:firstLine="0"/>
        <w:rPr>
          <w:b/>
        </w:rPr>
      </w:pPr>
      <w:r w:rsidRPr="00146748">
        <w:rPr>
          <w:b/>
        </w:rPr>
        <w:t>IV. SOLUÇÃO DO CASO</w:t>
      </w:r>
    </w:p>
    <w:p w:rsidRPr="00146748" w:rsidR="00146748" w:rsidP="00146748" w:rsidRDefault="00146748" w14:paraId="7641D84D" w14:textId="396585EA">
      <w:pPr>
        <w:ind w:firstLine="0"/>
        <w:rPr>
          <w:b/>
        </w:rPr>
      </w:pPr>
      <w:r w:rsidRPr="00146748">
        <w:rPr>
          <w:b/>
        </w:rPr>
        <w:t>Recurso</w:t>
      </w:r>
      <w:r w:rsidR="004E22E4">
        <w:rPr>
          <w:b/>
        </w:rPr>
        <w:t xml:space="preserve"> conhecido e desprovido.</w:t>
      </w:r>
    </w:p>
    <w:p w:rsidR="00146748" w:rsidP="00146748" w:rsidRDefault="00146748" w14:paraId="34905683" w14:textId="2AE4CE78">
      <w:pPr>
        <w:ind w:firstLine="0"/>
        <w:rPr>
          <w:b/>
        </w:rPr>
      </w:pPr>
      <w:r w:rsidRPr="00146748">
        <w:rPr>
          <w:b/>
        </w:rPr>
        <w:t>V. JURISPRUDÊNCIA E LEGISLAÇÃO UTILIZADAS</w:t>
      </w:r>
    </w:p>
    <w:p w:rsidR="001C2D4C" w:rsidP="00146748" w:rsidRDefault="001C2D4C" w14:paraId="206717D3" w14:textId="77777777">
      <w:pPr>
        <w:ind w:firstLine="0"/>
        <w:rPr>
          <w:b/>
        </w:rPr>
      </w:pPr>
      <w:r>
        <w:rPr>
          <w:b/>
        </w:rPr>
        <w:t>V. I. Legislação</w:t>
      </w:r>
    </w:p>
    <w:p w:rsidR="004E22E4" w:rsidP="00146748" w:rsidRDefault="004E22E4" w14:paraId="143FCAF8" w14:textId="1317A81A">
      <w:pPr>
        <w:ind w:firstLine="0"/>
        <w:rPr>
          <w:b/>
        </w:rPr>
      </w:pPr>
      <w:r>
        <w:rPr>
          <w:b/>
        </w:rPr>
        <w:t xml:space="preserve">CC: art. </w:t>
      </w:r>
      <w:proofErr w:type="spellStart"/>
      <w:r>
        <w:rPr>
          <w:b/>
        </w:rPr>
        <w:t>49-A</w:t>
      </w:r>
      <w:proofErr w:type="spellEnd"/>
      <w:r>
        <w:rPr>
          <w:b/>
        </w:rPr>
        <w:t>.</w:t>
      </w:r>
    </w:p>
    <w:p w:rsidRPr="00146748" w:rsidR="001C2D4C" w:rsidP="00146748" w:rsidRDefault="004E22E4" w14:paraId="732B8BE8" w14:textId="3C9F3060">
      <w:pPr>
        <w:ind w:firstLine="0"/>
        <w:rPr>
          <w:b/>
        </w:rPr>
      </w:pPr>
      <w:r>
        <w:rPr>
          <w:b/>
        </w:rPr>
        <w:t xml:space="preserve">CPC: </w:t>
      </w:r>
      <w:r w:rsidR="007B0459">
        <w:rPr>
          <w:b/>
        </w:rPr>
        <w:t xml:space="preserve">art. 85, § 2º; </w:t>
      </w:r>
      <w:r w:rsidR="008D7921">
        <w:rPr>
          <w:b/>
        </w:rPr>
        <w:t>art. 373, I; art. 373, II.</w:t>
      </w:r>
    </w:p>
    <w:p w:rsidR="004E22E4" w:rsidP="004E22E4" w:rsidRDefault="001C2D4C" w14:paraId="1BA92075" w14:textId="77777777">
      <w:pPr>
        <w:ind w:firstLine="0"/>
        <w:rPr>
          <w:b/>
        </w:rPr>
      </w:pPr>
      <w:r>
        <w:rPr>
          <w:b/>
        </w:rPr>
        <w:t xml:space="preserve">V. II. </w:t>
      </w:r>
      <w:r w:rsidRPr="00146748" w:rsidR="00146748">
        <w:rPr>
          <w:b/>
        </w:rPr>
        <w:t>Jurisprudência</w:t>
      </w:r>
    </w:p>
    <w:p w:rsidR="004E22E4" w:rsidP="004E22E4" w:rsidRDefault="004E22E4" w14:paraId="109FC0A4" w14:textId="77777777">
      <w:pPr>
        <w:ind w:firstLine="0"/>
        <w:rPr>
          <w:b/>
        </w:rPr>
      </w:pPr>
      <w:proofErr w:type="spellStart"/>
      <w:r w:rsidRPr="004E22E4">
        <w:rPr>
          <w:b/>
        </w:rPr>
        <w:t>TJPR</w:t>
      </w:r>
      <w:proofErr w:type="spellEnd"/>
      <w:r w:rsidRPr="004E22E4">
        <w:rPr>
          <w:b/>
        </w:rPr>
        <w:t xml:space="preserve">. 17ª Câmara Cível. Relator: Desembargador Mário Luiz </w:t>
      </w:r>
      <w:proofErr w:type="spellStart"/>
      <w:r w:rsidRPr="004E22E4">
        <w:rPr>
          <w:b/>
        </w:rPr>
        <w:t>Ramidoff</w:t>
      </w:r>
      <w:proofErr w:type="spellEnd"/>
      <w:r w:rsidRPr="004E22E4">
        <w:rPr>
          <w:b/>
        </w:rPr>
        <w:t>. 0003914-81.2021.8.16.0045. Arapongas. Data de julgamento: 02-06-2025.</w:t>
      </w:r>
    </w:p>
    <w:p w:rsidR="00BB32E0" w:rsidP="004E22E4" w:rsidRDefault="00BB32E0" w14:paraId="3A16F167" w14:textId="7D761F24">
      <w:pPr>
        <w:ind w:firstLine="0"/>
        <w:rPr>
          <w:b/>
        </w:rPr>
      </w:pPr>
      <w:r w:rsidRPr="00BB32E0">
        <w:rPr>
          <w:b/>
        </w:rPr>
        <w:t>STJ. Segunda Seção. Relatora: Ministra Nancy Andrighi. Relator para o acórdão: Ministro Raul Araújo. REsp n. 1.746.072/PR. Data de julgamento: 13-2-2019. Data de publicação: 29-3-2019</w:t>
      </w:r>
      <w:r>
        <w:rPr>
          <w:b/>
        </w:rPr>
        <w:t>.</w:t>
      </w:r>
    </w:p>
    <w:p w:rsidR="004E22E4" w:rsidP="004E22E4" w:rsidRDefault="004E22E4" w14:paraId="41FA8B99" w14:textId="77777777">
      <w:pPr>
        <w:ind w:firstLine="0"/>
        <w:rPr>
          <w:b/>
        </w:rPr>
      </w:pPr>
    </w:p>
    <w:p w:rsidRPr="004E22E4" w:rsidR="00AA28DF" w:rsidP="004E22E4" w:rsidRDefault="00AA28DF" w14:paraId="4F2D2C21" w14:textId="5BAE1F7B">
      <w:pPr>
        <w:ind w:firstLine="708"/>
        <w:rPr>
          <w:b/>
        </w:rPr>
      </w:pPr>
      <w:r w:rsidRPr="004E22E4">
        <w:rPr>
          <w:b/>
        </w:rPr>
        <w:t>I – RELATÓRIO</w:t>
      </w:r>
    </w:p>
    <w:p w:rsidR="00AA28DF" w:rsidP="00FC5300" w:rsidRDefault="00AA28DF" w14:paraId="6C6E3083" w14:textId="3E8316A3">
      <w:pPr>
        <w:pStyle w:val="PargrafodaLista"/>
        <w:ind w:left="0"/>
        <w:contextualSpacing w:val="0"/>
      </w:pPr>
      <w:r>
        <w:t xml:space="preserve">Cuida-se de </w:t>
      </w:r>
      <w:r w:rsidR="00FC5300">
        <w:t xml:space="preserve">recurso de apelação interposto por </w:t>
      </w:r>
      <w:proofErr w:type="spellStart"/>
      <w:r w:rsidR="00FC5300">
        <w:t>Formetal</w:t>
      </w:r>
      <w:proofErr w:type="spellEnd"/>
      <w:r w:rsidR="00FC5300">
        <w:t xml:space="preserve"> </w:t>
      </w:r>
      <w:r w:rsidR="007D2419">
        <w:t xml:space="preserve">Indústria de Aquecedores Ltda. em face de </w:t>
      </w:r>
      <w:proofErr w:type="spellStart"/>
      <w:r w:rsidR="007D2419">
        <w:t>EZ</w:t>
      </w:r>
      <w:proofErr w:type="spellEnd"/>
      <w:r w:rsidR="007D2419">
        <w:t xml:space="preserve"> Manutenção Ltda., tendo como objeto sentença proferida pelo juízo da </w:t>
      </w:r>
      <w:r w:rsidR="003D229E">
        <w:t>Vara Cível de Matelândia, que</w:t>
      </w:r>
      <w:r w:rsidR="003F373C">
        <w:t xml:space="preserve"> reconheceu a propriedade da apelada e</w:t>
      </w:r>
      <w:r w:rsidR="003D229E">
        <w:t xml:space="preserve"> </w:t>
      </w:r>
      <w:r w:rsidR="00934339">
        <w:t>condenou a apelante à obrigação de fazer consistente na entrega</w:t>
      </w:r>
      <w:r w:rsidR="003F373C">
        <w:t xml:space="preserve"> do respectivo </w:t>
      </w:r>
      <w:r w:rsidR="00AD7146">
        <w:t>equipamento industrial</w:t>
      </w:r>
      <w:r w:rsidR="003F373C">
        <w:t xml:space="preserve"> </w:t>
      </w:r>
      <w:r w:rsidR="00AD7146">
        <w:t>(evento 137.1 – autos de origem).</w:t>
      </w:r>
    </w:p>
    <w:p w:rsidR="005D0281" w:rsidP="006C2542" w:rsidRDefault="003F373C" w14:paraId="7CEEF4B8" w14:textId="0BE3F325">
      <w:pPr>
        <w:pStyle w:val="PargrafodaLista"/>
        <w:ind w:left="0"/>
        <w:contextualSpacing w:val="0"/>
      </w:pPr>
      <w:r>
        <w:t>Eis, em síntese, as razões de inconformismo:</w:t>
      </w:r>
      <w:r w:rsidR="000A4440">
        <w:t xml:space="preserve"> a) a emissão da nota fiscal à </w:t>
      </w:r>
      <w:proofErr w:type="spellStart"/>
      <w:r w:rsidR="000A4440">
        <w:t>EZ</w:t>
      </w:r>
      <w:proofErr w:type="spellEnd"/>
      <w:r w:rsidR="000A4440">
        <w:t xml:space="preserve"> Manutenção Ltda. ocorreu porque </w:t>
      </w:r>
      <w:r w:rsidR="009B14DB">
        <w:t xml:space="preserve">a </w:t>
      </w:r>
      <w:proofErr w:type="spellStart"/>
      <w:r w:rsidR="009B14DB">
        <w:t>Formetal</w:t>
      </w:r>
      <w:proofErr w:type="spellEnd"/>
      <w:r w:rsidR="009B14DB">
        <w:t xml:space="preserve"> Indústria de Aquecedores Ltda., verdadeira adquirente, não possuía lastro </w:t>
      </w:r>
      <w:r w:rsidR="008A72E4">
        <w:t xml:space="preserve">de crédito para a operação; b) o maquinário foi instalado no estabelecimento comercial da apelante </w:t>
      </w:r>
      <w:r w:rsidR="00F015A2">
        <w:t xml:space="preserve">e utilizado, com exclusividade, para o desempenho de suas atividades econômicas; c) o pagamento das parcelas da operação financeira para a aquisição do equipamento foram realizados pela </w:t>
      </w:r>
      <w:proofErr w:type="spellStart"/>
      <w:r w:rsidR="00F015A2">
        <w:t>Formental</w:t>
      </w:r>
      <w:proofErr w:type="spellEnd"/>
      <w:r w:rsidR="00F015A2">
        <w:t xml:space="preserve"> Indústria de Aquecedores Ltda.; d) </w:t>
      </w:r>
      <w:r w:rsidR="0060450A">
        <w:t xml:space="preserve">Ezequiel Alves Barbosa retirou-se da </w:t>
      </w:r>
      <w:proofErr w:type="spellStart"/>
      <w:r w:rsidR="0060450A">
        <w:t>Formetal</w:t>
      </w:r>
      <w:proofErr w:type="spellEnd"/>
      <w:r w:rsidR="0060450A">
        <w:t xml:space="preserve"> Indústria de Aquecedores Ltda. </w:t>
      </w:r>
      <w:r w:rsidR="00B47B30">
        <w:t>dando plena quitação de seus direitos sobre as quotas sociais e, por consectário, sobre o</w:t>
      </w:r>
      <w:r w:rsidR="00624A4A">
        <w:t>s direitos patrimoniais correlatos</w:t>
      </w:r>
      <w:r w:rsidR="00552B1B">
        <w:t xml:space="preserve">; e) os honorários de sucumbência devem ser reduzidos para </w:t>
      </w:r>
      <w:r w:rsidR="00E3222A">
        <w:t>2% (dois por cento) do valor da causa</w:t>
      </w:r>
      <w:r w:rsidR="00624A4A">
        <w:t xml:space="preserve"> (evento </w:t>
      </w:r>
      <w:r w:rsidR="001540E6">
        <w:t>142.1 – autos de origem)</w:t>
      </w:r>
      <w:r w:rsidR="006C2542">
        <w:t>.</w:t>
      </w:r>
    </w:p>
    <w:p w:rsidR="006C2542" w:rsidP="006C2542" w:rsidRDefault="006C2542" w14:paraId="033555B8" w14:textId="53297405">
      <w:pPr>
        <w:pStyle w:val="PargrafodaLista"/>
        <w:ind w:left="0"/>
        <w:contextualSpacing w:val="0"/>
      </w:pPr>
      <w:r>
        <w:t>Nas contrarrazões, a apelada argumentou que:</w:t>
      </w:r>
      <w:r w:rsidR="00082C1B">
        <w:t xml:space="preserve"> a) realizou a compra da máquina em seu nome</w:t>
      </w:r>
      <w:r w:rsidR="00075786">
        <w:t xml:space="preserve">, sendo a legítima proprietária; b) </w:t>
      </w:r>
      <w:r w:rsidR="006F0CFC">
        <w:t>não houve demonstração de fato impeditivo, modificativo ou extintivo de seu direito</w:t>
      </w:r>
      <w:r w:rsidR="00490E14">
        <w:t>; c) os honorários advocatícios não podem suplantar o limite mínimo de 10% (dez por cento)</w:t>
      </w:r>
      <w:r w:rsidR="006F0CFC">
        <w:t xml:space="preserve"> (evento </w:t>
      </w:r>
      <w:r w:rsidR="00233EFA">
        <w:t>152.1 – autos de origem).</w:t>
      </w:r>
    </w:p>
    <w:p w:rsidR="00AA28DF" w:rsidP="006C2542" w:rsidRDefault="006C2542" w14:paraId="5A480162" w14:textId="4757827A">
      <w:pPr>
        <w:pStyle w:val="PargrafodaLista"/>
        <w:ind w:left="0"/>
        <w:contextualSpacing w:val="0"/>
      </w:pPr>
      <w:r>
        <w:t>É</w:t>
      </w:r>
      <w:r w:rsidR="00AA28DF">
        <w:t xml:space="preserve"> o necessário relato.</w:t>
      </w:r>
    </w:p>
    <w:p w:rsidR="00AA28DF" w:rsidP="00877419" w:rsidRDefault="00AA28DF" w14:paraId="1769E6BE" w14:textId="77777777">
      <w:pPr>
        <w:pStyle w:val="PargrafodaLista"/>
        <w:ind w:left="0"/>
        <w:contextualSpacing w:val="0"/>
      </w:pPr>
    </w:p>
    <w:p w:rsidRPr="00AA28DF" w:rsidR="00AA28DF" w:rsidP="00877419" w:rsidRDefault="00AA28DF" w14:paraId="54C5CE34" w14:textId="77777777">
      <w:pPr>
        <w:pStyle w:val="PargrafodaLista"/>
        <w:ind w:left="0"/>
        <w:contextualSpacing w:val="0"/>
        <w:rPr>
          <w:b/>
        </w:rPr>
      </w:pPr>
      <w:r w:rsidRPr="00AA28DF">
        <w:rPr>
          <w:b/>
        </w:rPr>
        <w:t>II – VOTO E SUA FUNDAMENTAÇÃO</w:t>
      </w:r>
    </w:p>
    <w:p w:rsidR="00AA28DF" w:rsidP="00877419" w:rsidRDefault="00AA28DF" w14:paraId="43849029" w14:textId="77777777">
      <w:pPr>
        <w:pStyle w:val="PargrafodaLista"/>
        <w:ind w:left="0"/>
        <w:contextualSpacing w:val="0"/>
      </w:pPr>
      <w:r>
        <w:t>II.I – DO JUÍZO DE ADMISSIBILIDADE</w:t>
      </w:r>
    </w:p>
    <w:p w:rsidR="00A96BCF" w:rsidP="00877419" w:rsidRDefault="00A96BCF" w14:paraId="425ED1C7" w14:textId="4E415387">
      <w:pPr>
        <w:pStyle w:val="PargrafodaLista"/>
        <w:ind w:left="0"/>
        <w:contextualSpacing w:val="0"/>
      </w:pPr>
      <w:r>
        <w:t>Satisfeitos os pressupostos de admissibilidade, conhece-se do recurso interposto.</w:t>
      </w:r>
    </w:p>
    <w:p w:rsidR="00A96BCF" w:rsidP="00877419" w:rsidRDefault="00A96BCF" w14:paraId="79122F61" w14:textId="77777777">
      <w:pPr>
        <w:pStyle w:val="PargrafodaLista"/>
        <w:ind w:left="0"/>
        <w:contextualSpacing w:val="0"/>
      </w:pPr>
    </w:p>
    <w:p w:rsidR="00994D63" w:rsidP="00994D63" w:rsidRDefault="00A96BCF" w14:paraId="4267DEBB" w14:textId="3A137A95">
      <w:pPr>
        <w:pStyle w:val="PargrafodaLista"/>
        <w:ind w:left="0"/>
        <w:contextualSpacing w:val="0"/>
      </w:pPr>
      <w:r>
        <w:t>II.II – D</w:t>
      </w:r>
      <w:r w:rsidR="00C334B0">
        <w:t>O DIREITO DE PROPRIEDADE</w:t>
      </w:r>
    </w:p>
    <w:p w:rsidR="00195CEC" w:rsidP="00195CEC" w:rsidRDefault="00994D63" w14:paraId="170EB3C6" w14:textId="77777777">
      <w:pPr>
        <w:pStyle w:val="PargrafodaLista"/>
        <w:ind w:left="0"/>
        <w:contextualSpacing w:val="0"/>
      </w:pPr>
      <w:r>
        <w:t>Cinge-se a controvérsia recursal ao reexame d</w:t>
      </w:r>
      <w:r w:rsidR="008C0DAA">
        <w:t>e sentença que deliberou sobre a propriedade de máquina industrial, atribuindo ao autor o respectivo direito real.</w:t>
      </w:r>
    </w:p>
    <w:p w:rsidR="00A8243D" w:rsidP="00A8243D" w:rsidRDefault="003B5DA6" w14:paraId="1D28AC7E" w14:textId="5563ED90">
      <w:pPr>
        <w:pStyle w:val="PargrafodaLista"/>
        <w:ind w:left="0"/>
        <w:contextualSpacing w:val="0"/>
      </w:pPr>
      <w:r>
        <w:t xml:space="preserve">As pessoas jurídicas litigantes, </w:t>
      </w:r>
      <w:proofErr w:type="spellStart"/>
      <w:r>
        <w:t>EZ</w:t>
      </w:r>
      <w:proofErr w:type="spellEnd"/>
      <w:r>
        <w:t xml:space="preserve"> Manutenção Ltda. e </w:t>
      </w:r>
      <w:proofErr w:type="spellStart"/>
      <w:r>
        <w:t>Formetal</w:t>
      </w:r>
      <w:proofErr w:type="spellEnd"/>
      <w:r>
        <w:t xml:space="preserve"> Indústria de Aquecedores Ltda., tinha</w:t>
      </w:r>
      <w:r w:rsidR="006514DB">
        <w:t>m, ao tempo da aquisição do maquinário,</w:t>
      </w:r>
      <w:r>
        <w:t xml:space="preserve"> Ezequiel Alves Barbosa</w:t>
      </w:r>
      <w:r w:rsidR="006514DB">
        <w:t xml:space="preserve"> como sócio comum</w:t>
      </w:r>
      <w:r w:rsidR="00A8243D">
        <w:t>.</w:t>
      </w:r>
    </w:p>
    <w:p w:rsidR="006514DB" w:rsidP="00DF01CD" w:rsidRDefault="00ED519D" w14:paraId="3C170C6A" w14:textId="6D90E312">
      <w:pPr>
        <w:pStyle w:val="PargrafodaLista"/>
        <w:ind w:left="0"/>
        <w:contextualSpacing w:val="0"/>
      </w:pPr>
      <w:r>
        <w:t xml:space="preserve">A parte autora, </w:t>
      </w:r>
      <w:proofErr w:type="spellStart"/>
      <w:r>
        <w:t>EZ</w:t>
      </w:r>
      <w:proofErr w:type="spellEnd"/>
      <w:r>
        <w:t xml:space="preserve"> Manutenção Ltda</w:t>
      </w:r>
      <w:r w:rsidR="00CF51A8">
        <w:t>.,</w:t>
      </w:r>
      <w:r w:rsidR="00425516">
        <w:t xml:space="preserve"> instituída pelo sócio </w:t>
      </w:r>
      <w:r w:rsidR="009C0D67">
        <w:t>Ezequiel Alves Barbosa,</w:t>
      </w:r>
      <w:r w:rsidR="00CF51A8">
        <w:t xml:space="preserve"> </w:t>
      </w:r>
      <w:r w:rsidR="00294FFC">
        <w:t>argumentou que realizou a aquisição de uma máquina para corte de chapas metálicas</w:t>
      </w:r>
      <w:r w:rsidR="00CF51A8">
        <w:t xml:space="preserve">. Contudo, por não </w:t>
      </w:r>
      <w:r w:rsidR="00C13D7B">
        <w:t xml:space="preserve">dispor de estrutura, </w:t>
      </w:r>
      <w:r w:rsidR="00425516">
        <w:t xml:space="preserve">utilizou-se do espaço físico da </w:t>
      </w:r>
      <w:proofErr w:type="spellStart"/>
      <w:r w:rsidR="00425516">
        <w:t>Formetal</w:t>
      </w:r>
      <w:proofErr w:type="spellEnd"/>
      <w:r w:rsidR="00425516">
        <w:t xml:space="preserve"> </w:t>
      </w:r>
      <w:r w:rsidR="009C0D67">
        <w:t>Indústria de Aquecedores Ltda. para instalar e operar o respectivo maquinário.</w:t>
      </w:r>
      <w:r w:rsidR="00E74B46">
        <w:t xml:space="preserve"> Após a retirada de Ezequiel Alves Barbosa da </w:t>
      </w:r>
      <w:proofErr w:type="spellStart"/>
      <w:r w:rsidR="00E74B46">
        <w:t>Formetal</w:t>
      </w:r>
      <w:proofErr w:type="spellEnd"/>
      <w:r w:rsidR="00E74B46">
        <w:t xml:space="preserve"> Indústria de Aquecedores Ltda.</w:t>
      </w:r>
      <w:r w:rsidR="0089377C">
        <w:t xml:space="preserve">, a </w:t>
      </w:r>
      <w:proofErr w:type="spellStart"/>
      <w:r w:rsidR="0089377C">
        <w:t>EZ</w:t>
      </w:r>
      <w:proofErr w:type="spellEnd"/>
      <w:r w:rsidR="0089377C">
        <w:t xml:space="preserve"> Manutenção Ltda. solicitou a entrega do maquinário cuja propriedade</w:t>
      </w:r>
      <w:r w:rsidR="007B5526">
        <w:t xml:space="preserve"> constitui o objeto do presente litígio.</w:t>
      </w:r>
    </w:p>
    <w:p w:rsidR="00E325A7" w:rsidP="00DF01CD" w:rsidRDefault="00DD1202" w14:paraId="40C72757" w14:textId="10A49B82">
      <w:pPr>
        <w:pStyle w:val="PargrafodaLista"/>
        <w:ind w:left="0"/>
        <w:contextualSpacing w:val="0"/>
      </w:pPr>
      <w:r>
        <w:t xml:space="preserve">Inicialmente, a despeito da alegação de </w:t>
      </w:r>
      <w:r w:rsidR="00BE213D">
        <w:t xml:space="preserve">inexistência de interesse processual, pela saída de Ezequiel Alves Barbosa da </w:t>
      </w:r>
      <w:proofErr w:type="spellStart"/>
      <w:r w:rsidR="007C1120">
        <w:t>Formetal</w:t>
      </w:r>
      <w:proofErr w:type="spellEnd"/>
      <w:r w:rsidR="007C1120">
        <w:t xml:space="preserve"> Indústria de Aquecedores Ltda., com declaração de quitação pelo preço de suas quotas sem ressalva do </w:t>
      </w:r>
      <w:r w:rsidR="00E325A7">
        <w:t xml:space="preserve">maquinário, este sequer é parte na relação </w:t>
      </w:r>
      <w:r w:rsidR="005E1149">
        <w:t>jurídico-processual.</w:t>
      </w:r>
    </w:p>
    <w:p w:rsidR="005E1149" w:rsidP="00DF01CD" w:rsidRDefault="005E1149" w14:paraId="7A5EC84A" w14:textId="2C4DA9B5">
      <w:pPr>
        <w:pStyle w:val="PargrafodaLista"/>
        <w:ind w:left="0"/>
        <w:contextualSpacing w:val="0"/>
      </w:pPr>
      <w:r>
        <w:t>No caso, a lide sobre a propriedade d</w:t>
      </w:r>
      <w:r w:rsidR="00BF3BC7">
        <w:t xml:space="preserve">o maquinário estabeleceu-se, exclusivamente, entre as pessoas jurídicas. Ainda que Ezequiel Alves Barbosa componha o quadro societário </w:t>
      </w:r>
      <w:r w:rsidR="00666521">
        <w:t xml:space="preserve">da </w:t>
      </w:r>
      <w:proofErr w:type="spellStart"/>
      <w:r w:rsidR="00666521">
        <w:t>EZ</w:t>
      </w:r>
      <w:proofErr w:type="spellEnd"/>
      <w:r w:rsidR="00666521">
        <w:t xml:space="preserve"> Manutenção Ltda., </w:t>
      </w:r>
      <w:r w:rsidR="002F4947">
        <w:t xml:space="preserve">a pessoa </w:t>
      </w:r>
      <w:r w:rsidR="00666521">
        <w:t xml:space="preserve">jurídica, instrumento lícito de alocação </w:t>
      </w:r>
      <w:r w:rsidR="002F4947">
        <w:t>e segregação patrimonial, não se conf</w:t>
      </w:r>
      <w:r w:rsidR="003B47B3">
        <w:t xml:space="preserve">unde com os seus sócios </w:t>
      </w:r>
      <w:r w:rsidR="002F4947">
        <w:t xml:space="preserve">(CC, </w:t>
      </w:r>
      <w:r w:rsidR="003B47B3">
        <w:t xml:space="preserve">art. </w:t>
      </w:r>
      <w:proofErr w:type="spellStart"/>
      <w:r w:rsidR="003B47B3">
        <w:t>49-A</w:t>
      </w:r>
      <w:proofErr w:type="spellEnd"/>
      <w:r w:rsidR="003B47B3">
        <w:t>).</w:t>
      </w:r>
    </w:p>
    <w:p w:rsidR="00F15A9A" w:rsidP="00007785" w:rsidRDefault="00422558" w14:paraId="184CB916" w14:textId="1EF0C29C">
      <w:pPr>
        <w:pStyle w:val="PargrafodaLista"/>
        <w:ind w:left="0"/>
        <w:contextualSpacing w:val="0"/>
      </w:pPr>
      <w:r>
        <w:t xml:space="preserve">Com efeito, o negócio jurídico sobre a saída do sócio não possui relação </w:t>
      </w:r>
      <w:r w:rsidR="00BB1C61">
        <w:t xml:space="preserve">com a discussão sobre o título aquisitivo da propriedade do bem em disputa, não podendo ser utilizado para desconstituir o </w:t>
      </w:r>
      <w:r w:rsidR="00025549">
        <w:t>direito do legítimo proprietário.</w:t>
      </w:r>
      <w:r w:rsidR="00007785">
        <w:t xml:space="preserve"> </w:t>
      </w:r>
      <w:r w:rsidR="00F15A9A">
        <w:t>O cerne do presente lit</w:t>
      </w:r>
      <w:r w:rsidR="00F15A9A">
        <w:rPr>
          <w:rFonts w:hint="eastAsia"/>
        </w:rPr>
        <w:t>í</w:t>
      </w:r>
      <w:r w:rsidR="00F15A9A">
        <w:t xml:space="preserve">gio </w:t>
      </w:r>
      <w:r w:rsidR="00F15A9A">
        <w:rPr>
          <w:rFonts w:hint="eastAsia"/>
        </w:rPr>
        <w:t>é</w:t>
      </w:r>
      <w:r w:rsidR="00F15A9A">
        <w:t xml:space="preserve"> o reconhecimento da propriedade de um bem m</w:t>
      </w:r>
      <w:r w:rsidR="00F15A9A">
        <w:rPr>
          <w:rFonts w:hint="eastAsia"/>
        </w:rPr>
        <w:t>ó</w:t>
      </w:r>
      <w:r w:rsidR="00F15A9A">
        <w:t>vel espec</w:t>
      </w:r>
      <w:r w:rsidR="00F15A9A">
        <w:rPr>
          <w:rFonts w:hint="eastAsia"/>
        </w:rPr>
        <w:t>í</w:t>
      </w:r>
      <w:r w:rsidR="00F15A9A">
        <w:t>fico e a consequente restitui</w:t>
      </w:r>
      <w:r w:rsidR="00F15A9A">
        <w:rPr>
          <w:rFonts w:hint="eastAsia"/>
        </w:rPr>
        <w:t>çã</w:t>
      </w:r>
      <w:r w:rsidR="00F15A9A">
        <w:t>o para evitar o enriquecimento sem causa da parte que det</w:t>
      </w:r>
      <w:r w:rsidR="00F15A9A">
        <w:rPr>
          <w:rFonts w:hint="eastAsia"/>
        </w:rPr>
        <w:t>é</w:t>
      </w:r>
      <w:r w:rsidR="00F15A9A">
        <w:t>m a posse.</w:t>
      </w:r>
    </w:p>
    <w:p w:rsidR="00025A93" w:rsidP="00DF01CD" w:rsidRDefault="00007785" w14:paraId="6FC5EEF3" w14:textId="2AFA25FB">
      <w:pPr>
        <w:pStyle w:val="PargrafodaLista"/>
        <w:ind w:left="0"/>
        <w:contextualSpacing w:val="0"/>
      </w:pPr>
      <w:r>
        <w:t xml:space="preserve">A </w:t>
      </w:r>
      <w:r w:rsidR="009F50A3">
        <w:t xml:space="preserve">respeito da propriedade da coisa, </w:t>
      </w:r>
      <w:r w:rsidR="00A874A9">
        <w:t>a prova documental apresentada</w:t>
      </w:r>
      <w:r w:rsidR="00B24C17">
        <w:t xml:space="preserve"> </w:t>
      </w:r>
      <w:r w:rsidR="0049202D">
        <w:t xml:space="preserve">denota </w:t>
      </w:r>
      <w:r w:rsidR="00B24C17">
        <w:t xml:space="preserve">que </w:t>
      </w:r>
      <w:r w:rsidR="00936591">
        <w:t>o maquinário foi adquirido</w:t>
      </w:r>
      <w:r w:rsidR="007D6A94">
        <w:t xml:space="preserve"> </w:t>
      </w:r>
      <w:r w:rsidR="00936591">
        <w:t xml:space="preserve">pela </w:t>
      </w:r>
      <w:proofErr w:type="spellStart"/>
      <w:r w:rsidR="00936591">
        <w:t>EZ</w:t>
      </w:r>
      <w:proofErr w:type="spellEnd"/>
      <w:r w:rsidR="00936591">
        <w:t xml:space="preserve"> Manutenção Ltda. </w:t>
      </w:r>
      <w:r w:rsidR="00E21682">
        <w:t xml:space="preserve">(evento </w:t>
      </w:r>
      <w:r w:rsidR="00B24C17">
        <w:t>1.6 – autos de origem)</w:t>
      </w:r>
      <w:r w:rsidR="00E5792D">
        <w:t xml:space="preserve">, </w:t>
      </w:r>
      <w:r w:rsidR="00025A93">
        <w:t xml:space="preserve">emitente das cédulas </w:t>
      </w:r>
      <w:r w:rsidR="0049202D">
        <w:t xml:space="preserve">de crédito bancário </w:t>
      </w:r>
      <w:r w:rsidR="00025A93">
        <w:t>relativas às respectivas aquisições</w:t>
      </w:r>
      <w:r w:rsidR="00501FF0">
        <w:t xml:space="preserve">, </w:t>
      </w:r>
      <w:r w:rsidR="009710FD">
        <w:t>avalizadas exclusivamente por</w:t>
      </w:r>
      <w:r w:rsidR="00BF069D">
        <w:t xml:space="preserve"> Ezequiel Alves Barbosa</w:t>
      </w:r>
      <w:r w:rsidR="009710FD">
        <w:t xml:space="preserve"> </w:t>
      </w:r>
      <w:r w:rsidR="00025A93">
        <w:t>(eventos</w:t>
      </w:r>
      <w:r w:rsidR="002D7C47">
        <w:t xml:space="preserve"> 1.3, 1.4 e 1.5 </w:t>
      </w:r>
      <w:r w:rsidR="00247BD6">
        <w:t>–</w:t>
      </w:r>
      <w:r w:rsidR="002D7C47">
        <w:t xml:space="preserve"> </w:t>
      </w:r>
      <w:r w:rsidR="00247BD6">
        <w:t>autos de origem).</w:t>
      </w:r>
    </w:p>
    <w:p w:rsidR="00E54FAD" w:rsidP="163E2A73" w:rsidRDefault="00BF069D" w14:paraId="4EA77BA4" w14:textId="2BEC9545">
      <w:pPr>
        <w:pStyle w:val="PargrafodaLista"/>
        <w:suppressLineNumbers w:val="0"/>
        <w:bidi w:val="0"/>
        <w:spacing w:before="0" w:beforeAutospacing="off" w:after="240" w:afterAutospacing="off" w:line="360" w:lineRule="auto"/>
        <w:ind w:left="0" w:right="0" w:firstLine="709"/>
        <w:jc w:val="both"/>
      </w:pPr>
      <w:r w:rsidR="00BF069D">
        <w:rPr/>
        <w:t>Ademais, o</w:t>
      </w:r>
      <w:r w:rsidR="009F5548">
        <w:rPr/>
        <w:t xml:space="preserve"> fato foi confirmado </w:t>
      </w:r>
      <w:r w:rsidR="001B228E">
        <w:rPr/>
        <w:t xml:space="preserve">pela prova testemunhal. Funcionários da </w:t>
      </w:r>
      <w:r w:rsidR="001B228E">
        <w:rPr/>
        <w:t>Formetal</w:t>
      </w:r>
      <w:r w:rsidR="001B228E">
        <w:rPr/>
        <w:t xml:space="preserve"> Indústria de Aquecedores Ltda.</w:t>
      </w:r>
      <w:r w:rsidR="5538E22E">
        <w:rPr/>
        <w:t>,</w:t>
      </w:r>
      <w:r w:rsidR="001B228E">
        <w:rPr/>
        <w:t xml:space="preserve"> ao tempo da aquisição </w:t>
      </w:r>
      <w:r w:rsidR="00C627A5">
        <w:rPr/>
        <w:t>do maquinário, declaram que a aquisição foi feita em benefício da parte</w:t>
      </w:r>
      <w:r w:rsidR="00126E24">
        <w:rPr/>
        <w:t xml:space="preserve"> autora, </w:t>
      </w:r>
      <w:r w:rsidR="2F5A299C">
        <w:rPr/>
        <w:t>por meio</w:t>
      </w:r>
      <w:r w:rsidR="00126E24">
        <w:rPr/>
        <w:t xml:space="preserve"> de seu representante legal (eventos </w:t>
      </w:r>
      <w:r w:rsidR="00D30770">
        <w:rPr/>
        <w:t>117.2</w:t>
      </w:r>
      <w:r w:rsidR="00E54FAD">
        <w:rPr/>
        <w:t>, 117.3 e 117.4 – autos de origem).</w:t>
      </w:r>
    </w:p>
    <w:p w:rsidR="00A6598E" w:rsidP="00A6598E" w:rsidRDefault="00484547" w14:paraId="13B33610" w14:textId="4FBA46EB">
      <w:pPr>
        <w:pStyle w:val="PargrafodaLista"/>
        <w:ind w:left="0"/>
        <w:contextualSpacing w:val="0"/>
      </w:pPr>
      <w:r>
        <w:t>A esse respeito:</w:t>
      </w:r>
    </w:p>
    <w:p w:rsidR="00484547" w:rsidP="00A6598E" w:rsidRDefault="00484547" w14:paraId="77C3837E" w14:textId="77777777">
      <w:pPr>
        <w:pStyle w:val="PargrafodaLista"/>
        <w:ind w:left="0"/>
        <w:contextualSpacing w:val="0"/>
      </w:pPr>
    </w:p>
    <w:p w:rsidR="00A6598E" w:rsidP="00A26BC0" w:rsidRDefault="007E6D8B" w14:paraId="1B7B0010" w14:textId="193793AC">
      <w:pPr>
        <w:pStyle w:val="PargrafodaLista"/>
        <w:ind w:left="2268" w:firstLine="0"/>
        <w:contextualSpacing w:val="0"/>
        <w:rPr>
          <w:sz w:val="20"/>
          <w:szCs w:val="18"/>
        </w:rPr>
      </w:pPr>
      <w:r w:rsidRPr="00A6598E">
        <w:rPr>
          <w:sz w:val="20"/>
          <w:szCs w:val="18"/>
        </w:rPr>
        <w:t>DIREITO CIVIL. DIREITO PROCESSUAL CIVIL. AÇÃO DE BUSCA E APREENSÃO DE MOTOCICLETA. SENTENÇA DE PROCEDÊNCIA. INSURGÊNCIA DA PARTE RÉ. ALEGADA AQUISIÇÃO DO BEM DURANTE UNIÃO ESTÁVEL. NÃO COMPROVAÇÃO. MATÉRIA IMPERTINENTE AO JUÍZO CÍVEL. PROVA DA PROPRIEDADE. BEM REGISTRADO EM NOME DO APELADO. COMPROVAÇÃO DA AQUISIÇÃO POR MEIO DE FINANCIAMENTO PELO APELADO. DIREITO À RETOMADA DA POSSE DO BEM LEGITIMAMENTE DEMONSTRADO. AUSÊNCIA DE COMPROVAÇÃO DA PARTICIPAÇÃO DA APELANTE NA AQUISIÇÃO DO BEM. ÔNUS QUE LHE INCUMBIA. INC. II DO ART. 373 DA LEI N. 13.105/2015 (CÓDIGO DE PROCESSO CIVIL). SENTENÇA MANTIDA. HONORÁRIOS ADVOCATÍCIOS SUCUMBENCIAIS, EM SEDE RECURSAL. MAJORAÇÃO QUANTITATIVA. APLICABILIDADE DO § 11 DO ART. 85 DA LEI N. 13.105/2015 (CÓDIGO DE PROCESSO CIVIL). CONDIÇÃO SUSPENSIVA DE EXIGIBILIDADE. § 3º DO ART. 98 DA LEI N. 13.105/2015.1. As alegações relativas à união estável havida entre as Partes e eventual aquisição do bem por esforço comum não podem ser discutidas na presente demanda, cujos efeitos são restritos à retomada da posse do bem de comprovada propriedade da Parte Autora/Apelado; eventual discussão a esse respeito deve ser objeto de ação própria, de competência do Juízo de Família</w:t>
      </w:r>
      <w:r w:rsidRPr="00484547">
        <w:rPr>
          <w:b/>
          <w:bCs/>
          <w:sz w:val="20"/>
          <w:szCs w:val="18"/>
        </w:rPr>
        <w:t>. 2. O Apelado, além de ter provado a propriedade da motocicleta por meio do respectivo documento em seu nome (seq. 1.5), também demonstrou que os esforços financeiros para aquisição do veículo foram por ele despendidos, conforme nota fiscal e comprovantes de pagamento das parcelas do financiamento (seq. 1.6 e seq. 1.7).</w:t>
      </w:r>
      <w:r w:rsidR="00484547">
        <w:rPr>
          <w:b/>
          <w:bCs/>
          <w:sz w:val="20"/>
          <w:szCs w:val="18"/>
        </w:rPr>
        <w:t xml:space="preserve"> </w:t>
      </w:r>
      <w:r w:rsidRPr="00A6598E">
        <w:rPr>
          <w:sz w:val="20"/>
          <w:szCs w:val="18"/>
        </w:rPr>
        <w:t>3. De outro lado, a Apelante não impugnou os documentos juntados pelo Apelado e não logrou demonstrar a participação na aquisição do bem por meio de recursos próprios, como lhe competia, nos moldes do inc. II do art. 373 da Lei n. 13.105/2015.4. Os fundamentos jurídico-legais contidos na sentença apelada circundaram o exame de todas as alegações formuladas por ambas as Partes, bem como de toda a documentação contida nos Autos, o que autorizou a conclusão de que o Apelado faz jus à retomada da posse da motocicleta a ele pertencente. 5. O tribunal, ao julgar recurso, majorar</w:t>
      </w:r>
      <w:r w:rsidRPr="00A6598E">
        <w:rPr>
          <w:rFonts w:cs="Times New Roman"/>
          <w:sz w:val="20"/>
          <w:szCs w:val="18"/>
        </w:rPr>
        <w:t>á</w:t>
      </w:r>
      <w:r w:rsidRPr="00A6598E">
        <w:rPr>
          <w:sz w:val="20"/>
          <w:szCs w:val="18"/>
        </w:rPr>
        <w:t xml:space="preserve"> os honor</w:t>
      </w:r>
      <w:r w:rsidRPr="00A6598E">
        <w:rPr>
          <w:rFonts w:cs="Times New Roman"/>
          <w:sz w:val="20"/>
          <w:szCs w:val="18"/>
        </w:rPr>
        <w:t>á</w:t>
      </w:r>
      <w:r w:rsidRPr="00A6598E">
        <w:rPr>
          <w:sz w:val="20"/>
          <w:szCs w:val="18"/>
        </w:rPr>
        <w:t xml:space="preserve">rios fixados anteriormente levando em conta o trabalho adicional realizado em grau recursal, observando, conforme o caso, o disposto nos </w:t>
      </w:r>
      <w:r w:rsidRPr="00A6598E">
        <w:rPr>
          <w:rFonts w:cs="Times New Roman"/>
          <w:sz w:val="20"/>
          <w:szCs w:val="18"/>
        </w:rPr>
        <w:t>§§</w:t>
      </w:r>
      <w:r w:rsidRPr="00A6598E">
        <w:rPr>
          <w:sz w:val="20"/>
          <w:szCs w:val="18"/>
        </w:rPr>
        <w:t xml:space="preserve"> 2</w:t>
      </w:r>
      <w:r w:rsidRPr="00A6598E">
        <w:rPr>
          <w:rFonts w:cs="Times New Roman"/>
          <w:sz w:val="20"/>
          <w:szCs w:val="18"/>
        </w:rPr>
        <w:t>º</w:t>
      </w:r>
      <w:r w:rsidRPr="00A6598E">
        <w:rPr>
          <w:sz w:val="20"/>
          <w:szCs w:val="18"/>
        </w:rPr>
        <w:t xml:space="preserve"> a 6</w:t>
      </w:r>
      <w:r w:rsidRPr="00A6598E">
        <w:rPr>
          <w:rFonts w:cs="Times New Roman"/>
          <w:sz w:val="20"/>
          <w:szCs w:val="18"/>
        </w:rPr>
        <w:t>º</w:t>
      </w:r>
      <w:r w:rsidRPr="00A6598E">
        <w:rPr>
          <w:sz w:val="20"/>
          <w:szCs w:val="18"/>
        </w:rPr>
        <w:t>, sendo vedado ao tribunal, no c</w:t>
      </w:r>
      <w:r w:rsidRPr="00A6598E">
        <w:rPr>
          <w:rFonts w:cs="Times New Roman"/>
          <w:sz w:val="20"/>
          <w:szCs w:val="18"/>
        </w:rPr>
        <w:t>ô</w:t>
      </w:r>
      <w:r w:rsidRPr="00A6598E">
        <w:rPr>
          <w:sz w:val="20"/>
          <w:szCs w:val="18"/>
        </w:rPr>
        <w:t>mputo geral da fixa</w:t>
      </w:r>
      <w:r w:rsidRPr="00A6598E">
        <w:rPr>
          <w:rFonts w:cs="Times New Roman"/>
          <w:sz w:val="20"/>
          <w:szCs w:val="18"/>
        </w:rPr>
        <w:t>çã</w:t>
      </w:r>
      <w:r w:rsidRPr="00A6598E">
        <w:rPr>
          <w:sz w:val="20"/>
          <w:szCs w:val="18"/>
        </w:rPr>
        <w:t>o de honor</w:t>
      </w:r>
      <w:r w:rsidRPr="00A6598E">
        <w:rPr>
          <w:rFonts w:cs="Times New Roman"/>
          <w:sz w:val="20"/>
          <w:szCs w:val="18"/>
        </w:rPr>
        <w:t>á</w:t>
      </w:r>
      <w:r w:rsidRPr="00A6598E">
        <w:rPr>
          <w:sz w:val="20"/>
          <w:szCs w:val="18"/>
        </w:rPr>
        <w:t xml:space="preserve">rios devidos ao advogado do vencedor, ultrapassar os respectivos limites estabelecidos nos </w:t>
      </w:r>
      <w:r w:rsidRPr="00A6598E">
        <w:rPr>
          <w:rFonts w:cs="Times New Roman"/>
          <w:sz w:val="20"/>
          <w:szCs w:val="18"/>
        </w:rPr>
        <w:t>§§</w:t>
      </w:r>
      <w:r w:rsidRPr="00A6598E">
        <w:rPr>
          <w:sz w:val="20"/>
          <w:szCs w:val="18"/>
        </w:rPr>
        <w:t xml:space="preserve"> 2</w:t>
      </w:r>
      <w:r w:rsidRPr="00A6598E">
        <w:rPr>
          <w:rFonts w:cs="Times New Roman"/>
          <w:sz w:val="20"/>
          <w:szCs w:val="18"/>
        </w:rPr>
        <w:t>º</w:t>
      </w:r>
      <w:r w:rsidRPr="00A6598E">
        <w:rPr>
          <w:sz w:val="20"/>
          <w:szCs w:val="18"/>
        </w:rPr>
        <w:t xml:space="preserve"> e 3</w:t>
      </w:r>
      <w:r w:rsidRPr="00A6598E">
        <w:rPr>
          <w:rFonts w:cs="Times New Roman"/>
          <w:sz w:val="20"/>
          <w:szCs w:val="18"/>
        </w:rPr>
        <w:t>º</w:t>
      </w:r>
      <w:r w:rsidRPr="00A6598E">
        <w:rPr>
          <w:sz w:val="20"/>
          <w:szCs w:val="18"/>
        </w:rPr>
        <w:t xml:space="preserve"> para a fase de conhecimento (</w:t>
      </w:r>
      <w:r w:rsidRPr="00A6598E">
        <w:rPr>
          <w:rFonts w:cs="Times New Roman"/>
          <w:sz w:val="20"/>
          <w:szCs w:val="18"/>
        </w:rPr>
        <w:t>§</w:t>
      </w:r>
      <w:r w:rsidRPr="00A6598E">
        <w:rPr>
          <w:sz w:val="20"/>
          <w:szCs w:val="18"/>
        </w:rPr>
        <w:t xml:space="preserve"> 11 do art. 85 da Lei n. 13.105/2015).6. Ao benefici</w:t>
      </w:r>
      <w:r w:rsidRPr="00A6598E">
        <w:rPr>
          <w:rFonts w:cs="Times New Roman"/>
          <w:sz w:val="20"/>
          <w:szCs w:val="18"/>
        </w:rPr>
        <w:t>á</w:t>
      </w:r>
      <w:r w:rsidRPr="00A6598E">
        <w:rPr>
          <w:sz w:val="20"/>
          <w:szCs w:val="18"/>
        </w:rPr>
        <w:t>rio da gratuidade da Justi</w:t>
      </w:r>
      <w:r w:rsidRPr="00A6598E">
        <w:rPr>
          <w:rFonts w:cs="Times New Roman"/>
          <w:sz w:val="20"/>
          <w:szCs w:val="18"/>
        </w:rPr>
        <w:t>ç</w:t>
      </w:r>
      <w:r w:rsidRPr="00A6598E">
        <w:rPr>
          <w:sz w:val="20"/>
          <w:szCs w:val="18"/>
        </w:rPr>
        <w:t>a quando for a parte vencida, na demanda judicial, e/ou, assim, for condenado a arcar, ainda, que, parcialmente, com o ônus sucumbencial, é reconhecida a condição suspensiva de exigibilidade prevista no § 3º do art. 98 da Lei n. 13.105/2015.7. Recurso de apelação cível conhecido, e, no mérito, não provido. (</w:t>
      </w:r>
      <w:bookmarkStart w:name="_Hlk215588764" w:id="0"/>
      <w:proofErr w:type="spellStart"/>
      <w:r w:rsidRPr="00A6598E">
        <w:rPr>
          <w:sz w:val="20"/>
          <w:szCs w:val="18"/>
        </w:rPr>
        <w:t>TJPR</w:t>
      </w:r>
      <w:proofErr w:type="spellEnd"/>
      <w:r w:rsidRPr="00A6598E">
        <w:rPr>
          <w:sz w:val="20"/>
          <w:szCs w:val="18"/>
        </w:rPr>
        <w:t>. 17ª Câmara Cível.</w:t>
      </w:r>
      <w:r w:rsidRPr="00A6598E" w:rsidR="00D60C53">
        <w:rPr>
          <w:sz w:val="20"/>
          <w:szCs w:val="18"/>
        </w:rPr>
        <w:t xml:space="preserve"> Relator: Desembargador Mário Luiz </w:t>
      </w:r>
      <w:proofErr w:type="spellStart"/>
      <w:r w:rsidRPr="00A6598E" w:rsidR="00D60C53">
        <w:rPr>
          <w:sz w:val="20"/>
          <w:szCs w:val="18"/>
        </w:rPr>
        <w:t>Ramidoff</w:t>
      </w:r>
      <w:proofErr w:type="spellEnd"/>
      <w:r w:rsidRPr="00A6598E" w:rsidR="00D60C53">
        <w:rPr>
          <w:sz w:val="20"/>
          <w:szCs w:val="18"/>
        </w:rPr>
        <w:t xml:space="preserve">. </w:t>
      </w:r>
      <w:r w:rsidRPr="00A6598E">
        <w:rPr>
          <w:sz w:val="20"/>
          <w:szCs w:val="18"/>
        </w:rPr>
        <w:t>0003914-81.2021.8.16.0045</w:t>
      </w:r>
      <w:r w:rsidRPr="00A6598E" w:rsidR="00A6598E">
        <w:rPr>
          <w:sz w:val="20"/>
          <w:szCs w:val="18"/>
        </w:rPr>
        <w:t xml:space="preserve">. </w:t>
      </w:r>
      <w:r w:rsidRPr="00A6598E">
        <w:rPr>
          <w:sz w:val="20"/>
          <w:szCs w:val="18"/>
        </w:rPr>
        <w:t>Arapongas</w:t>
      </w:r>
      <w:r w:rsidRPr="00A6598E" w:rsidR="00A6598E">
        <w:rPr>
          <w:sz w:val="20"/>
          <w:szCs w:val="18"/>
        </w:rPr>
        <w:t>. Data de julgamento: 02-06-2025).</w:t>
      </w:r>
    </w:p>
    <w:bookmarkEnd w:id="0"/>
    <w:p w:rsidR="00A6598E" w:rsidP="00A6598E" w:rsidRDefault="00A6598E" w14:paraId="118C2A29" w14:textId="77777777">
      <w:pPr>
        <w:pStyle w:val="PargrafodaLista"/>
        <w:ind w:left="0"/>
        <w:contextualSpacing w:val="0"/>
        <w:rPr>
          <w:sz w:val="20"/>
          <w:szCs w:val="18"/>
        </w:rPr>
      </w:pPr>
    </w:p>
    <w:p w:rsidR="00B60F6B" w:rsidP="00DF01CD" w:rsidRDefault="0027059C" w14:paraId="1B9C7C66" w14:textId="6CBCBD39">
      <w:pPr>
        <w:pStyle w:val="PargrafodaLista"/>
        <w:spacing/>
        <w:ind w:left="0"/>
        <w:contextualSpacing w:val="0"/>
      </w:pPr>
      <w:r w:rsidR="0027059C">
        <w:rPr/>
        <w:t>Comprovada, pois, a aquisição do maquinário pela apelada (CPC, art. 373, I)</w:t>
      </w:r>
      <w:r w:rsidR="3490E2A3">
        <w:rPr/>
        <w:t>,</w:t>
      </w:r>
      <w:r w:rsidR="0027059C">
        <w:rPr/>
        <w:t xml:space="preserve"> e ausente </w:t>
      </w:r>
      <w:r w:rsidR="00592A5C">
        <w:rPr/>
        <w:t xml:space="preserve">demonstração de fato impeditivo, modificativo ou extintivo do direito autora (CPC, art. 373, II), </w:t>
      </w:r>
      <w:r w:rsidR="00D04E15">
        <w:rPr/>
        <w:t xml:space="preserve">mantém-se </w:t>
      </w:r>
      <w:r w:rsidR="00D04E15">
        <w:rPr/>
        <w:t>incólume</w:t>
      </w:r>
      <w:r w:rsidR="00D04E15">
        <w:rPr/>
        <w:t xml:space="preserve"> a sentença vergastada.</w:t>
      </w:r>
    </w:p>
    <w:p w:rsidR="007D2419" w:rsidP="00DF01CD" w:rsidRDefault="007D2419" w14:paraId="6D09598D" w14:textId="77777777">
      <w:pPr>
        <w:pStyle w:val="PargrafodaLista"/>
        <w:ind w:left="0"/>
        <w:contextualSpacing w:val="0"/>
      </w:pPr>
    </w:p>
    <w:p w:rsidR="00BB32E0" w:rsidP="00BB32E0" w:rsidRDefault="007D2419" w14:paraId="67EE3FE9" w14:textId="77777777">
      <w:pPr>
        <w:pStyle w:val="PargrafodaLista"/>
        <w:ind w:left="0"/>
        <w:contextualSpacing w:val="0"/>
      </w:pPr>
      <w:proofErr w:type="spellStart"/>
      <w:r>
        <w:t>II.III</w:t>
      </w:r>
      <w:proofErr w:type="spellEnd"/>
      <w:r>
        <w:t xml:space="preserve"> –</w:t>
      </w:r>
      <w:r w:rsidR="00082C1B">
        <w:t xml:space="preserve"> DOS HONORÁRIOS ADVOCATÍCIOS</w:t>
      </w:r>
    </w:p>
    <w:p w:rsidR="00BB32E0" w:rsidP="00BB32E0" w:rsidRDefault="00B66F2F" w14:paraId="12EA68CC" w14:textId="49265EC7">
      <w:pPr>
        <w:pStyle w:val="PargrafodaLista"/>
        <w:ind w:left="0"/>
        <w:contextualSpacing w:val="0"/>
      </w:pPr>
      <w:r>
        <w:t xml:space="preserve">Por expressa previsão legal, os honorários advocatícios de sucumbência limitam-se aos limites mínimo e máximo de 10% (dez por cento) e 20% (vinte por cento), respectivamente (CPC, art. </w:t>
      </w:r>
      <w:r w:rsidR="00AE008E">
        <w:t xml:space="preserve">85, </w:t>
      </w:r>
      <w:r w:rsidR="00D04E15">
        <w:t>§ 2º).</w:t>
      </w:r>
    </w:p>
    <w:p w:rsidR="00D04E15" w:rsidP="00BB32E0" w:rsidRDefault="00D04E15" w14:paraId="355AE01C" w14:textId="317F3B90">
      <w:pPr>
        <w:pStyle w:val="PargrafodaLista"/>
        <w:ind w:left="0"/>
        <w:contextualSpacing w:val="0"/>
      </w:pPr>
      <w:r>
        <w:t>A esse respeito:</w:t>
      </w:r>
    </w:p>
    <w:p w:rsidR="00D04E15" w:rsidP="00BB32E0" w:rsidRDefault="00D04E15" w14:paraId="617448D3" w14:textId="77777777">
      <w:pPr>
        <w:pStyle w:val="PargrafodaLista"/>
        <w:ind w:left="0"/>
        <w:contextualSpacing w:val="0"/>
      </w:pPr>
    </w:p>
    <w:p w:rsidR="00BB32E0" w:rsidP="00BB32E0" w:rsidRDefault="00AE3BD7" w14:paraId="3E80244B" w14:textId="77777777">
      <w:pPr>
        <w:pStyle w:val="PargrafodaLista"/>
        <w:ind w:left="2268" w:firstLine="0"/>
        <w:contextualSpacing w:val="0"/>
        <w:rPr>
          <w:sz w:val="20"/>
          <w:szCs w:val="18"/>
        </w:rPr>
      </w:pPr>
      <w:r w:rsidRPr="00BB32E0">
        <w:rPr>
          <w:sz w:val="20"/>
          <w:szCs w:val="18"/>
        </w:rPr>
        <w:t>RECURSO ESPECIAL. PROCESSUAL CIVIL. CÓDIGO DE PROCESSO CIVIL DE 2015. JUÍZO DE EQUIDADE NA FIXAÇÃO DE HONORÁRIOS ADVOCATÍCIOS DE SUCUMBÊNCIA. NOVAS REGRAS: CPC/2015, ART. 85, §§ 2º E 8º. REGRA GERAL OBRIGATÓRIA (ART. 85, § 2º). REGRA SUBSIDIÁRIA (ART. 85, § 8º). PRIMEIRO RECURSO ESPECIAL PROVIDO. SEGUNDO RECURSO ESPECIAL DESPROVIDO. 1. O novo Código de Processo Civil - CPC/2015 promoveu expressivas mudanças na disciplina da fixação dos honorários advocatícios sucumbenciais na sentença de condenação do vencido. 2. Dentre as alterações, reduziu, visivelmente, a subjetividade do julgador, restringindo as hipóteses nas quais cabe a fixação dos honorários de sucumbência por equidade, pois: a) enquanto, no CPC/1973, a atribuição equitativa era possível: (</w:t>
      </w:r>
      <w:proofErr w:type="spellStart"/>
      <w:r w:rsidRPr="00BB32E0">
        <w:rPr>
          <w:sz w:val="20"/>
          <w:szCs w:val="18"/>
        </w:rPr>
        <w:t>a.I</w:t>
      </w:r>
      <w:proofErr w:type="spellEnd"/>
      <w:r w:rsidRPr="00BB32E0">
        <w:rPr>
          <w:sz w:val="20"/>
          <w:szCs w:val="18"/>
        </w:rPr>
        <w:t>) nas causas de pequeno valor; (a. II) nas de valor inestimável; (a. III) naquelas em que não houvesse condenação ou fosse vencida a Fazenda Pública; e (a. IV) nas execuções, embargadas ou não (art. 20, § 4º); b) no CPC/2015 tais hipóteses são restritas às causas: (</w:t>
      </w:r>
      <w:proofErr w:type="spellStart"/>
      <w:r w:rsidRPr="00BB32E0">
        <w:rPr>
          <w:sz w:val="20"/>
          <w:szCs w:val="18"/>
        </w:rPr>
        <w:t>b.I</w:t>
      </w:r>
      <w:proofErr w:type="spellEnd"/>
      <w:r w:rsidRPr="00BB32E0">
        <w:rPr>
          <w:sz w:val="20"/>
          <w:szCs w:val="18"/>
        </w:rPr>
        <w:t xml:space="preserve">) em que o proveito econômico for inestimável ou irrisório ou, ainda, quando (b. II) o valor da causa for muito baixo (art. 85, § 8º). 3. Com isso, o CPC/2015 tornou mais objetivo o processo de determinação da verba sucumbencial, introduzindo, na conjugação dos §§ 2º e 8º do art. 85, ordem decrescente de preferência de critérios (ordem de vocação) para fixação da base de cálculo dos honorários, na qual a subsunção do caso concreto a uma das hipóteses legais prévias impede o avanço para outra categoria. 4. Tem-se, então, a seguinte ordem de preferência: (I) primeiro, quando houver condenação, devem ser fixados entre 10% e 20% sobre o montante desta (art. 85, § 2º); (II) segundo, não havendo condenação, serão também fixados entre 10% e 20%, das seguintes bases de cálculo: (II. a) sobre o proveito econômico obtido pelo vencedor (art. 85, § 2º); ou (II. b) não sendo possível mensurar o proveito econômico obtido, sobre o valor atualizado da causa (art. 85, § 2º); por fim, (III) havendo ou não condenação, nas causas em que for inestimável ou irrisório o proveito econômico ou em que o valor da causa for muito baixo, deverão, só então, ser fixados por apreciação equitativa (art. 85, § 8º). 5. A expressiva redação legal impõe concluir: (5.1) que o § 2º do referido art. 85 veicula a regra geral, de aplicação obrigatória, de que os honorários advocatícios sucumbenciais devem ser fixados no patamar de dez a vinte por cento, subsequentemente calculados sobre o valor: (I) da condenação; ou (II) do proveito econômico obtido; ou (III) do valor atualizado da causa; (5.2) que o § 8º do art. 85 transmite regra excepcional, de aplicação subsidiária, em que se permite a fixação dos honorários sucumbenciais por equidade, para as hipóteses em que, havendo ou não condenação: (I) o proveito econômico obtido pelo vencedor for inestimável ou irrisório; ou (II) o valor da causa for muito baixo. 6. Primeiro recurso especial provido para fixar os honorários advocatícios sucumbenciais em 10% (dez por cento) sobre o proveito econômico obtido. Segundo recurso especial desprovido. </w:t>
      </w:r>
      <w:bookmarkStart w:name="_Hlk215590737" w:id="1"/>
      <w:r w:rsidRPr="00BB32E0">
        <w:rPr>
          <w:sz w:val="20"/>
          <w:szCs w:val="18"/>
        </w:rPr>
        <w:t xml:space="preserve">(STJ. </w:t>
      </w:r>
      <w:r w:rsidRPr="00BB32E0" w:rsidR="00BB32E0">
        <w:rPr>
          <w:sz w:val="20"/>
          <w:szCs w:val="18"/>
        </w:rPr>
        <w:t xml:space="preserve">Segunda Seção. Relatora: Ministra Nancy Andrighi. Relator para o acórdão: Ministro Raul Araújo. </w:t>
      </w:r>
      <w:r w:rsidRPr="00BB32E0">
        <w:rPr>
          <w:sz w:val="20"/>
          <w:szCs w:val="18"/>
        </w:rPr>
        <w:t>REsp n. 1.746.072/PR</w:t>
      </w:r>
      <w:r w:rsidRPr="00BB32E0" w:rsidR="00BB32E0">
        <w:rPr>
          <w:sz w:val="20"/>
          <w:szCs w:val="18"/>
        </w:rPr>
        <w:t>. Data de julgamento: 13-2-2019. Data de publicação: 29-3-2019)</w:t>
      </w:r>
      <w:bookmarkEnd w:id="1"/>
      <w:r w:rsidRPr="00BB32E0" w:rsidR="00BB32E0">
        <w:rPr>
          <w:sz w:val="20"/>
          <w:szCs w:val="18"/>
        </w:rPr>
        <w:t>.</w:t>
      </w:r>
    </w:p>
    <w:p w:rsidR="00BB32E0" w:rsidP="00BB32E0" w:rsidRDefault="00BB32E0" w14:paraId="0CC73B0F" w14:textId="77777777">
      <w:pPr>
        <w:pStyle w:val="PargrafodaLista"/>
        <w:ind w:left="0"/>
        <w:contextualSpacing w:val="0"/>
        <w:rPr>
          <w:sz w:val="20"/>
          <w:szCs w:val="18"/>
        </w:rPr>
      </w:pPr>
    </w:p>
    <w:p w:rsidR="00AE3BD7" w:rsidP="00BB32E0" w:rsidRDefault="00707B77" w14:paraId="3044F419" w14:textId="721C5B35">
      <w:pPr>
        <w:pStyle w:val="PargrafodaLista"/>
        <w:ind w:left="0"/>
        <w:contextualSpacing w:val="0"/>
      </w:pPr>
      <w:r>
        <w:t>Tendo sido fixados no mínimo legal, os honorários advocatícios, ao contrário da invectiva recursal, não comportam redução.</w:t>
      </w:r>
    </w:p>
    <w:p w:rsidR="00707B77" w:rsidP="00BB32E0" w:rsidRDefault="00707B77" w14:paraId="77BEF398" w14:textId="539C0DE1">
      <w:pPr>
        <w:pStyle w:val="PargrafodaLista"/>
        <w:ind w:left="0"/>
        <w:contextualSpacing w:val="0"/>
      </w:pPr>
      <w:r>
        <w:t>Afasta-se, pois, o repto.</w:t>
      </w:r>
    </w:p>
    <w:p w:rsidR="00BB32E0" w:rsidP="00877419" w:rsidRDefault="00BB32E0" w14:paraId="00E1D1A5" w14:textId="77777777">
      <w:pPr>
        <w:pStyle w:val="PargrafodaLista"/>
        <w:ind w:left="0"/>
        <w:contextualSpacing w:val="0"/>
      </w:pPr>
    </w:p>
    <w:p w:rsidR="00AA28DF" w:rsidP="00082C1B" w:rsidRDefault="00082C1B" w14:paraId="4F9B449E" w14:textId="70258802">
      <w:pPr>
        <w:pStyle w:val="PargrafodaLista"/>
        <w:ind w:left="0"/>
        <w:contextualSpacing w:val="0"/>
      </w:pPr>
      <w:r>
        <w:t xml:space="preserve">II.IV – </w:t>
      </w:r>
      <w:r w:rsidR="00AA28DF">
        <w:t>DA CONCLUSÃO</w:t>
      </w:r>
    </w:p>
    <w:p w:rsidR="00AA28DF" w:rsidP="00877419" w:rsidRDefault="00AA28DF" w14:paraId="12A4456E" w14:textId="50EACC2B">
      <w:pPr>
        <w:pStyle w:val="PargrafodaLista"/>
        <w:ind w:left="0"/>
        <w:contextualSpacing w:val="0"/>
      </w:pPr>
      <w:r>
        <w:t>Pela conjugação das premissas deduzidas, a conclusão a ser adota</w:t>
      </w:r>
      <w:r w:rsidR="00DC37B4">
        <w:t>da</w:t>
      </w:r>
      <w:r>
        <w:t xml:space="preserve"> consiste </w:t>
      </w:r>
      <w:r w:rsidR="00C334B0">
        <w:t>em conhecer e negar provimento ao recurso.</w:t>
      </w:r>
    </w:p>
    <w:p w:rsidR="00C334B0" w:rsidP="00877419" w:rsidRDefault="00C334B0" w14:paraId="63FC62BE" w14:textId="19E4FBF6">
      <w:pPr>
        <w:pStyle w:val="PargrafodaLista"/>
        <w:ind w:left="0"/>
        <w:contextualSpacing w:val="0"/>
      </w:pPr>
      <w:r>
        <w:t xml:space="preserve">Como consequência, majoram-se os honorários de sucumbência </w:t>
      </w:r>
      <w:r w:rsidR="00285655">
        <w:t>para 12% (doze por cento)</w:t>
      </w:r>
      <w:r w:rsidR="003C4C90">
        <w:t xml:space="preserve"> do valor atualizado da causa (CPC, art. 85, § 11).</w:t>
      </w:r>
    </w:p>
    <w:p w:rsidR="00AA28DF" w:rsidP="00877419" w:rsidRDefault="00AA28DF" w14:paraId="4308533E" w14:textId="77777777">
      <w:pPr>
        <w:pStyle w:val="PargrafodaLista"/>
        <w:ind w:left="0"/>
        <w:contextualSpacing w:val="0"/>
      </w:pPr>
      <w:r>
        <w:t>É como voto.</w:t>
      </w:r>
    </w:p>
    <w:p w:rsidR="00AA28DF" w:rsidP="00877419" w:rsidRDefault="00AA28DF" w14:paraId="316E59E6" w14:textId="77777777">
      <w:pPr>
        <w:pStyle w:val="PargrafodaLista"/>
        <w:ind w:left="0"/>
        <w:contextualSpacing w:val="0"/>
      </w:pPr>
    </w:p>
    <w:p w:rsidRPr="00AA28DF" w:rsidR="00FA52DC" w:rsidP="00877419" w:rsidRDefault="00877419" w14:paraId="1357FE27" w14:textId="28672743">
      <w:pPr>
        <w:pStyle w:val="PargrafodaLista"/>
        <w:ind w:left="0"/>
        <w:contextualSpacing w:val="0"/>
        <w:rPr>
          <w:b/>
        </w:rPr>
      </w:pPr>
      <w:r>
        <w:rPr>
          <w:b/>
        </w:rPr>
        <w:t xml:space="preserve">III </w:t>
      </w:r>
      <w:r w:rsidR="00FA52DC">
        <w:rPr>
          <w:b/>
        </w:rPr>
        <w:t>–</w:t>
      </w:r>
      <w:r>
        <w:rPr>
          <w:b/>
        </w:rPr>
        <w:t xml:space="preserve"> DECISÃO</w:t>
      </w:r>
    </w:p>
    <w:sectPr w:rsidRPr="00AA28DF" w:rsidR="00FA52DC">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05EA4"/>
    <w:rsid w:val="00007785"/>
    <w:rsid w:val="00025549"/>
    <w:rsid w:val="00025A93"/>
    <w:rsid w:val="00075786"/>
    <w:rsid w:val="00082C1B"/>
    <w:rsid w:val="000A4440"/>
    <w:rsid w:val="0012055C"/>
    <w:rsid w:val="00126E24"/>
    <w:rsid w:val="00146748"/>
    <w:rsid w:val="001540E6"/>
    <w:rsid w:val="00165C47"/>
    <w:rsid w:val="00195CEC"/>
    <w:rsid w:val="00197A33"/>
    <w:rsid w:val="001B228E"/>
    <w:rsid w:val="001C2D4C"/>
    <w:rsid w:val="00233EFA"/>
    <w:rsid w:val="00247BD6"/>
    <w:rsid w:val="0027059C"/>
    <w:rsid w:val="00285655"/>
    <w:rsid w:val="00293C83"/>
    <w:rsid w:val="00294FFC"/>
    <w:rsid w:val="002D7C47"/>
    <w:rsid w:val="002F4947"/>
    <w:rsid w:val="00327091"/>
    <w:rsid w:val="00357944"/>
    <w:rsid w:val="00392BC0"/>
    <w:rsid w:val="00394734"/>
    <w:rsid w:val="003B47B3"/>
    <w:rsid w:val="003B5DA6"/>
    <w:rsid w:val="003C4C90"/>
    <w:rsid w:val="003D229E"/>
    <w:rsid w:val="003F373C"/>
    <w:rsid w:val="00422558"/>
    <w:rsid w:val="00425516"/>
    <w:rsid w:val="004361F0"/>
    <w:rsid w:val="00484547"/>
    <w:rsid w:val="00490E14"/>
    <w:rsid w:val="0049202D"/>
    <w:rsid w:val="004E22E4"/>
    <w:rsid w:val="00501FF0"/>
    <w:rsid w:val="00552B1B"/>
    <w:rsid w:val="00573686"/>
    <w:rsid w:val="00592A5C"/>
    <w:rsid w:val="005B4039"/>
    <w:rsid w:val="005D0281"/>
    <w:rsid w:val="005E1149"/>
    <w:rsid w:val="0060450A"/>
    <w:rsid w:val="00624A4A"/>
    <w:rsid w:val="006514DB"/>
    <w:rsid w:val="00656D03"/>
    <w:rsid w:val="00666521"/>
    <w:rsid w:val="00672942"/>
    <w:rsid w:val="006A2C65"/>
    <w:rsid w:val="006A4BDA"/>
    <w:rsid w:val="006C2542"/>
    <w:rsid w:val="006F0CFC"/>
    <w:rsid w:val="00707B77"/>
    <w:rsid w:val="007535C8"/>
    <w:rsid w:val="00762513"/>
    <w:rsid w:val="00794062"/>
    <w:rsid w:val="007B0459"/>
    <w:rsid w:val="007B5526"/>
    <w:rsid w:val="007C1120"/>
    <w:rsid w:val="007D2419"/>
    <w:rsid w:val="007D6A94"/>
    <w:rsid w:val="007E6D8B"/>
    <w:rsid w:val="00852227"/>
    <w:rsid w:val="00877419"/>
    <w:rsid w:val="0089377C"/>
    <w:rsid w:val="008A72E4"/>
    <w:rsid w:val="008B62CA"/>
    <w:rsid w:val="008C0DAA"/>
    <w:rsid w:val="008D7921"/>
    <w:rsid w:val="00931457"/>
    <w:rsid w:val="00934339"/>
    <w:rsid w:val="00934385"/>
    <w:rsid w:val="00936591"/>
    <w:rsid w:val="009710FD"/>
    <w:rsid w:val="00973737"/>
    <w:rsid w:val="00994D63"/>
    <w:rsid w:val="009B14DB"/>
    <w:rsid w:val="009C0D67"/>
    <w:rsid w:val="009C27CF"/>
    <w:rsid w:val="009D0D3E"/>
    <w:rsid w:val="009F50A3"/>
    <w:rsid w:val="009F5548"/>
    <w:rsid w:val="00A26BC0"/>
    <w:rsid w:val="00A65090"/>
    <w:rsid w:val="00A6598E"/>
    <w:rsid w:val="00A8243D"/>
    <w:rsid w:val="00A874A9"/>
    <w:rsid w:val="00A96BCF"/>
    <w:rsid w:val="00AA28DF"/>
    <w:rsid w:val="00AD7146"/>
    <w:rsid w:val="00AE008E"/>
    <w:rsid w:val="00AE3BD7"/>
    <w:rsid w:val="00AE47D1"/>
    <w:rsid w:val="00B24C17"/>
    <w:rsid w:val="00B47B30"/>
    <w:rsid w:val="00B509E8"/>
    <w:rsid w:val="00B60F6B"/>
    <w:rsid w:val="00B66F2F"/>
    <w:rsid w:val="00BB1C61"/>
    <w:rsid w:val="00BB32E0"/>
    <w:rsid w:val="00BC64BE"/>
    <w:rsid w:val="00BE213D"/>
    <w:rsid w:val="00BF069D"/>
    <w:rsid w:val="00BF3BC7"/>
    <w:rsid w:val="00C13D7B"/>
    <w:rsid w:val="00C311C6"/>
    <w:rsid w:val="00C334B0"/>
    <w:rsid w:val="00C45010"/>
    <w:rsid w:val="00C627A5"/>
    <w:rsid w:val="00C72958"/>
    <w:rsid w:val="00CD451F"/>
    <w:rsid w:val="00CF51A8"/>
    <w:rsid w:val="00D04E15"/>
    <w:rsid w:val="00D30770"/>
    <w:rsid w:val="00D37894"/>
    <w:rsid w:val="00D60C53"/>
    <w:rsid w:val="00D658F7"/>
    <w:rsid w:val="00DC37B4"/>
    <w:rsid w:val="00DD1202"/>
    <w:rsid w:val="00DE1719"/>
    <w:rsid w:val="00DF01CD"/>
    <w:rsid w:val="00DF7E04"/>
    <w:rsid w:val="00E21682"/>
    <w:rsid w:val="00E3222A"/>
    <w:rsid w:val="00E325A7"/>
    <w:rsid w:val="00E54FAD"/>
    <w:rsid w:val="00E5792D"/>
    <w:rsid w:val="00E65819"/>
    <w:rsid w:val="00E74B46"/>
    <w:rsid w:val="00ED519D"/>
    <w:rsid w:val="00EF28F9"/>
    <w:rsid w:val="00F015A2"/>
    <w:rsid w:val="00F15A9A"/>
    <w:rsid w:val="00F32D0F"/>
    <w:rsid w:val="00F342E8"/>
    <w:rsid w:val="00F77424"/>
    <w:rsid w:val="00FA52DC"/>
    <w:rsid w:val="00FC5300"/>
    <w:rsid w:val="00FE0C12"/>
    <w:rsid w:val="06D5918A"/>
    <w:rsid w:val="163E2A73"/>
    <w:rsid w:val="2F5A299C"/>
    <w:rsid w:val="3490E2A3"/>
    <w:rsid w:val="3B07BA61"/>
    <w:rsid w:val="4B2C8C27"/>
    <w:rsid w:val="5538E2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C47"/>
    <w:pPr>
      <w:spacing w:after="240" w:line="360" w:lineRule="auto"/>
      <w:ind w:firstLine="709"/>
      <w:jc w:val="both"/>
    </w:pPr>
    <w:rPr>
      <w:rFonts w:ascii="Times New Roman" w:hAnsi="Times New Roman"/>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styleId="CitaoChar" w:customStyle="1">
    <w:name w:val="Citação Char"/>
    <w:basedOn w:val="Fontepargpadro"/>
    <w:link w:val="Citao"/>
    <w:uiPriority w:val="29"/>
    <w:rsid w:val="00165C47"/>
    <w:rPr>
      <w:rFonts w:ascii="Times New Roman" w:hAnsi="Times New Roman" w:eastAsia="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5A2C4CFD-ED2A-412D-A0F7-2D6D0CEA9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Tribunal de Justiça do Estado do Paraná</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Cleysson Willian Vilaca de Jesus</dc:creator>
  <keywords/>
  <dc:description/>
  <lastModifiedBy>Cleysson Willian Vilaca de Jesus</lastModifiedBy>
  <revision>128</revision>
  <lastPrinted>2025-07-11T18:35:00.0000000Z</lastPrinted>
  <dcterms:created xsi:type="dcterms:W3CDTF">2025-12-01T23:05:00.0000000Z</dcterms:created>
  <dcterms:modified xsi:type="dcterms:W3CDTF">2025-12-04T16:47:49.4620213Z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