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542A" w14:textId="76F97D6A" w:rsidR="00946B5F" w:rsidRDefault="00146748" w:rsidP="00146748">
      <w:pPr>
        <w:ind w:firstLine="0"/>
        <w:rPr>
          <w:b/>
        </w:rPr>
      </w:pPr>
      <w:r w:rsidRPr="00146748">
        <w:rPr>
          <w:b/>
        </w:rPr>
        <w:t xml:space="preserve">DIREITO </w:t>
      </w:r>
      <w:r w:rsidR="00973737">
        <w:rPr>
          <w:b/>
        </w:rPr>
        <w:t xml:space="preserve">CIVIL E </w:t>
      </w:r>
      <w:r w:rsidRPr="00146748">
        <w:rPr>
          <w:b/>
        </w:rPr>
        <w:t xml:space="preserve">PROCESSUAL CIVIL. </w:t>
      </w:r>
      <w:r w:rsidR="00946B5F">
        <w:rPr>
          <w:b/>
        </w:rPr>
        <w:t>AGRAVO DE INSTRUMENTO. CUMPRIMENTO DE SENTENÇA. MULTA. EXIGIBILIDADE. MARCO TEMPORAL. COISA JULGADA. PRECLUSÃO.</w:t>
      </w:r>
    </w:p>
    <w:p w14:paraId="153FB66C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I. CASO EM EXAME</w:t>
      </w:r>
    </w:p>
    <w:p w14:paraId="484608A7" w14:textId="6358F4A4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 xml:space="preserve">Agravo </w:t>
      </w:r>
      <w:r w:rsidR="00946B5F">
        <w:rPr>
          <w:b/>
        </w:rPr>
        <w:t>de instrumento interposto contra decisão que rejeitou impugnação ao cumprimento de sentença, sob o fundamento de que o memorial de cálculo refletia com correção o conteúdo da sentença.</w:t>
      </w:r>
    </w:p>
    <w:p w14:paraId="02435230" w14:textId="2D824473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II. QUESTÃO EM DISCUSSÃO</w:t>
      </w:r>
    </w:p>
    <w:p w14:paraId="6BB4A4A5" w14:textId="0EDE0769" w:rsidR="00146748" w:rsidRPr="00146748" w:rsidRDefault="00946B5F" w:rsidP="00146748">
      <w:pPr>
        <w:ind w:firstLine="0"/>
        <w:rPr>
          <w:b/>
        </w:rPr>
      </w:pPr>
      <w:r>
        <w:rPr>
          <w:b/>
        </w:rPr>
        <w:t>Definição do marco temporal de exigibilidade da multa contratual, a ser compensada no saldo devedor.</w:t>
      </w:r>
    </w:p>
    <w:p w14:paraId="7BDADEFD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III. RAZÕES DE DECIDIR</w:t>
      </w:r>
    </w:p>
    <w:p w14:paraId="35D4FC9E" w14:textId="03DDFE2F" w:rsidR="00146748" w:rsidRPr="00146748" w:rsidRDefault="00946B5F" w:rsidP="00146748">
      <w:pPr>
        <w:ind w:firstLine="0"/>
        <w:rPr>
          <w:b/>
        </w:rPr>
      </w:pPr>
      <w:r>
        <w:rPr>
          <w:b/>
        </w:rPr>
        <w:t>É d</w:t>
      </w:r>
      <w:r w:rsidRPr="00946B5F">
        <w:rPr>
          <w:b/>
        </w:rPr>
        <w:t xml:space="preserve">efeso rediscutir, em fase de cumprimento de sentença ou em sede recursal, o marco temporal de incidência de juros de mora e correção monetária da condenação, quando este tiver sido expressamente fixado no título executivo judicial e não tenha sido objeto de impugnação oportuna, em razão da preclusão prevista no </w:t>
      </w:r>
      <w:r>
        <w:rPr>
          <w:b/>
        </w:rPr>
        <w:t>a</w:t>
      </w:r>
      <w:r w:rsidRPr="00946B5F">
        <w:rPr>
          <w:b/>
        </w:rPr>
        <w:t>rt. 507 do Código de Processo Civil.</w:t>
      </w:r>
    </w:p>
    <w:p w14:paraId="6AF28E16" w14:textId="77777777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IV. SOLUÇÃO DO CASO</w:t>
      </w:r>
    </w:p>
    <w:p w14:paraId="7641D84D" w14:textId="60E57396" w:rsidR="00146748" w:rsidRPr="00146748" w:rsidRDefault="00146748" w:rsidP="00146748">
      <w:pPr>
        <w:ind w:firstLine="0"/>
        <w:rPr>
          <w:b/>
        </w:rPr>
      </w:pPr>
      <w:r w:rsidRPr="00146748">
        <w:rPr>
          <w:b/>
        </w:rPr>
        <w:t>Recurso conhecido e desprovido.</w:t>
      </w:r>
    </w:p>
    <w:p w14:paraId="34905683" w14:textId="57BA0C6E" w:rsidR="00146748" w:rsidRDefault="00146748" w:rsidP="00146748">
      <w:pPr>
        <w:ind w:firstLine="0"/>
        <w:rPr>
          <w:b/>
        </w:rPr>
      </w:pPr>
      <w:r w:rsidRPr="00146748">
        <w:rPr>
          <w:b/>
        </w:rPr>
        <w:t>V. LEGISLAÇÃO</w:t>
      </w:r>
      <w:r w:rsidR="002E3B2D">
        <w:rPr>
          <w:b/>
        </w:rPr>
        <w:t xml:space="preserve"> E JURISPRUDÊNCIA</w:t>
      </w:r>
      <w:r w:rsidRPr="00146748">
        <w:rPr>
          <w:b/>
        </w:rPr>
        <w:t xml:space="preserve"> UTILIZADA</w:t>
      </w:r>
      <w:r w:rsidR="002E3B2D">
        <w:rPr>
          <w:b/>
        </w:rPr>
        <w:t>S</w:t>
      </w:r>
    </w:p>
    <w:p w14:paraId="7E8C20B6" w14:textId="42523F31" w:rsidR="002E3B2D" w:rsidRDefault="002E3B2D" w:rsidP="00146748">
      <w:pPr>
        <w:ind w:firstLine="0"/>
        <w:rPr>
          <w:b/>
        </w:rPr>
      </w:pPr>
      <w:r>
        <w:rPr>
          <w:b/>
        </w:rPr>
        <w:t>V.I. Legislação</w:t>
      </w:r>
    </w:p>
    <w:p w14:paraId="75B8AAFD" w14:textId="67C1360F" w:rsidR="00946B5F" w:rsidRDefault="00946B5F" w:rsidP="00146748">
      <w:pPr>
        <w:ind w:firstLine="0"/>
        <w:rPr>
          <w:b/>
        </w:rPr>
      </w:pPr>
      <w:r>
        <w:rPr>
          <w:b/>
        </w:rPr>
        <w:t>CPC: art. 507.</w:t>
      </w:r>
    </w:p>
    <w:p w14:paraId="45F874BD" w14:textId="77777777" w:rsidR="00497AB4" w:rsidRDefault="002E3B2D" w:rsidP="00146748">
      <w:pPr>
        <w:ind w:firstLine="0"/>
        <w:rPr>
          <w:b/>
        </w:rPr>
      </w:pPr>
      <w:r>
        <w:rPr>
          <w:b/>
        </w:rPr>
        <w:t>V.II. Jurisprudência</w:t>
      </w:r>
    </w:p>
    <w:p w14:paraId="5E7BB2B0" w14:textId="68B6D77B" w:rsidR="00497AB4" w:rsidRDefault="00497AB4" w:rsidP="00146748">
      <w:pPr>
        <w:ind w:firstLine="0"/>
        <w:rPr>
          <w:b/>
        </w:rPr>
      </w:pPr>
      <w:r w:rsidRPr="00497AB4">
        <w:rPr>
          <w:b/>
        </w:rPr>
        <w:t xml:space="preserve">STJ. Terceira Turma. Relator: Ministro Marco Aurélio </w:t>
      </w:r>
      <w:proofErr w:type="spellStart"/>
      <w:r w:rsidRPr="00497AB4">
        <w:rPr>
          <w:b/>
        </w:rPr>
        <w:t>Bellizze</w:t>
      </w:r>
      <w:proofErr w:type="spellEnd"/>
      <w:r w:rsidRPr="00497AB4">
        <w:rPr>
          <w:b/>
        </w:rPr>
        <w:t xml:space="preserve">. AgInt no </w:t>
      </w:r>
      <w:proofErr w:type="spellStart"/>
      <w:r w:rsidRPr="00497AB4">
        <w:rPr>
          <w:b/>
        </w:rPr>
        <w:t>AREsp</w:t>
      </w:r>
      <w:proofErr w:type="spellEnd"/>
      <w:r w:rsidRPr="00497AB4">
        <w:rPr>
          <w:b/>
        </w:rPr>
        <w:t>: 2551197 RS 2024/0017917-7. Data de julgamento: 12-8-2024. Data de publicação: 15-8-2024</w:t>
      </w:r>
      <w:r>
        <w:rPr>
          <w:b/>
        </w:rPr>
        <w:t>.</w:t>
      </w:r>
    </w:p>
    <w:p w14:paraId="019BC04E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</w:p>
    <w:p w14:paraId="4F2D2C21" w14:textId="77777777"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lastRenderedPageBreak/>
        <w:t>I – RELATÓRIO</w:t>
      </w:r>
    </w:p>
    <w:p w14:paraId="0B82193D" w14:textId="797A1045" w:rsidR="00946B5F" w:rsidRDefault="00AA28DF" w:rsidP="00AA28DF">
      <w:pPr>
        <w:pStyle w:val="PargrafodaLista"/>
        <w:ind w:left="0"/>
        <w:contextualSpacing w:val="0"/>
      </w:pPr>
      <w:r>
        <w:t>Cuida-se de</w:t>
      </w:r>
      <w:r w:rsidR="00946B5F">
        <w:t xml:space="preserve"> agravo de instrumento interposto por Kelly Fernanda Rodrigues de Freitas </w:t>
      </w:r>
      <w:proofErr w:type="spellStart"/>
      <w:r w:rsidR="00946B5F">
        <w:t>Renovato</w:t>
      </w:r>
      <w:proofErr w:type="spellEnd"/>
      <w:r w:rsidR="00946B5F">
        <w:t xml:space="preserve"> em face de Raphael Henrique Dias de Paula, tendo como objeto decisão proferida pelo juízo da 5ª Vara Cível de Maringá, que rejeitou impugnação do cumprimento de sentença (evento 323.1 – autos de origem).</w:t>
      </w:r>
    </w:p>
    <w:p w14:paraId="59C04130" w14:textId="39E194A2" w:rsidR="00946B5F" w:rsidRDefault="00946B5F" w:rsidP="00AA28DF">
      <w:pPr>
        <w:pStyle w:val="PargrafodaLista"/>
        <w:ind w:left="0"/>
        <w:contextualSpacing w:val="0"/>
      </w:pPr>
      <w:r>
        <w:t>Sustenta a agravante, em síntese, que: a) a multa contratual aplicada na sentença em seu favor, no valor de R$ 13.000,00 (treze mil reais), deve ser abatida do saldo devedor; b) a compensação, para abatimento da multa, deve ser computada para o dia 28-9-2015 (evento 1.1).</w:t>
      </w:r>
    </w:p>
    <w:p w14:paraId="4004CF92" w14:textId="3505F8D2" w:rsidR="00946B5F" w:rsidRDefault="00946B5F" w:rsidP="00AA28DF">
      <w:pPr>
        <w:pStyle w:val="PargrafodaLista"/>
        <w:ind w:left="0"/>
        <w:contextualSpacing w:val="0"/>
      </w:pPr>
      <w:r>
        <w:t>Preliminarmente, atribuiu-se efeito suspensivo ao recurso, ante a plausibilidade da pretensão e o risco de dano grave, decorrente da continuidade do processo executório (evento 8.1).</w:t>
      </w:r>
    </w:p>
    <w:p w14:paraId="6C6E3083" w14:textId="4EF86009" w:rsidR="00AA28DF" w:rsidRDefault="00946B5F" w:rsidP="7EC35FD4">
      <w:pPr>
        <w:pStyle w:val="PargrafodaLista"/>
        <w:ind w:left="0"/>
      </w:pPr>
      <w:r>
        <w:t xml:space="preserve">Nas contrarrazões, o agravado argumentou que o cálculo foi elaborado em esteira observância do conteúdo da sentença, </w:t>
      </w:r>
      <w:r w:rsidR="68B5A521">
        <w:t>manifestando-se</w:t>
      </w:r>
      <w:r>
        <w:t xml:space="preserve"> pelo desprovimento do recurso (evento 15.1).</w:t>
      </w:r>
    </w:p>
    <w:p w14:paraId="5A480162" w14:textId="77777777" w:rsidR="00AA28DF" w:rsidRDefault="00AA28DF" w:rsidP="00877419">
      <w:pPr>
        <w:pStyle w:val="PargrafodaLista"/>
        <w:ind w:left="0"/>
        <w:contextualSpacing w:val="0"/>
      </w:pPr>
      <w:r>
        <w:t>É o necessário relato.</w:t>
      </w:r>
    </w:p>
    <w:p w14:paraId="1769E6BE" w14:textId="77777777" w:rsidR="00AA28DF" w:rsidRDefault="00AA28DF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2E838C05" w14:textId="230F089B" w:rsidR="00946B5F" w:rsidRDefault="00946B5F" w:rsidP="00877419">
      <w:pPr>
        <w:pStyle w:val="PargrafodaLista"/>
        <w:ind w:left="0"/>
        <w:contextualSpacing w:val="0"/>
      </w:pPr>
      <w:r>
        <w:t>Satisfeitos os pressupostos de admissibilidade, conhece-se do recurso interposto.</w:t>
      </w:r>
    </w:p>
    <w:p w14:paraId="68FAD990" w14:textId="77777777" w:rsidR="00946B5F" w:rsidRDefault="00946B5F" w:rsidP="00877419">
      <w:pPr>
        <w:pStyle w:val="PargrafodaLista"/>
        <w:ind w:left="0"/>
        <w:contextualSpacing w:val="0"/>
      </w:pPr>
    </w:p>
    <w:p w14:paraId="1B2E6887" w14:textId="694D7EDC" w:rsidR="00946B5F" w:rsidRDefault="00946B5F" w:rsidP="00877419">
      <w:pPr>
        <w:pStyle w:val="PargrafodaLista"/>
        <w:ind w:left="0"/>
        <w:contextualSpacing w:val="0"/>
      </w:pPr>
      <w:r>
        <w:t>II.II – DOS PARÂMETROS DE CÁLCULO</w:t>
      </w:r>
    </w:p>
    <w:p w14:paraId="31F45480" w14:textId="061B5AF5" w:rsidR="00946B5F" w:rsidRDefault="00946B5F" w:rsidP="00877419">
      <w:pPr>
        <w:pStyle w:val="PargrafodaLista"/>
        <w:ind w:left="0"/>
        <w:contextualSpacing w:val="0"/>
      </w:pPr>
      <w:r>
        <w:t xml:space="preserve">Cinge-se a controvérsia recursal à definição do parâmetro temporal da multa contratual, devida pelo agravado Raphael Henrique Dias de Paula à agravante Kelly Fernanda Rodrigues de Freitas </w:t>
      </w:r>
      <w:proofErr w:type="spellStart"/>
      <w:r>
        <w:t>Renovato</w:t>
      </w:r>
      <w:proofErr w:type="spellEnd"/>
      <w:r>
        <w:t>.</w:t>
      </w:r>
    </w:p>
    <w:p w14:paraId="42C73514" w14:textId="3B326BC3" w:rsidR="00946B5F" w:rsidRDefault="00946B5F" w:rsidP="00877419">
      <w:pPr>
        <w:pStyle w:val="PargrafodaLista"/>
        <w:ind w:left="0"/>
        <w:contextualSpacing w:val="0"/>
      </w:pPr>
      <w:r>
        <w:lastRenderedPageBreak/>
        <w:t>A parte agravante sustenta que a multa deve ser abatida de seu débito desde a respectiva gênese, de modo que o valor exequendo constitui-se da diferença entre as rubricas, com incidência de correção monetária e juros.</w:t>
      </w:r>
    </w:p>
    <w:p w14:paraId="3E0A1067" w14:textId="0BA82CAB" w:rsidR="00946B5F" w:rsidRDefault="00946B5F" w:rsidP="00877419">
      <w:pPr>
        <w:pStyle w:val="PargrafodaLista"/>
        <w:ind w:left="0"/>
        <w:contextualSpacing w:val="0"/>
      </w:pPr>
      <w:r>
        <w:t>Sem razão.</w:t>
      </w:r>
    </w:p>
    <w:p w14:paraId="7BD1FC49" w14:textId="580D96CB" w:rsidR="00946B5F" w:rsidRDefault="00946B5F" w:rsidP="00946B5F">
      <w:pPr>
        <w:pStyle w:val="PargrafodaLista"/>
        <w:ind w:left="0"/>
        <w:contextualSpacing w:val="0"/>
      </w:pPr>
      <w:r>
        <w:t>A sentença estabeleceu, de maneira expressa, a condenação do agravado ao pagamento de multa rescisória no valor de 10% (dez por cento) do contrato, com incidência de correção monetária desde a publicação da sentença e juros de mora contados do trânsito em julgado (evento 277.1 – autos de origem).</w:t>
      </w:r>
    </w:p>
    <w:p w14:paraId="729E7063" w14:textId="6F08ED42" w:rsidR="00946B5F" w:rsidRDefault="00946B5F" w:rsidP="7EC35FD4">
      <w:pPr>
        <w:pStyle w:val="PargrafodaLista"/>
        <w:ind w:left="0"/>
      </w:pPr>
      <w:r>
        <w:t>Portanto, a pretensão de modificação do marco temporal da exigibilidade da multa encontra óbice na expressa previsão do artigo 507 do Código de Processo Civil.</w:t>
      </w:r>
    </w:p>
    <w:p w14:paraId="2F227FBE" w14:textId="1FE13E35" w:rsidR="1660573A" w:rsidRDefault="1660573A" w:rsidP="7EC35FD4">
      <w:pPr>
        <w:pStyle w:val="PargrafodaLista"/>
        <w:ind w:left="0"/>
      </w:pPr>
      <w:r>
        <w:t>Neste sentido:</w:t>
      </w:r>
    </w:p>
    <w:p w14:paraId="1C3F3F9C" w14:textId="56434464" w:rsidR="7EC35FD4" w:rsidRDefault="7EC35FD4" w:rsidP="7EC35FD4">
      <w:pPr>
        <w:pStyle w:val="PargrafodaLista"/>
        <w:ind w:left="0"/>
      </w:pPr>
    </w:p>
    <w:p w14:paraId="49515340" w14:textId="210B1A91" w:rsidR="1660573A" w:rsidRPr="002F7B60" w:rsidRDefault="1660573A" w:rsidP="002F7B60">
      <w:pPr>
        <w:pStyle w:val="PargrafodaLista"/>
        <w:ind w:left="2124" w:firstLine="0"/>
        <w:rPr>
          <w:sz w:val="20"/>
          <w:szCs w:val="20"/>
        </w:rPr>
      </w:pPr>
      <w:r w:rsidRPr="00480D4A">
        <w:rPr>
          <w:sz w:val="20"/>
          <w:szCs w:val="20"/>
        </w:rPr>
        <w:t xml:space="preserve">AGRAVO INTERNO NO AGRAVO EM RECURSO ESPECIAL. AGRAVO DE INSTRUMENTO. CUMPRIMENTO DE SENTENÇA. JUROS DE MORA. CORREÇÃO MONETÁRIA. APLICAÇÃO DA TAXA SELIC. IMPOSSIBILIDADE. OFENSA À COISA JULGADA. DECISÃO MONOCRÁTICA. IMPRESTABILIDADE À COMPROVAÇÃO DA DIVERGÊNCIA JURISPRUDENCIAL. AGRAVO INTERNO DESPROVIDO. 1. Esta Corte Superior entende que proceder à alteração dos índices de correção monetária estabelecidos no título judicial, na fase de cumprimento de sentença, configuraria violação à coisa julgada. 2. Na hipótese, haja vista o título judicial consignar expressamente índices de correção monetária e de juros de mora, a sua substituição pela taxa SELIC - na fase de cumprimento de sentença - viola a coisa julgada. 3. A jurisprudência do Superior Tribunal de Justiça, "interpretando o art. 1.043, incisos I e III, do CPC, firmou a orientação de que decisão monocrática não pode ser adotada como paradigma para fins de comprovação da divergência" (AgInt nos </w:t>
      </w:r>
      <w:proofErr w:type="spellStart"/>
      <w:r w:rsidRPr="00480D4A">
        <w:rPr>
          <w:sz w:val="20"/>
          <w:szCs w:val="20"/>
        </w:rPr>
        <w:t>EAREsp</w:t>
      </w:r>
      <w:proofErr w:type="spellEnd"/>
      <w:r w:rsidRPr="00480D4A">
        <w:rPr>
          <w:sz w:val="20"/>
          <w:szCs w:val="20"/>
        </w:rPr>
        <w:t xml:space="preserve"> 1.185 .827/ES, Rel. o Ministro Jorge </w:t>
      </w:r>
      <w:proofErr w:type="spellStart"/>
      <w:r w:rsidRPr="00480D4A">
        <w:rPr>
          <w:sz w:val="20"/>
          <w:szCs w:val="20"/>
        </w:rPr>
        <w:t>Mussi</w:t>
      </w:r>
      <w:proofErr w:type="spellEnd"/>
      <w:r w:rsidRPr="00480D4A">
        <w:rPr>
          <w:sz w:val="20"/>
          <w:szCs w:val="20"/>
        </w:rPr>
        <w:t xml:space="preserve">, Corte Especial, julgado em 22/6/2021, </w:t>
      </w:r>
      <w:proofErr w:type="spellStart"/>
      <w:r w:rsidRPr="00480D4A">
        <w:rPr>
          <w:sz w:val="20"/>
          <w:szCs w:val="20"/>
        </w:rPr>
        <w:t>DJe</w:t>
      </w:r>
      <w:proofErr w:type="spellEnd"/>
      <w:r w:rsidRPr="00480D4A">
        <w:rPr>
          <w:sz w:val="20"/>
          <w:szCs w:val="20"/>
        </w:rPr>
        <w:t xml:space="preserve"> 24/6/2021). 4. Agravo interno desprovido (STJ</w:t>
      </w:r>
      <w:r w:rsidR="00480D4A">
        <w:rPr>
          <w:sz w:val="20"/>
          <w:szCs w:val="20"/>
        </w:rPr>
        <w:t xml:space="preserve">. Terceira Turma. Relator: Ministro Marco Aurélio </w:t>
      </w:r>
      <w:proofErr w:type="spellStart"/>
      <w:r w:rsidR="00480D4A">
        <w:rPr>
          <w:sz w:val="20"/>
          <w:szCs w:val="20"/>
        </w:rPr>
        <w:t>Bellizze</w:t>
      </w:r>
      <w:proofErr w:type="spellEnd"/>
      <w:r w:rsidR="00480D4A">
        <w:rPr>
          <w:sz w:val="20"/>
          <w:szCs w:val="20"/>
        </w:rPr>
        <w:t>.</w:t>
      </w:r>
      <w:r w:rsidRPr="00480D4A">
        <w:rPr>
          <w:sz w:val="20"/>
          <w:szCs w:val="20"/>
        </w:rPr>
        <w:t xml:space="preserve"> AgInt no </w:t>
      </w:r>
      <w:proofErr w:type="spellStart"/>
      <w:r w:rsidRPr="00480D4A">
        <w:rPr>
          <w:sz w:val="20"/>
          <w:szCs w:val="20"/>
        </w:rPr>
        <w:t>AREsp</w:t>
      </w:r>
      <w:proofErr w:type="spellEnd"/>
      <w:r w:rsidRPr="00480D4A">
        <w:rPr>
          <w:sz w:val="20"/>
          <w:szCs w:val="20"/>
        </w:rPr>
        <w:t>: 2551197 RS 2024/0017917-7</w:t>
      </w:r>
      <w:r w:rsidR="002F7B60">
        <w:rPr>
          <w:sz w:val="20"/>
          <w:szCs w:val="20"/>
        </w:rPr>
        <w:t>. Data de julgamento: 12-8-2024. Data de publicação: 15-8-2024).</w:t>
      </w:r>
    </w:p>
    <w:p w14:paraId="5AD158EA" w14:textId="6DF5CB84" w:rsidR="7EC35FD4" w:rsidRDefault="7EC35FD4" w:rsidP="7EC35FD4">
      <w:pPr>
        <w:pStyle w:val="PargrafodaLista"/>
        <w:ind w:left="0"/>
      </w:pPr>
    </w:p>
    <w:p w14:paraId="4DD70A86" w14:textId="7652C892" w:rsidR="00946B5F" w:rsidRDefault="00946B5F" w:rsidP="00946B5F">
      <w:pPr>
        <w:pStyle w:val="PargrafodaLista"/>
        <w:ind w:left="0"/>
        <w:contextualSpacing w:val="0"/>
      </w:pPr>
      <w:r>
        <w:t xml:space="preserve">Assim, como o demonstrativo de cálculo da parte </w:t>
      </w:r>
      <w:proofErr w:type="spellStart"/>
      <w:r>
        <w:t>exequente</w:t>
      </w:r>
      <w:proofErr w:type="spellEnd"/>
      <w:r>
        <w:t xml:space="preserve"> não contempla o vício apontado na impugnação, afasta-se o repto recursal.</w:t>
      </w:r>
    </w:p>
    <w:p w14:paraId="536A684F" w14:textId="77777777" w:rsidR="00946B5F" w:rsidRDefault="00946B5F" w:rsidP="00877419">
      <w:pPr>
        <w:pStyle w:val="PargrafodaLista"/>
        <w:ind w:left="0"/>
        <w:contextualSpacing w:val="0"/>
      </w:pPr>
    </w:p>
    <w:p w14:paraId="4F9B449E" w14:textId="59D353CB" w:rsidR="00AA28DF" w:rsidRDefault="00946B5F" w:rsidP="00877419">
      <w:pPr>
        <w:pStyle w:val="PargrafodaLista"/>
        <w:ind w:left="0"/>
        <w:contextualSpacing w:val="0"/>
      </w:pPr>
      <w:r>
        <w:lastRenderedPageBreak/>
        <w:t xml:space="preserve">II.III – </w:t>
      </w:r>
      <w:r w:rsidR="00AA28DF">
        <w:t>DA CONCLUSÃO</w:t>
      </w:r>
    </w:p>
    <w:p w14:paraId="12A4456E" w14:textId="471933D2" w:rsidR="00AA28DF" w:rsidRDefault="00AA28DF" w:rsidP="00877419">
      <w:pPr>
        <w:pStyle w:val="PargrafodaLista"/>
        <w:ind w:left="0"/>
        <w:contextualSpacing w:val="0"/>
      </w:pPr>
      <w:r>
        <w:t>Pela conjugação das premissas deduzidas, a conclusão a ser adota</w:t>
      </w:r>
      <w:r w:rsidR="00DC37B4">
        <w:t>da</w:t>
      </w:r>
      <w:r>
        <w:t xml:space="preserve"> consiste </w:t>
      </w:r>
      <w:r w:rsidR="00946B5F">
        <w:t>em conhecer e negar provimento ao recurso</w:t>
      </w:r>
      <w:r>
        <w:t>.</w:t>
      </w:r>
    </w:p>
    <w:p w14:paraId="4308533E" w14:textId="77777777"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14:paraId="316E59E6" w14:textId="77777777" w:rsidR="00AA28DF" w:rsidRDefault="00AA28DF" w:rsidP="00877419">
      <w:pPr>
        <w:pStyle w:val="PargrafodaLista"/>
        <w:ind w:left="0"/>
        <w:contextualSpacing w:val="0"/>
      </w:pPr>
    </w:p>
    <w:p w14:paraId="717BA75D" w14:textId="77777777"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r>
        <w:rPr>
          <w:b/>
        </w:rPr>
        <w:t>III - 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0A0"/>
    <w:multiLevelType w:val="hybridMultilevel"/>
    <w:tmpl w:val="B1D016C4"/>
    <w:lvl w:ilvl="0" w:tplc="FFFFFFFF">
      <w:start w:val="1"/>
      <w:numFmt w:val="lowerLetter"/>
      <w:lvlText w:val="%1)"/>
      <w:lvlJc w:val="left"/>
      <w:pPr>
        <w:ind w:left="11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49" w:hanging="360"/>
      </w:pPr>
    </w:lvl>
    <w:lvl w:ilvl="2" w:tplc="0416001B" w:tentative="1">
      <w:start w:val="1"/>
      <w:numFmt w:val="lowerRoman"/>
      <w:lvlText w:val="%3."/>
      <w:lvlJc w:val="right"/>
      <w:pPr>
        <w:ind w:left="2569" w:hanging="180"/>
      </w:pPr>
    </w:lvl>
    <w:lvl w:ilvl="3" w:tplc="0416000F" w:tentative="1">
      <w:start w:val="1"/>
      <w:numFmt w:val="decimal"/>
      <w:lvlText w:val="%4."/>
      <w:lvlJc w:val="left"/>
      <w:pPr>
        <w:ind w:left="3289" w:hanging="360"/>
      </w:pPr>
    </w:lvl>
    <w:lvl w:ilvl="4" w:tplc="04160019" w:tentative="1">
      <w:start w:val="1"/>
      <w:numFmt w:val="lowerLetter"/>
      <w:lvlText w:val="%5."/>
      <w:lvlJc w:val="left"/>
      <w:pPr>
        <w:ind w:left="4009" w:hanging="360"/>
      </w:pPr>
    </w:lvl>
    <w:lvl w:ilvl="5" w:tplc="0416001B" w:tentative="1">
      <w:start w:val="1"/>
      <w:numFmt w:val="lowerRoman"/>
      <w:lvlText w:val="%6."/>
      <w:lvlJc w:val="right"/>
      <w:pPr>
        <w:ind w:left="4729" w:hanging="180"/>
      </w:pPr>
    </w:lvl>
    <w:lvl w:ilvl="6" w:tplc="0416000F" w:tentative="1">
      <w:start w:val="1"/>
      <w:numFmt w:val="decimal"/>
      <w:lvlText w:val="%7."/>
      <w:lvlJc w:val="left"/>
      <w:pPr>
        <w:ind w:left="5449" w:hanging="360"/>
      </w:pPr>
    </w:lvl>
    <w:lvl w:ilvl="7" w:tplc="04160019" w:tentative="1">
      <w:start w:val="1"/>
      <w:numFmt w:val="lowerLetter"/>
      <w:lvlText w:val="%8."/>
      <w:lvlJc w:val="left"/>
      <w:pPr>
        <w:ind w:left="6169" w:hanging="360"/>
      </w:pPr>
    </w:lvl>
    <w:lvl w:ilvl="8" w:tplc="0416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1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1"/>
  </w:num>
  <w:num w:numId="2" w16cid:durableId="69797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146748"/>
    <w:rsid w:val="00165C47"/>
    <w:rsid w:val="001C2D4C"/>
    <w:rsid w:val="00294F02"/>
    <w:rsid w:val="002E3B2D"/>
    <w:rsid w:val="002F7B60"/>
    <w:rsid w:val="00480D4A"/>
    <w:rsid w:val="00497AB4"/>
    <w:rsid w:val="005B4039"/>
    <w:rsid w:val="005C5192"/>
    <w:rsid w:val="00672942"/>
    <w:rsid w:val="00794062"/>
    <w:rsid w:val="00877419"/>
    <w:rsid w:val="00946B5F"/>
    <w:rsid w:val="00973737"/>
    <w:rsid w:val="009D0D3E"/>
    <w:rsid w:val="00AA28DF"/>
    <w:rsid w:val="00AE47D1"/>
    <w:rsid w:val="00AF3AC7"/>
    <w:rsid w:val="00BC64BE"/>
    <w:rsid w:val="00D164AC"/>
    <w:rsid w:val="00D37894"/>
    <w:rsid w:val="00D56A92"/>
    <w:rsid w:val="00DC37B4"/>
    <w:rsid w:val="00FE0C12"/>
    <w:rsid w:val="1660573A"/>
    <w:rsid w:val="42AB6911"/>
    <w:rsid w:val="68B5A521"/>
    <w:rsid w:val="76FD0835"/>
    <w:rsid w:val="7EC3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64CD55-EC12-4DA1-BD3C-7E8CDCD7F7B8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04bd5eb-5da3-4c78-b159-2bc8443a6345"/>
    <ds:schemaRef ds:uri="0b1c8c71-5c14-46ef-9c85-f6af5a95de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749</Words>
  <Characters>4047</Characters>
  <Application>Microsoft Office Word</Application>
  <DocSecurity>0</DocSecurity>
  <Lines>33</Lines>
  <Paragraphs>9</Paragraphs>
  <ScaleCrop>false</ScaleCrop>
  <Company>Tribunal de Justiça do Estado do Paraná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8</cp:revision>
  <cp:lastPrinted>2025-07-11T18:35:00Z</cp:lastPrinted>
  <dcterms:created xsi:type="dcterms:W3CDTF">2025-11-03T18:47:00Z</dcterms:created>
  <dcterms:modified xsi:type="dcterms:W3CDTF">2025-11-10T13:53:00Z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