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C9293" w14:textId="460E2ECC" w:rsidR="00287160" w:rsidRDefault="00287160" w:rsidP="00287160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  <w:r>
        <w:rPr>
          <w:rFonts w:eastAsiaTheme="minorHAnsi"/>
          <w:b/>
          <w:bCs/>
          <w:sz w:val="24"/>
          <w:szCs w:val="24"/>
          <w:lang w:eastAsia="en-US"/>
        </w:rPr>
        <w:t xml:space="preserve">DECISÃO MONOCRÁTICA. JUÍZO DE RETRATAÇÃO. SUPRESSÃO DE INSTÂNCIA. AGRAVO INTERNO. AGRAVO DE INSTRUMENTO. </w:t>
      </w:r>
      <w:r w:rsidR="009B1630">
        <w:rPr>
          <w:rFonts w:eastAsiaTheme="minorHAnsi"/>
          <w:b/>
          <w:bCs/>
          <w:sz w:val="24"/>
          <w:szCs w:val="24"/>
          <w:lang w:eastAsia="en-US"/>
        </w:rPr>
        <w:t>BUSCA E APREENSÃO. ALIENAÇÃO FIDUCIÁRIA.</w:t>
      </w:r>
    </w:p>
    <w:p w14:paraId="295FC555" w14:textId="77777777" w:rsidR="00287160" w:rsidRPr="00E32DDF" w:rsidRDefault="00287160" w:rsidP="00287160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  <w:r w:rsidRPr="00E32DDF">
        <w:rPr>
          <w:rFonts w:eastAsiaTheme="minorHAnsi"/>
          <w:b/>
          <w:bCs/>
          <w:sz w:val="24"/>
          <w:szCs w:val="24"/>
          <w:lang w:eastAsia="en-US"/>
        </w:rPr>
        <w:t>I. CASO EM EXAME</w:t>
      </w:r>
    </w:p>
    <w:p w14:paraId="5A220B05" w14:textId="77777777" w:rsidR="00287160" w:rsidRDefault="00287160" w:rsidP="00287160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  <w:r w:rsidRPr="00F304A5">
        <w:rPr>
          <w:rFonts w:eastAsiaTheme="minorHAnsi"/>
          <w:b/>
          <w:bCs/>
          <w:sz w:val="24"/>
          <w:szCs w:val="24"/>
          <w:lang w:eastAsia="en-US"/>
        </w:rPr>
        <w:t xml:space="preserve">Agravo interno interposto contra decisão monocrática que </w:t>
      </w:r>
      <w:r>
        <w:rPr>
          <w:rFonts w:eastAsiaTheme="minorHAnsi"/>
          <w:b/>
          <w:bCs/>
          <w:sz w:val="24"/>
          <w:szCs w:val="24"/>
          <w:lang w:eastAsia="en-US"/>
        </w:rPr>
        <w:t>exerceu juízo negativo de admissibilidade de agravo de instrumento.</w:t>
      </w:r>
    </w:p>
    <w:p w14:paraId="670DA10C" w14:textId="77777777" w:rsidR="00287160" w:rsidRDefault="00287160" w:rsidP="00287160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  <w:r w:rsidRPr="00F304A5">
        <w:rPr>
          <w:rFonts w:eastAsiaTheme="minorHAnsi"/>
          <w:b/>
          <w:bCs/>
          <w:sz w:val="24"/>
          <w:szCs w:val="24"/>
          <w:lang w:eastAsia="en-US"/>
        </w:rPr>
        <w:t>II. QUESTÃO EM DISCUSSÃO</w:t>
      </w:r>
    </w:p>
    <w:p w14:paraId="10E82839" w14:textId="77777777" w:rsidR="00287160" w:rsidRPr="00F304A5" w:rsidRDefault="00287160" w:rsidP="00287160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  <w:r>
        <w:rPr>
          <w:rFonts w:eastAsiaTheme="minorHAnsi"/>
          <w:b/>
          <w:bCs/>
          <w:sz w:val="24"/>
          <w:szCs w:val="24"/>
          <w:lang w:eastAsia="en-US"/>
        </w:rPr>
        <w:t>Pretensão de reforma de decisão negativa de admissibilidade recursal, por supressão de instância, sob o argumento de que as razões de inconformismo não excederam o conteúdo da decisão impugnada.</w:t>
      </w:r>
    </w:p>
    <w:p w14:paraId="355BC489" w14:textId="77777777" w:rsidR="00287160" w:rsidRPr="00F304A5" w:rsidRDefault="00287160" w:rsidP="00287160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  <w:r w:rsidRPr="00F304A5">
        <w:rPr>
          <w:rFonts w:eastAsiaTheme="minorHAnsi"/>
          <w:b/>
          <w:bCs/>
          <w:sz w:val="24"/>
          <w:szCs w:val="24"/>
          <w:lang w:eastAsia="en-US"/>
        </w:rPr>
        <w:t>III. RAZÕES DE DECIDIR</w:t>
      </w:r>
    </w:p>
    <w:p w14:paraId="1C8F8D98" w14:textId="0F274A49" w:rsidR="00287160" w:rsidRPr="00F304A5" w:rsidRDefault="00287160" w:rsidP="00287160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  <w:r>
        <w:rPr>
          <w:rFonts w:eastAsiaTheme="minorHAnsi"/>
          <w:b/>
          <w:bCs/>
          <w:sz w:val="24"/>
          <w:szCs w:val="24"/>
          <w:lang w:eastAsia="en-US"/>
        </w:rPr>
        <w:t>A constatação do preenchimento dos pressupostos recursais, a partir de nova perspectiva possibilitada pelo exame de agravo interno, possibilita o exercício de juízo de retratação para admissão do recurso originário.</w:t>
      </w:r>
    </w:p>
    <w:p w14:paraId="4A37C12E" w14:textId="77777777" w:rsidR="00287160" w:rsidRPr="00F304A5" w:rsidRDefault="00287160" w:rsidP="00287160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  <w:r w:rsidRPr="00F304A5">
        <w:rPr>
          <w:rFonts w:eastAsiaTheme="minorHAnsi"/>
          <w:b/>
          <w:bCs/>
          <w:sz w:val="24"/>
          <w:szCs w:val="24"/>
          <w:lang w:eastAsia="en-US"/>
        </w:rPr>
        <w:t>IV. SOLUÇÃO DO CASO</w:t>
      </w:r>
    </w:p>
    <w:p w14:paraId="57FAEE0E" w14:textId="77777777" w:rsidR="00287160" w:rsidRPr="00F304A5" w:rsidRDefault="00287160" w:rsidP="00287160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  <w:r>
        <w:rPr>
          <w:rFonts w:eastAsiaTheme="minorHAnsi"/>
          <w:b/>
          <w:bCs/>
          <w:sz w:val="24"/>
          <w:szCs w:val="24"/>
          <w:lang w:eastAsia="en-US"/>
        </w:rPr>
        <w:t>Juízo de retratação exercido.</w:t>
      </w:r>
    </w:p>
    <w:p w14:paraId="508B81F3" w14:textId="77777777" w:rsidR="00287160" w:rsidRPr="00F304A5" w:rsidRDefault="00287160" w:rsidP="00287160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  <w:r w:rsidRPr="00F304A5">
        <w:rPr>
          <w:rFonts w:eastAsiaTheme="minorHAnsi"/>
          <w:b/>
          <w:bCs/>
          <w:sz w:val="24"/>
          <w:szCs w:val="24"/>
          <w:lang w:eastAsia="en-US"/>
        </w:rPr>
        <w:t>V. LEGISLAÇÃO</w:t>
      </w:r>
      <w:r>
        <w:rPr>
          <w:rFonts w:eastAsiaTheme="minorHAnsi"/>
          <w:b/>
          <w:bCs/>
          <w:sz w:val="24"/>
          <w:szCs w:val="24"/>
          <w:lang w:eastAsia="en-US"/>
        </w:rPr>
        <w:t xml:space="preserve"> </w:t>
      </w:r>
      <w:r w:rsidRPr="00F304A5">
        <w:rPr>
          <w:rFonts w:eastAsiaTheme="minorHAnsi"/>
          <w:b/>
          <w:bCs/>
          <w:sz w:val="24"/>
          <w:szCs w:val="24"/>
          <w:lang w:eastAsia="en-US"/>
        </w:rPr>
        <w:t>UTILIZADA</w:t>
      </w:r>
    </w:p>
    <w:p w14:paraId="0F389FEF" w14:textId="195726BA" w:rsidR="009E4ED7" w:rsidRDefault="00287160" w:rsidP="00287160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  <w:r w:rsidRPr="00F304A5">
        <w:rPr>
          <w:rFonts w:eastAsiaTheme="minorHAnsi"/>
          <w:b/>
          <w:bCs/>
          <w:sz w:val="24"/>
          <w:szCs w:val="24"/>
          <w:lang w:eastAsia="en-US"/>
        </w:rPr>
        <w:t>CPC:</w:t>
      </w:r>
      <w:r w:rsidR="00975384">
        <w:rPr>
          <w:rFonts w:eastAsiaTheme="minorHAnsi"/>
          <w:b/>
          <w:bCs/>
          <w:sz w:val="24"/>
          <w:szCs w:val="24"/>
          <w:lang w:eastAsia="en-US"/>
        </w:rPr>
        <w:t xml:space="preserve"> art. 4º; art. 1.019; art. </w:t>
      </w:r>
      <w:r w:rsidR="003940B9">
        <w:rPr>
          <w:rFonts w:eastAsiaTheme="minorHAnsi"/>
          <w:b/>
          <w:bCs/>
          <w:sz w:val="24"/>
          <w:szCs w:val="24"/>
          <w:lang w:eastAsia="en-US"/>
        </w:rPr>
        <w:t>1.021, §2º</w:t>
      </w:r>
      <w:r w:rsidR="00975384">
        <w:rPr>
          <w:rFonts w:eastAsiaTheme="minorHAnsi"/>
          <w:b/>
          <w:bCs/>
          <w:sz w:val="24"/>
          <w:szCs w:val="24"/>
          <w:lang w:eastAsia="en-US"/>
        </w:rPr>
        <w:t>.</w:t>
      </w:r>
    </w:p>
    <w:p w14:paraId="6D81F9C6" w14:textId="06B63822" w:rsidR="003940B9" w:rsidRDefault="003940B9" w:rsidP="00287160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  <w:r>
        <w:rPr>
          <w:rFonts w:eastAsiaTheme="minorHAnsi"/>
          <w:b/>
          <w:bCs/>
          <w:sz w:val="24"/>
          <w:szCs w:val="24"/>
          <w:lang w:eastAsia="en-US"/>
        </w:rPr>
        <w:t>DL n. 911/1969: art. 2º, §2º.</w:t>
      </w:r>
    </w:p>
    <w:p w14:paraId="268BCC15" w14:textId="3CD5F8EF" w:rsidR="003940B9" w:rsidRPr="0060506F" w:rsidRDefault="003940B9" w:rsidP="00287160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  <w:r>
        <w:rPr>
          <w:rFonts w:eastAsiaTheme="minorHAnsi"/>
          <w:b/>
          <w:bCs/>
          <w:sz w:val="24"/>
          <w:szCs w:val="24"/>
          <w:lang w:eastAsia="en-US"/>
        </w:rPr>
        <w:t>CF</w:t>
      </w:r>
      <w:r w:rsidR="00975384">
        <w:rPr>
          <w:rFonts w:eastAsiaTheme="minorHAnsi"/>
          <w:b/>
          <w:bCs/>
          <w:sz w:val="24"/>
          <w:szCs w:val="24"/>
          <w:lang w:eastAsia="en-US"/>
        </w:rPr>
        <w:t>: art. 5º, XXXV.</w:t>
      </w:r>
    </w:p>
    <w:p w14:paraId="710994DB" w14:textId="77777777" w:rsidR="00287160" w:rsidRDefault="00287160" w:rsidP="007C1295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</w:p>
    <w:p w14:paraId="690FEF65" w14:textId="5699290F" w:rsidR="007C1295" w:rsidRDefault="007C1295" w:rsidP="007C1295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  <w:r>
        <w:rPr>
          <w:rFonts w:eastAsiaTheme="minorHAnsi"/>
          <w:b/>
          <w:bCs/>
          <w:sz w:val="24"/>
          <w:szCs w:val="24"/>
          <w:lang w:eastAsia="en-US"/>
        </w:rPr>
        <w:t>I – RELATÓRIO</w:t>
      </w:r>
    </w:p>
    <w:p w14:paraId="7DE6904C" w14:textId="71745FC2" w:rsidR="00A01507" w:rsidRDefault="006C41DC" w:rsidP="00700FAE">
      <w:pPr>
        <w:spacing w:after="240" w:line="360" w:lineRule="auto"/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Cuida-se de agravo interno interposto </w:t>
      </w:r>
      <w:r w:rsidR="00EC0E19">
        <w:rPr>
          <w:rFonts w:eastAsiaTheme="minorHAnsi"/>
          <w:sz w:val="24"/>
          <w:szCs w:val="24"/>
          <w:lang w:eastAsia="en-US"/>
        </w:rPr>
        <w:t xml:space="preserve">por </w:t>
      </w:r>
      <w:r w:rsidR="00CE184B">
        <w:rPr>
          <w:rFonts w:eastAsiaTheme="minorHAnsi"/>
          <w:sz w:val="24"/>
          <w:szCs w:val="24"/>
          <w:lang w:eastAsia="en-US"/>
        </w:rPr>
        <w:t xml:space="preserve">Francisco Vanderlei dos Santos em face de Banco J. Safra S. A., tendo como </w:t>
      </w:r>
      <w:r w:rsidR="00C3107A">
        <w:rPr>
          <w:rFonts w:eastAsiaTheme="minorHAnsi"/>
          <w:sz w:val="24"/>
          <w:szCs w:val="24"/>
          <w:lang w:eastAsia="en-US"/>
        </w:rPr>
        <w:t>objeto</w:t>
      </w:r>
      <w:r w:rsidR="00700FAE">
        <w:rPr>
          <w:rFonts w:eastAsiaTheme="minorHAnsi"/>
          <w:sz w:val="24"/>
          <w:szCs w:val="24"/>
          <w:lang w:eastAsia="en-US"/>
        </w:rPr>
        <w:t xml:space="preserve"> a</w:t>
      </w:r>
      <w:r w:rsidR="00C3107A">
        <w:rPr>
          <w:rFonts w:eastAsiaTheme="minorHAnsi"/>
          <w:sz w:val="24"/>
          <w:szCs w:val="24"/>
          <w:lang w:eastAsia="en-US"/>
        </w:rPr>
        <w:t xml:space="preserve"> decisão unipessoal, que negou seguimento ao agravo de instrumento </w:t>
      </w:r>
      <w:r w:rsidR="00A01507">
        <w:rPr>
          <w:rFonts w:eastAsiaTheme="minorHAnsi"/>
          <w:sz w:val="24"/>
          <w:szCs w:val="24"/>
          <w:lang w:eastAsia="en-US"/>
        </w:rPr>
        <w:t xml:space="preserve">do ora recorrente (evento </w:t>
      </w:r>
      <w:r w:rsidR="00A90B3A">
        <w:rPr>
          <w:rFonts w:eastAsiaTheme="minorHAnsi"/>
          <w:sz w:val="24"/>
          <w:szCs w:val="24"/>
          <w:lang w:eastAsia="en-US"/>
        </w:rPr>
        <w:t>9</w:t>
      </w:r>
      <w:r w:rsidR="00A01507">
        <w:rPr>
          <w:rFonts w:eastAsiaTheme="minorHAnsi"/>
          <w:sz w:val="24"/>
          <w:szCs w:val="24"/>
          <w:lang w:eastAsia="en-US"/>
        </w:rPr>
        <w:t xml:space="preserve">.1 – </w:t>
      </w:r>
      <w:r w:rsidR="00A90B3A">
        <w:rPr>
          <w:rFonts w:eastAsiaTheme="minorHAnsi"/>
          <w:sz w:val="24"/>
          <w:szCs w:val="24"/>
          <w:lang w:eastAsia="en-US"/>
        </w:rPr>
        <w:t xml:space="preserve">autos n. </w:t>
      </w:r>
      <w:r w:rsidR="00A90B3A" w:rsidRPr="00A90B3A">
        <w:rPr>
          <w:rFonts w:eastAsiaTheme="minorHAnsi"/>
          <w:sz w:val="24"/>
          <w:szCs w:val="24"/>
          <w:lang w:eastAsia="en-US"/>
        </w:rPr>
        <w:t>0026694-14.2025.8.16.0000 A</w:t>
      </w:r>
      <w:r w:rsidR="00A01507">
        <w:rPr>
          <w:rFonts w:eastAsiaTheme="minorHAnsi"/>
          <w:sz w:val="24"/>
          <w:szCs w:val="24"/>
          <w:lang w:eastAsia="en-US"/>
        </w:rPr>
        <w:t>I).</w:t>
      </w:r>
    </w:p>
    <w:p w14:paraId="07F45072" w14:textId="62133DA6" w:rsidR="00BC7409" w:rsidRDefault="00BC7409" w:rsidP="00BC7409">
      <w:pPr>
        <w:spacing w:after="240" w:line="360" w:lineRule="auto"/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lastRenderedPageBreak/>
        <w:t>Eis, em síntese, as razões de inconformismo:</w:t>
      </w:r>
      <w:r w:rsidR="00C13657">
        <w:rPr>
          <w:rFonts w:eastAsiaTheme="minorHAnsi"/>
          <w:sz w:val="24"/>
          <w:szCs w:val="24"/>
          <w:lang w:eastAsia="en-US"/>
        </w:rPr>
        <w:t xml:space="preserve"> a) o agravo de instrumento constitui o único meio impugnativo de tutelas provisória</w:t>
      </w:r>
      <w:r w:rsidR="008666B0">
        <w:rPr>
          <w:rFonts w:eastAsiaTheme="minorHAnsi"/>
          <w:sz w:val="24"/>
          <w:szCs w:val="24"/>
          <w:lang w:eastAsia="en-US"/>
        </w:rPr>
        <w:t xml:space="preserve"> liminares; b) o recurso objetou, especificamente,</w:t>
      </w:r>
      <w:r w:rsidR="00C07414">
        <w:rPr>
          <w:rFonts w:eastAsiaTheme="minorHAnsi"/>
          <w:sz w:val="24"/>
          <w:szCs w:val="24"/>
          <w:lang w:eastAsia="en-US"/>
        </w:rPr>
        <w:t xml:space="preserve"> a constituição em mora, </w:t>
      </w:r>
      <w:r w:rsidR="008666B0">
        <w:rPr>
          <w:rFonts w:eastAsiaTheme="minorHAnsi"/>
          <w:sz w:val="24"/>
          <w:szCs w:val="24"/>
          <w:lang w:eastAsia="en-US"/>
        </w:rPr>
        <w:t>requisito lega</w:t>
      </w:r>
      <w:r w:rsidR="00C07414">
        <w:rPr>
          <w:rFonts w:eastAsiaTheme="minorHAnsi"/>
          <w:sz w:val="24"/>
          <w:szCs w:val="24"/>
          <w:lang w:eastAsia="en-US"/>
        </w:rPr>
        <w:t>l</w:t>
      </w:r>
      <w:r w:rsidR="008666B0">
        <w:rPr>
          <w:rFonts w:eastAsiaTheme="minorHAnsi"/>
          <w:sz w:val="24"/>
          <w:szCs w:val="24"/>
          <w:lang w:eastAsia="en-US"/>
        </w:rPr>
        <w:t xml:space="preserve"> para a concessão de busca e apreensão de coisa móvel em alienação fiduciária; c) incorreu, na espécie, supressão e instância (evento </w:t>
      </w:r>
      <w:r w:rsidR="00EE1AC6">
        <w:rPr>
          <w:rFonts w:eastAsiaTheme="minorHAnsi"/>
          <w:sz w:val="24"/>
          <w:szCs w:val="24"/>
          <w:lang w:eastAsia="en-US"/>
        </w:rPr>
        <w:t>1.1).</w:t>
      </w:r>
    </w:p>
    <w:p w14:paraId="5756A63D" w14:textId="2661B16D" w:rsidR="00C04C4E" w:rsidRPr="006B2F69" w:rsidRDefault="006B2F69" w:rsidP="007C1295">
      <w:pPr>
        <w:spacing w:after="240" w:line="360" w:lineRule="auto"/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Instada, a parte agravada deixou transcorrer, </w:t>
      </w:r>
      <w:r>
        <w:rPr>
          <w:rFonts w:eastAsiaTheme="minorHAnsi"/>
          <w:i/>
          <w:iCs/>
          <w:sz w:val="24"/>
          <w:szCs w:val="24"/>
          <w:lang w:eastAsia="en-US"/>
        </w:rPr>
        <w:t>in albis</w:t>
      </w:r>
      <w:r>
        <w:rPr>
          <w:rFonts w:eastAsiaTheme="minorHAnsi"/>
          <w:sz w:val="24"/>
          <w:szCs w:val="24"/>
          <w:lang w:eastAsia="en-US"/>
        </w:rPr>
        <w:t xml:space="preserve">, o prazo para contrarrazões (evento </w:t>
      </w:r>
      <w:r w:rsidR="008E53F7">
        <w:rPr>
          <w:rFonts w:eastAsiaTheme="minorHAnsi"/>
          <w:sz w:val="24"/>
          <w:szCs w:val="24"/>
          <w:lang w:eastAsia="en-US"/>
        </w:rPr>
        <w:t>11).</w:t>
      </w:r>
    </w:p>
    <w:p w14:paraId="22BD59C0" w14:textId="26B05FC4" w:rsidR="004864FF" w:rsidRDefault="0080753B" w:rsidP="007C1295">
      <w:pPr>
        <w:spacing w:after="240" w:line="360" w:lineRule="auto"/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>É o necessário relato.</w:t>
      </w:r>
    </w:p>
    <w:p w14:paraId="5528F03E" w14:textId="77777777" w:rsidR="004864FF" w:rsidRDefault="004864FF" w:rsidP="007C1295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sz w:val="24"/>
          <w:szCs w:val="24"/>
          <w:lang w:eastAsia="en-US"/>
        </w:rPr>
      </w:pPr>
    </w:p>
    <w:p w14:paraId="1E955E08" w14:textId="77777777" w:rsidR="007C1295" w:rsidRPr="007C1295" w:rsidRDefault="007C1295" w:rsidP="007C1295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b/>
          <w:sz w:val="24"/>
          <w:szCs w:val="24"/>
          <w:lang w:eastAsia="en-US"/>
        </w:rPr>
      </w:pPr>
      <w:r w:rsidRPr="007C1295">
        <w:rPr>
          <w:rFonts w:eastAsiaTheme="minorHAnsi"/>
          <w:b/>
          <w:sz w:val="24"/>
          <w:szCs w:val="24"/>
          <w:lang w:eastAsia="en-US"/>
        </w:rPr>
        <w:t>II – FUNDAMENTAÇÃO</w:t>
      </w:r>
    </w:p>
    <w:p w14:paraId="5AEB3F51" w14:textId="1EAEA585" w:rsidR="00B40E92" w:rsidRDefault="00317948" w:rsidP="007C1295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II.I – </w:t>
      </w:r>
      <w:r w:rsidR="003044CA">
        <w:rPr>
          <w:rFonts w:eastAsiaTheme="minorHAnsi"/>
          <w:sz w:val="24"/>
          <w:szCs w:val="24"/>
          <w:lang w:eastAsia="en-US"/>
        </w:rPr>
        <w:t>DA ADMISSIBILIDADE RECURSAL</w:t>
      </w:r>
    </w:p>
    <w:p w14:paraId="4BA6471D" w14:textId="715FF73B" w:rsidR="000F6C9C" w:rsidRDefault="004238DC" w:rsidP="000F6C9C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>S</w:t>
      </w:r>
      <w:r w:rsidR="000F6C9C">
        <w:rPr>
          <w:rFonts w:eastAsiaTheme="minorHAnsi"/>
          <w:sz w:val="24"/>
          <w:szCs w:val="24"/>
          <w:lang w:eastAsia="en-US"/>
        </w:rPr>
        <w:t>atisfeitos os pressupostos de admissibilidade recursal, conhece-se do agravo interno.</w:t>
      </w:r>
    </w:p>
    <w:p w14:paraId="7685D658" w14:textId="77777777" w:rsidR="00EE7020" w:rsidRDefault="00EE7020" w:rsidP="001D481F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sz w:val="24"/>
          <w:szCs w:val="24"/>
          <w:lang w:eastAsia="en-US"/>
        </w:rPr>
      </w:pPr>
    </w:p>
    <w:p w14:paraId="790677AB" w14:textId="77777777" w:rsidR="00EE7020" w:rsidRDefault="00EE7020" w:rsidP="00EE7020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>II.II – DO JUÍZO DE RETRATAÇÃO</w:t>
      </w:r>
    </w:p>
    <w:p w14:paraId="634A78B6" w14:textId="7B92FE3D" w:rsidR="001F0016" w:rsidRDefault="00EE7020" w:rsidP="003302F2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Compulsando-se o pronunciamento judicial impugnado, em cotejo com </w:t>
      </w:r>
      <w:r w:rsidR="00452773">
        <w:rPr>
          <w:rFonts w:eastAsiaTheme="minorHAnsi"/>
          <w:sz w:val="24"/>
          <w:szCs w:val="24"/>
          <w:lang w:eastAsia="en-US"/>
        </w:rPr>
        <w:t>as razões do</w:t>
      </w:r>
      <w:r>
        <w:rPr>
          <w:rFonts w:eastAsiaTheme="minorHAnsi"/>
          <w:sz w:val="24"/>
          <w:szCs w:val="24"/>
          <w:lang w:eastAsia="en-US"/>
        </w:rPr>
        <w:t xml:space="preserve"> agravo de instrumento, infere-se que a</w:t>
      </w:r>
      <w:r w:rsidR="00B90973">
        <w:rPr>
          <w:rFonts w:eastAsiaTheme="minorHAnsi"/>
          <w:sz w:val="24"/>
          <w:szCs w:val="24"/>
          <w:lang w:eastAsia="en-US"/>
        </w:rPr>
        <w:t xml:space="preserve">quela </w:t>
      </w:r>
      <w:r>
        <w:rPr>
          <w:rFonts w:eastAsiaTheme="minorHAnsi"/>
          <w:sz w:val="24"/>
          <w:szCs w:val="24"/>
          <w:lang w:eastAsia="en-US"/>
        </w:rPr>
        <w:t xml:space="preserve">pretensão recursal, conquanto tenha feito </w:t>
      </w:r>
      <w:r w:rsidR="00A6455D">
        <w:rPr>
          <w:rFonts w:eastAsiaTheme="minorHAnsi"/>
          <w:sz w:val="24"/>
          <w:szCs w:val="24"/>
          <w:lang w:eastAsia="en-US"/>
        </w:rPr>
        <w:t xml:space="preserve">breve </w:t>
      </w:r>
      <w:r w:rsidR="0071776A">
        <w:rPr>
          <w:rFonts w:eastAsiaTheme="minorHAnsi"/>
          <w:sz w:val="24"/>
          <w:szCs w:val="24"/>
          <w:lang w:eastAsia="en-US"/>
        </w:rPr>
        <w:t xml:space="preserve">incursão em matérias </w:t>
      </w:r>
      <w:r w:rsidR="005A74DD">
        <w:rPr>
          <w:rFonts w:eastAsiaTheme="minorHAnsi"/>
          <w:sz w:val="24"/>
          <w:szCs w:val="24"/>
          <w:lang w:eastAsia="en-US"/>
        </w:rPr>
        <w:t xml:space="preserve">de defesa, </w:t>
      </w:r>
      <w:r w:rsidR="00213583">
        <w:rPr>
          <w:rFonts w:eastAsiaTheme="minorHAnsi"/>
          <w:sz w:val="24"/>
          <w:szCs w:val="24"/>
          <w:lang w:eastAsia="en-US"/>
        </w:rPr>
        <w:t>objetou os requisitos legais</w:t>
      </w:r>
      <w:r w:rsidR="003302F2">
        <w:rPr>
          <w:rFonts w:eastAsiaTheme="minorHAnsi"/>
          <w:sz w:val="24"/>
          <w:szCs w:val="24"/>
          <w:lang w:eastAsia="en-US"/>
        </w:rPr>
        <w:t xml:space="preserve"> para concessão de medida liminar de busca e apreensão de coisa móvel em alienação fiduciária</w:t>
      </w:r>
      <w:r w:rsidR="00207080">
        <w:rPr>
          <w:rFonts w:eastAsiaTheme="minorHAnsi"/>
          <w:sz w:val="24"/>
          <w:szCs w:val="24"/>
          <w:lang w:eastAsia="en-US"/>
        </w:rPr>
        <w:t xml:space="preserve"> (DL n. 911/1969, art. </w:t>
      </w:r>
      <w:r w:rsidR="00F459F6">
        <w:rPr>
          <w:rFonts w:eastAsiaTheme="minorHAnsi"/>
          <w:sz w:val="24"/>
          <w:szCs w:val="24"/>
          <w:lang w:eastAsia="en-US"/>
        </w:rPr>
        <w:t>2º, §2º)</w:t>
      </w:r>
      <w:r w:rsidR="00927775">
        <w:rPr>
          <w:rFonts w:eastAsiaTheme="minorHAnsi"/>
          <w:sz w:val="24"/>
          <w:szCs w:val="24"/>
          <w:lang w:eastAsia="en-US"/>
        </w:rPr>
        <w:t>.</w:t>
      </w:r>
    </w:p>
    <w:p w14:paraId="46F2A65E" w14:textId="29EA7F01" w:rsidR="00EE7020" w:rsidRDefault="00EE7020" w:rsidP="00EE7020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>Assim, considerando-se que essa nova perspectiva, determinada pelas razões do agravo interno,</w:t>
      </w:r>
      <w:r w:rsidR="00D35669">
        <w:rPr>
          <w:rFonts w:eastAsiaTheme="minorHAnsi"/>
          <w:sz w:val="24"/>
          <w:szCs w:val="24"/>
          <w:lang w:eastAsia="en-US"/>
        </w:rPr>
        <w:t xml:space="preserve"> indica</w:t>
      </w:r>
      <w:r>
        <w:rPr>
          <w:rFonts w:eastAsiaTheme="minorHAnsi"/>
          <w:sz w:val="24"/>
          <w:szCs w:val="24"/>
          <w:lang w:eastAsia="en-US"/>
        </w:rPr>
        <w:t xml:space="preserve"> a satisfação dos pressupostos de admissibilidade do recurso originário, reputa-se necessária a retratação do posicionamento anteriormente externado.</w:t>
      </w:r>
    </w:p>
    <w:p w14:paraId="65E53E0F" w14:textId="01B943F7" w:rsidR="00EE7020" w:rsidRDefault="00D35669" w:rsidP="00EB0DBD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Portanto, </w:t>
      </w:r>
      <w:r w:rsidR="006A358B">
        <w:rPr>
          <w:rFonts w:eastAsiaTheme="minorHAnsi"/>
          <w:sz w:val="24"/>
          <w:szCs w:val="24"/>
          <w:lang w:eastAsia="en-US"/>
        </w:rPr>
        <w:t>conforme conteúdo normativo do</w:t>
      </w:r>
      <w:r w:rsidR="00AC2626">
        <w:rPr>
          <w:rFonts w:eastAsiaTheme="minorHAnsi"/>
          <w:sz w:val="24"/>
          <w:szCs w:val="24"/>
          <w:lang w:eastAsia="en-US"/>
        </w:rPr>
        <w:t>s</w:t>
      </w:r>
      <w:r w:rsidR="006A358B">
        <w:rPr>
          <w:rFonts w:eastAsiaTheme="minorHAnsi"/>
          <w:sz w:val="24"/>
          <w:szCs w:val="24"/>
          <w:lang w:eastAsia="en-US"/>
        </w:rPr>
        <w:t xml:space="preserve"> princípio</w:t>
      </w:r>
      <w:r w:rsidR="00AC2626">
        <w:rPr>
          <w:rFonts w:eastAsiaTheme="minorHAnsi"/>
          <w:sz w:val="24"/>
          <w:szCs w:val="24"/>
          <w:lang w:eastAsia="en-US"/>
        </w:rPr>
        <w:t>s</w:t>
      </w:r>
      <w:r w:rsidR="006A358B">
        <w:rPr>
          <w:rFonts w:eastAsiaTheme="minorHAnsi"/>
          <w:sz w:val="24"/>
          <w:szCs w:val="24"/>
          <w:lang w:eastAsia="en-US"/>
        </w:rPr>
        <w:t xml:space="preserve"> da </w:t>
      </w:r>
      <w:r w:rsidR="00AC2626">
        <w:rPr>
          <w:rFonts w:eastAsiaTheme="minorHAnsi"/>
          <w:sz w:val="24"/>
          <w:szCs w:val="24"/>
          <w:lang w:eastAsia="en-US"/>
        </w:rPr>
        <w:t xml:space="preserve">inafastabilidade da jurisdição (CF, art. </w:t>
      </w:r>
      <w:r w:rsidR="001256DC">
        <w:rPr>
          <w:rFonts w:eastAsiaTheme="minorHAnsi"/>
          <w:sz w:val="24"/>
          <w:szCs w:val="24"/>
          <w:lang w:eastAsia="en-US"/>
        </w:rPr>
        <w:t xml:space="preserve">5º, XXXV) e da </w:t>
      </w:r>
      <w:r w:rsidR="006A358B">
        <w:rPr>
          <w:rFonts w:eastAsiaTheme="minorHAnsi"/>
          <w:sz w:val="24"/>
          <w:szCs w:val="24"/>
          <w:lang w:eastAsia="en-US"/>
        </w:rPr>
        <w:t xml:space="preserve">primazia da resolução do mérito (CPC, art. </w:t>
      </w:r>
      <w:r w:rsidR="00EB0DBD">
        <w:rPr>
          <w:rFonts w:eastAsiaTheme="minorHAnsi"/>
          <w:sz w:val="24"/>
          <w:szCs w:val="24"/>
          <w:lang w:eastAsia="en-US"/>
        </w:rPr>
        <w:t xml:space="preserve">4º) </w:t>
      </w:r>
      <w:r>
        <w:rPr>
          <w:rFonts w:eastAsiaTheme="minorHAnsi"/>
          <w:sz w:val="24"/>
          <w:szCs w:val="24"/>
          <w:lang w:eastAsia="en-US"/>
        </w:rPr>
        <w:t xml:space="preserve">o </w:t>
      </w:r>
      <w:r w:rsidR="00EE7020">
        <w:rPr>
          <w:rFonts w:eastAsiaTheme="minorHAnsi"/>
          <w:sz w:val="24"/>
          <w:szCs w:val="24"/>
          <w:lang w:eastAsia="en-US"/>
        </w:rPr>
        <w:t>recurso de</w:t>
      </w:r>
      <w:r>
        <w:rPr>
          <w:rFonts w:eastAsiaTheme="minorHAnsi"/>
          <w:sz w:val="24"/>
          <w:szCs w:val="24"/>
          <w:lang w:eastAsia="en-US"/>
        </w:rPr>
        <w:t xml:space="preserve"> agravo de instrumento de</w:t>
      </w:r>
      <w:r w:rsidR="00EE7020">
        <w:rPr>
          <w:rFonts w:eastAsiaTheme="minorHAnsi"/>
          <w:sz w:val="24"/>
          <w:szCs w:val="24"/>
          <w:lang w:eastAsia="en-US"/>
        </w:rPr>
        <w:t xml:space="preserve">ve ser processado na forma do artigo 1.019, </w:t>
      </w:r>
      <w:r w:rsidR="00EE7020">
        <w:rPr>
          <w:rFonts w:eastAsiaTheme="minorHAnsi"/>
          <w:i/>
          <w:iCs/>
          <w:sz w:val="24"/>
          <w:szCs w:val="24"/>
          <w:lang w:eastAsia="en-US"/>
        </w:rPr>
        <w:t xml:space="preserve">caput, </w:t>
      </w:r>
      <w:r w:rsidR="00EE7020">
        <w:rPr>
          <w:rFonts w:eastAsiaTheme="minorHAnsi"/>
          <w:sz w:val="24"/>
          <w:szCs w:val="24"/>
          <w:lang w:eastAsia="en-US"/>
        </w:rPr>
        <w:t>do Código de Processo Civil</w:t>
      </w:r>
      <w:r>
        <w:rPr>
          <w:rFonts w:eastAsiaTheme="minorHAnsi"/>
          <w:sz w:val="24"/>
          <w:szCs w:val="24"/>
          <w:lang w:eastAsia="en-US"/>
        </w:rPr>
        <w:t>,</w:t>
      </w:r>
      <w:r w:rsidR="00E732A6">
        <w:rPr>
          <w:rFonts w:eastAsiaTheme="minorHAnsi"/>
          <w:sz w:val="24"/>
          <w:szCs w:val="24"/>
          <w:lang w:eastAsia="en-US"/>
        </w:rPr>
        <w:t xml:space="preserve"> </w:t>
      </w:r>
      <w:r w:rsidR="006A358B">
        <w:rPr>
          <w:rFonts w:eastAsiaTheme="minorHAnsi"/>
          <w:sz w:val="24"/>
          <w:szCs w:val="24"/>
          <w:lang w:eastAsia="en-US"/>
        </w:rPr>
        <w:t>sem prejuízo de eventual revisão do juízo de admissibilidade pelo colegiado</w:t>
      </w:r>
      <w:r w:rsidR="00ED66B4">
        <w:rPr>
          <w:rFonts w:eastAsiaTheme="minorHAnsi"/>
          <w:sz w:val="24"/>
          <w:szCs w:val="24"/>
          <w:lang w:eastAsia="en-US"/>
        </w:rPr>
        <w:t>.</w:t>
      </w:r>
    </w:p>
    <w:p w14:paraId="268AC474" w14:textId="77777777" w:rsidR="00EE7020" w:rsidRPr="000C55BF" w:rsidRDefault="00EE7020" w:rsidP="00EE7020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sz w:val="24"/>
          <w:szCs w:val="24"/>
          <w:lang w:eastAsia="en-US"/>
        </w:rPr>
      </w:pPr>
    </w:p>
    <w:p w14:paraId="11EC379E" w14:textId="77777777" w:rsidR="00EE7020" w:rsidRDefault="00EE7020" w:rsidP="00EE7020">
      <w:pPr>
        <w:pStyle w:val="NormalWeb"/>
        <w:spacing w:before="0" w:beforeAutospacing="0" w:after="240" w:afterAutospacing="0" w:line="360" w:lineRule="auto"/>
        <w:ind w:firstLine="709"/>
        <w:jc w:val="both"/>
        <w:rPr>
          <w:rFonts w:eastAsiaTheme="minorHAnsi"/>
          <w:b/>
          <w:lang w:eastAsia="en-US"/>
        </w:rPr>
      </w:pPr>
      <w:r w:rsidRPr="007C1295">
        <w:rPr>
          <w:rFonts w:eastAsiaTheme="minorHAnsi"/>
          <w:b/>
          <w:lang w:eastAsia="en-US"/>
        </w:rPr>
        <w:t>III – DECISÃO</w:t>
      </w:r>
    </w:p>
    <w:p w14:paraId="59160D44" w14:textId="3E07C963" w:rsidR="00EB0DBD" w:rsidRDefault="00EE7020" w:rsidP="00EE7020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bCs/>
          <w:sz w:val="24"/>
          <w:szCs w:val="24"/>
          <w:lang w:eastAsia="en-US"/>
        </w:rPr>
      </w:pPr>
      <w:r>
        <w:rPr>
          <w:rFonts w:eastAsiaTheme="minorHAnsi"/>
          <w:bCs/>
          <w:sz w:val="24"/>
          <w:szCs w:val="24"/>
          <w:lang w:eastAsia="en-US"/>
        </w:rPr>
        <w:lastRenderedPageBreak/>
        <w:t>Ante o exposto</w:t>
      </w:r>
      <w:r w:rsidR="00EB0DBD">
        <w:rPr>
          <w:rFonts w:eastAsiaTheme="minorHAnsi"/>
          <w:bCs/>
          <w:sz w:val="24"/>
          <w:szCs w:val="24"/>
          <w:lang w:eastAsia="en-US"/>
        </w:rPr>
        <w:t xml:space="preserve"> </w:t>
      </w:r>
      <w:r>
        <w:rPr>
          <w:rFonts w:eastAsiaTheme="minorHAnsi"/>
          <w:bCs/>
          <w:sz w:val="24"/>
          <w:szCs w:val="24"/>
          <w:lang w:eastAsia="en-US"/>
        </w:rPr>
        <w:t>com fundamento no artigo 1.021, §2º, do Código de Processo Civil, exerce-se juízo de retratação para, monocraticamente, admitir o processamento do agravo de instrumento</w:t>
      </w:r>
      <w:r w:rsidR="00EB0DBD">
        <w:rPr>
          <w:rFonts w:eastAsiaTheme="minorHAnsi"/>
          <w:bCs/>
          <w:sz w:val="24"/>
          <w:szCs w:val="24"/>
          <w:lang w:eastAsia="en-US"/>
        </w:rPr>
        <w:t>.</w:t>
      </w:r>
    </w:p>
    <w:p w14:paraId="7A73F77B" w14:textId="02AA51B1" w:rsidR="00EB0DBD" w:rsidRDefault="009B1630" w:rsidP="00EE7020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bCs/>
          <w:sz w:val="24"/>
          <w:szCs w:val="24"/>
          <w:lang w:eastAsia="en-US"/>
        </w:rPr>
      </w:pPr>
      <w:r>
        <w:rPr>
          <w:rFonts w:eastAsiaTheme="minorHAnsi"/>
          <w:bCs/>
          <w:sz w:val="24"/>
          <w:szCs w:val="24"/>
          <w:lang w:eastAsia="en-US"/>
        </w:rPr>
        <w:t>Proceda-se à conclusão do recurso originário, com anotação de urgência, para análise do pedido liminar de efeito suspensivo.</w:t>
      </w:r>
    </w:p>
    <w:p w14:paraId="36905347" w14:textId="77777777" w:rsidR="00EE7020" w:rsidRDefault="00EE7020" w:rsidP="00EE7020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bCs/>
          <w:sz w:val="24"/>
          <w:szCs w:val="24"/>
          <w:lang w:eastAsia="en-US"/>
        </w:rPr>
      </w:pPr>
      <w:r>
        <w:rPr>
          <w:rFonts w:eastAsiaTheme="minorHAnsi"/>
          <w:bCs/>
          <w:sz w:val="24"/>
          <w:szCs w:val="24"/>
          <w:lang w:eastAsia="en-US"/>
        </w:rPr>
        <w:t>Intimem-se.</w:t>
      </w:r>
    </w:p>
    <w:p w14:paraId="600348A3" w14:textId="68D4CA65" w:rsidR="00EE7020" w:rsidRPr="001D481F" w:rsidRDefault="00EE7020" w:rsidP="009B1630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b/>
          <w:sz w:val="24"/>
          <w:szCs w:val="24"/>
          <w:lang w:eastAsia="en-US"/>
        </w:rPr>
      </w:pPr>
      <w:r>
        <w:rPr>
          <w:rFonts w:eastAsiaTheme="minorHAnsi"/>
          <w:bCs/>
          <w:sz w:val="24"/>
          <w:szCs w:val="24"/>
          <w:lang w:eastAsia="en-US"/>
        </w:rPr>
        <w:t>Oportunamente, arquivem-se.</w:t>
      </w:r>
    </w:p>
    <w:sectPr w:rsidR="00EE7020" w:rsidRPr="001D481F" w:rsidSect="004864FF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7D0CF" w14:textId="77777777" w:rsidR="00B13913" w:rsidRDefault="00B13913" w:rsidP="00E57A7E">
      <w:r>
        <w:separator/>
      </w:r>
    </w:p>
  </w:endnote>
  <w:endnote w:type="continuationSeparator" w:id="0">
    <w:p w14:paraId="7B5943F8" w14:textId="77777777" w:rsidR="00B13913" w:rsidRDefault="00B13913" w:rsidP="00E57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714D7" w14:textId="77777777" w:rsidR="00B13913" w:rsidRDefault="00B13913" w:rsidP="00E57A7E">
      <w:r>
        <w:separator/>
      </w:r>
    </w:p>
  </w:footnote>
  <w:footnote w:type="continuationSeparator" w:id="0">
    <w:p w14:paraId="5E603C04" w14:textId="77777777" w:rsidR="00B13913" w:rsidRDefault="00B13913" w:rsidP="00E57A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CE9"/>
    <w:rsid w:val="00062DDB"/>
    <w:rsid w:val="00070989"/>
    <w:rsid w:val="000B1D86"/>
    <w:rsid w:val="000C55BF"/>
    <w:rsid w:val="000E3B10"/>
    <w:rsid w:val="000F6C9C"/>
    <w:rsid w:val="00107194"/>
    <w:rsid w:val="001256DC"/>
    <w:rsid w:val="00126236"/>
    <w:rsid w:val="00132CD6"/>
    <w:rsid w:val="00146D07"/>
    <w:rsid w:val="00151C21"/>
    <w:rsid w:val="00156094"/>
    <w:rsid w:val="00195DAD"/>
    <w:rsid w:val="001D481F"/>
    <w:rsid w:val="001D70D8"/>
    <w:rsid w:val="001F0016"/>
    <w:rsid w:val="00207080"/>
    <w:rsid w:val="00213583"/>
    <w:rsid w:val="00214730"/>
    <w:rsid w:val="00220F14"/>
    <w:rsid w:val="00255A3F"/>
    <w:rsid w:val="002759E9"/>
    <w:rsid w:val="00287160"/>
    <w:rsid w:val="002B21EF"/>
    <w:rsid w:val="002F43D7"/>
    <w:rsid w:val="003044CA"/>
    <w:rsid w:val="00317948"/>
    <w:rsid w:val="00320C1E"/>
    <w:rsid w:val="003302F2"/>
    <w:rsid w:val="003641B6"/>
    <w:rsid w:val="00390406"/>
    <w:rsid w:val="003940B9"/>
    <w:rsid w:val="003B0C74"/>
    <w:rsid w:val="00401E5A"/>
    <w:rsid w:val="0040507F"/>
    <w:rsid w:val="00421412"/>
    <w:rsid w:val="004238DC"/>
    <w:rsid w:val="00446273"/>
    <w:rsid w:val="00452773"/>
    <w:rsid w:val="004864FF"/>
    <w:rsid w:val="0049056C"/>
    <w:rsid w:val="00543ABD"/>
    <w:rsid w:val="00546467"/>
    <w:rsid w:val="005A74DD"/>
    <w:rsid w:val="005B2051"/>
    <w:rsid w:val="005E28D0"/>
    <w:rsid w:val="005F0BFA"/>
    <w:rsid w:val="00656397"/>
    <w:rsid w:val="006A358B"/>
    <w:rsid w:val="006A696F"/>
    <w:rsid w:val="006B2F69"/>
    <w:rsid w:val="006C41DC"/>
    <w:rsid w:val="006D52F5"/>
    <w:rsid w:val="006F13AC"/>
    <w:rsid w:val="006F72AF"/>
    <w:rsid w:val="00700FAE"/>
    <w:rsid w:val="00704CE9"/>
    <w:rsid w:val="00706614"/>
    <w:rsid w:val="0071776A"/>
    <w:rsid w:val="007A60D1"/>
    <w:rsid w:val="007C1295"/>
    <w:rsid w:val="007D756B"/>
    <w:rsid w:val="0080753B"/>
    <w:rsid w:val="008652BE"/>
    <w:rsid w:val="008666B0"/>
    <w:rsid w:val="008818FD"/>
    <w:rsid w:val="008A0978"/>
    <w:rsid w:val="008A53B8"/>
    <w:rsid w:val="008E4D71"/>
    <w:rsid w:val="008E53F7"/>
    <w:rsid w:val="00927775"/>
    <w:rsid w:val="00942EBD"/>
    <w:rsid w:val="00951B44"/>
    <w:rsid w:val="00975384"/>
    <w:rsid w:val="00992FE4"/>
    <w:rsid w:val="009A085F"/>
    <w:rsid w:val="009B1630"/>
    <w:rsid w:val="009D74D1"/>
    <w:rsid w:val="009E4ED7"/>
    <w:rsid w:val="00A01507"/>
    <w:rsid w:val="00A10BA9"/>
    <w:rsid w:val="00A1703D"/>
    <w:rsid w:val="00A6455D"/>
    <w:rsid w:val="00A90B3A"/>
    <w:rsid w:val="00A94584"/>
    <w:rsid w:val="00AC2626"/>
    <w:rsid w:val="00AC3930"/>
    <w:rsid w:val="00AF4461"/>
    <w:rsid w:val="00B13913"/>
    <w:rsid w:val="00B14A12"/>
    <w:rsid w:val="00B17302"/>
    <w:rsid w:val="00B40E92"/>
    <w:rsid w:val="00B57E8A"/>
    <w:rsid w:val="00B735C5"/>
    <w:rsid w:val="00B745CF"/>
    <w:rsid w:val="00B843B0"/>
    <w:rsid w:val="00B90973"/>
    <w:rsid w:val="00BC7409"/>
    <w:rsid w:val="00BD3F10"/>
    <w:rsid w:val="00BE625C"/>
    <w:rsid w:val="00C04C4E"/>
    <w:rsid w:val="00C07414"/>
    <w:rsid w:val="00C13657"/>
    <w:rsid w:val="00C3107A"/>
    <w:rsid w:val="00C54B5C"/>
    <w:rsid w:val="00C60BAF"/>
    <w:rsid w:val="00C64155"/>
    <w:rsid w:val="00CE184B"/>
    <w:rsid w:val="00D0432E"/>
    <w:rsid w:val="00D121E3"/>
    <w:rsid w:val="00D175BB"/>
    <w:rsid w:val="00D35669"/>
    <w:rsid w:val="00DA36D7"/>
    <w:rsid w:val="00DC0AE8"/>
    <w:rsid w:val="00DC7F1A"/>
    <w:rsid w:val="00DD3C33"/>
    <w:rsid w:val="00DE69AD"/>
    <w:rsid w:val="00E57A7E"/>
    <w:rsid w:val="00E608D2"/>
    <w:rsid w:val="00E732A6"/>
    <w:rsid w:val="00E7737E"/>
    <w:rsid w:val="00E853F4"/>
    <w:rsid w:val="00E90A50"/>
    <w:rsid w:val="00E94700"/>
    <w:rsid w:val="00EB0DBD"/>
    <w:rsid w:val="00EC0E19"/>
    <w:rsid w:val="00ED66B4"/>
    <w:rsid w:val="00EE1AC6"/>
    <w:rsid w:val="00EE7020"/>
    <w:rsid w:val="00F21C33"/>
    <w:rsid w:val="00F2640B"/>
    <w:rsid w:val="00F459F6"/>
    <w:rsid w:val="00F630E5"/>
    <w:rsid w:val="00F64E3F"/>
    <w:rsid w:val="00F95D02"/>
    <w:rsid w:val="00FA5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0A37C"/>
  <w15:chartTrackingRefBased/>
  <w15:docId w15:val="{D3730363-B3BA-4D3E-BDB1-007CEEE3F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6D7"/>
    <w:pPr>
      <w:suppressAutoHyphens/>
      <w:overflowPunct w:val="0"/>
      <w:autoSpaceDE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E57A7E"/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E57A7E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styleId="Refdenotadefim">
    <w:name w:val="endnote reference"/>
    <w:basedOn w:val="Fontepargpadro"/>
    <w:uiPriority w:val="99"/>
    <w:semiHidden/>
    <w:unhideWhenUsed/>
    <w:rsid w:val="00E57A7E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132CD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E7020"/>
    <w:pPr>
      <w:suppressAutoHyphens w:val="0"/>
      <w:overflowPunct/>
      <w:autoSpaceDE/>
      <w:spacing w:before="100" w:beforeAutospacing="1" w:after="100" w:afterAutospacing="1"/>
      <w:textAlignment w:val="auto"/>
    </w:pPr>
    <w:rPr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f9b77c0a9ca16248db2a354a9324d574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f83b46afa82d5de6e7294c7773150add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D6338E-5CA3-4608-A389-FAA9F4A02302}"/>
</file>

<file path=customXml/itemProps2.xml><?xml version="1.0" encoding="utf-8"?>
<ds:datastoreItem xmlns:ds="http://schemas.openxmlformats.org/officeDocument/2006/customXml" ds:itemID="{6EA3E9E9-3850-415F-B771-61299BECFCE0}">
  <ds:schemaRefs>
    <ds:schemaRef ds:uri="http://schemas.openxmlformats.org/officeDocument/2006/bibliography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1C5D859F-DCCE-4BBC-935F-D5577120EEE5}">
  <ds:schemaRefs>
    <ds:schemaRef ds:uri="http://schemas.microsoft.com/office/2006/metadata/properties"/>
    <ds:schemaRef ds:uri="http://www.w3.org/2000/xmlns/"/>
    <ds:schemaRef ds:uri="0b1c8c71-5c14-46ef-9c85-f6af5a95de9b"/>
    <ds:schemaRef ds:uri="http://www.w3.org/2001/XMLSchema-instance"/>
    <ds:schemaRef ds:uri="c04bd5eb-5da3-4c78-b159-2bc8443a6345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8E91D7D-2759-4504-96BB-A9FB997BE47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495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8</cp:revision>
  <dcterms:created xsi:type="dcterms:W3CDTF">2026-01-14T12:38:00Z</dcterms:created>
  <dcterms:modified xsi:type="dcterms:W3CDTF">2026-01-14T12:41:00Z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304800</vt:r8>
  </property>
  <property fmtid="{D5CDD505-2E9C-101B-9397-08002B2CF9AE}" pid="4" name="MediaServiceImageTags">
    <vt:lpwstr/>
  </property>
  <property fmtid="{D5CDD505-2E9C-101B-9397-08002B2CF9AE}" pid="6" name="docLang">
    <vt:lpwstr>pt</vt:lpwstr>
  </property>
</Properties>
</file>