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ABCD" w14:textId="1FA21F3F" w:rsidR="00E12050" w:rsidRDefault="00DF4ECB" w:rsidP="00AC6B75">
      <w:pPr>
        <w:spacing w:after="240" w:line="360" w:lineRule="auto"/>
        <w:jc w:val="both"/>
        <w:rPr>
          <w:b/>
          <w:bCs/>
          <w:sz w:val="24"/>
          <w:szCs w:val="24"/>
          <w:lang w:eastAsia="pt-BR"/>
        </w:rPr>
      </w:pPr>
      <w:r w:rsidRPr="00AC6B75">
        <w:rPr>
          <w:b/>
          <w:bCs/>
          <w:sz w:val="24"/>
          <w:szCs w:val="24"/>
          <w:lang w:eastAsia="pt-BR"/>
        </w:rPr>
        <w:t xml:space="preserve">DIREITO PROCESSUAL CIVIL E SUCESSÓRIO. AGRAVO DE INSTRUMENTO. </w:t>
      </w:r>
      <w:r w:rsidR="00E12050">
        <w:rPr>
          <w:b/>
          <w:bCs/>
          <w:sz w:val="24"/>
          <w:szCs w:val="24"/>
          <w:lang w:eastAsia="pt-BR"/>
        </w:rPr>
        <w:t>INVENTÁRIO</w:t>
      </w:r>
      <w:r w:rsidRPr="00AC6B75">
        <w:rPr>
          <w:b/>
          <w:bCs/>
          <w:sz w:val="24"/>
          <w:szCs w:val="24"/>
          <w:lang w:eastAsia="pt-BR"/>
        </w:rPr>
        <w:t xml:space="preserve">. DETERMINAÇÃO DE JUNTADA DE CERTIDÕES PESSOAIS E PATRIMONIAIS ATUALIZADAS DOS HERDEIROS E DA </w:t>
      </w:r>
      <w:r w:rsidRPr="00AC6B75">
        <w:rPr>
          <w:b/>
          <w:bCs/>
          <w:i/>
          <w:iCs/>
          <w:sz w:val="24"/>
          <w:szCs w:val="24"/>
          <w:lang w:eastAsia="pt-BR"/>
        </w:rPr>
        <w:t>DE CUJUS</w:t>
      </w:r>
      <w:r w:rsidRPr="00AC6B75">
        <w:rPr>
          <w:b/>
          <w:bCs/>
          <w:sz w:val="24"/>
          <w:szCs w:val="24"/>
          <w:lang w:eastAsia="pt-BR"/>
        </w:rPr>
        <w:t xml:space="preserve">. </w:t>
      </w:r>
      <w:r w:rsidR="00E12050">
        <w:rPr>
          <w:b/>
          <w:bCs/>
          <w:sz w:val="24"/>
          <w:szCs w:val="24"/>
          <w:lang w:eastAsia="pt-BR"/>
        </w:rPr>
        <w:t>PEDIDO DE RECONSIDERAÇÃO.</w:t>
      </w:r>
      <w:r w:rsidR="00825A2C">
        <w:rPr>
          <w:b/>
          <w:bCs/>
          <w:sz w:val="24"/>
          <w:szCs w:val="24"/>
          <w:lang w:eastAsia="pt-BR"/>
        </w:rPr>
        <w:t xml:space="preserve"> LESIVIDADE. INTERESSE RECURSAL. INTEMPESTIVIDADE.</w:t>
      </w:r>
    </w:p>
    <w:p w14:paraId="566AFF6C" w14:textId="2F910187" w:rsidR="00A71044" w:rsidRDefault="00A71044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I. CASO EM EXAME</w:t>
      </w:r>
    </w:p>
    <w:p w14:paraId="61D5B98F" w14:textId="02E03D19" w:rsidR="00A71044" w:rsidRPr="00A71044" w:rsidRDefault="00A71044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 xml:space="preserve">Agravo </w:t>
      </w:r>
      <w:r w:rsidR="008C2461">
        <w:rPr>
          <w:rFonts w:eastAsiaTheme="minorHAnsi" w:cstheme="minorBidi"/>
          <w:b/>
          <w:sz w:val="24"/>
          <w:szCs w:val="22"/>
          <w:lang w:eastAsia="en-US"/>
        </w:rPr>
        <w:t>de instrumento interposto contra decisão que rejeitou pedido de reconsideração, ratificando pronunciamento anterior, que determinou aos agravados a juntada de documentos.</w:t>
      </w:r>
    </w:p>
    <w:p w14:paraId="5F3C8F4B" w14:textId="77777777" w:rsidR="00A71044" w:rsidRPr="00A71044" w:rsidRDefault="00A71044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II. QUESTÃO EM DISCUSSÃO</w:t>
      </w:r>
    </w:p>
    <w:p w14:paraId="3152231D" w14:textId="07364C9D" w:rsidR="00A71044" w:rsidRPr="00A71044" w:rsidRDefault="00C94BA9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>
        <w:rPr>
          <w:rFonts w:eastAsiaTheme="minorHAnsi" w:cstheme="minorBidi"/>
          <w:b/>
          <w:sz w:val="24"/>
          <w:szCs w:val="22"/>
          <w:lang w:eastAsia="en-US"/>
        </w:rPr>
        <w:t>Avaliação dos pressupostos de admissibilidade recursal.</w:t>
      </w:r>
    </w:p>
    <w:p w14:paraId="3719D478" w14:textId="77777777" w:rsidR="00A71044" w:rsidRPr="00A71044" w:rsidRDefault="00A71044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III. RAZÕES DE DECIDIR</w:t>
      </w:r>
    </w:p>
    <w:p w14:paraId="41826205" w14:textId="77777777" w:rsidR="008C2461" w:rsidRPr="00EA3F75" w:rsidRDefault="008C2461" w:rsidP="008C2461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 w:rsidRPr="00EA3F75">
        <w:rPr>
          <w:rFonts w:eastAsiaTheme="minorHAnsi"/>
          <w:b/>
          <w:bCs/>
          <w:sz w:val="24"/>
          <w:szCs w:val="24"/>
          <w:lang w:eastAsia="en-US"/>
        </w:rPr>
        <w:t>O interesse recursal é concebido com a prolação de decisão contrária</w:t>
      </w:r>
      <w:r>
        <w:rPr>
          <w:rFonts w:eastAsiaTheme="minorHAnsi"/>
          <w:b/>
          <w:bCs/>
          <w:sz w:val="24"/>
          <w:szCs w:val="24"/>
          <w:lang w:eastAsia="en-US"/>
        </w:rPr>
        <w:t xml:space="preserve"> ao interesse jurídico da parte, que não se desloca para posterior indeferimento de pleito de reconsideração, figura inexistente na legislação processual.</w:t>
      </w:r>
    </w:p>
    <w:p w14:paraId="0A5B41C2" w14:textId="27D81027" w:rsidR="00A71044" w:rsidRPr="00A71044" w:rsidRDefault="00A71044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IV. SOLUÇÃO DO CASO</w:t>
      </w:r>
    </w:p>
    <w:p w14:paraId="69F6620D" w14:textId="23E96096" w:rsidR="00A71044" w:rsidRPr="00A71044" w:rsidRDefault="00C94BA9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>
        <w:rPr>
          <w:rFonts w:eastAsiaTheme="minorHAnsi" w:cstheme="minorBidi"/>
          <w:b/>
          <w:sz w:val="24"/>
          <w:szCs w:val="22"/>
          <w:lang w:eastAsia="en-US"/>
        </w:rPr>
        <w:t>Recurso não conhecido.</w:t>
      </w:r>
    </w:p>
    <w:p w14:paraId="2C1C7DDE" w14:textId="77777777" w:rsidR="00A71044" w:rsidRPr="00A71044" w:rsidRDefault="00A71044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V. JURISPRUDÊNCIA E LEGISLAÇÃO UTILIZADAS</w:t>
      </w:r>
    </w:p>
    <w:p w14:paraId="04CA1EF1" w14:textId="07FECF75" w:rsidR="00E441BB" w:rsidRDefault="00A71044" w:rsidP="00A74A12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V. I. Legislação</w:t>
      </w:r>
    </w:p>
    <w:p w14:paraId="46440257" w14:textId="5338C3DC" w:rsidR="00A74A12" w:rsidRDefault="00A74A12" w:rsidP="00A74A12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>
        <w:rPr>
          <w:rFonts w:eastAsiaTheme="minorHAnsi" w:cstheme="minorBidi"/>
          <w:b/>
          <w:sz w:val="24"/>
          <w:szCs w:val="22"/>
          <w:lang w:eastAsia="en-US"/>
        </w:rPr>
        <w:t xml:space="preserve">CPC: art. </w:t>
      </w:r>
      <w:r w:rsidR="00D913B3">
        <w:rPr>
          <w:rFonts w:eastAsiaTheme="minorHAnsi" w:cstheme="minorBidi"/>
          <w:b/>
          <w:sz w:val="24"/>
          <w:szCs w:val="22"/>
          <w:lang w:eastAsia="en-US"/>
        </w:rPr>
        <w:t>507; art. 618; art. 618.</w:t>
      </w:r>
    </w:p>
    <w:p w14:paraId="2D412B79" w14:textId="2A7FD2E3" w:rsidR="00A71044" w:rsidRPr="00A71044" w:rsidRDefault="00A71044" w:rsidP="00A71044">
      <w:pPr>
        <w:suppressAutoHyphens w:val="0"/>
        <w:overflowPunct/>
        <w:autoSpaceDE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V. II. Jurisprudência</w:t>
      </w:r>
    </w:p>
    <w:p w14:paraId="7AEF9051" w14:textId="56ED1F48" w:rsidR="00A05729" w:rsidRDefault="00A71044" w:rsidP="00E441BB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 w:cstheme="minorBidi"/>
          <w:b/>
          <w:sz w:val="24"/>
          <w:szCs w:val="22"/>
          <w:lang w:eastAsia="en-US"/>
        </w:rPr>
      </w:pPr>
      <w:r w:rsidRPr="00A71044">
        <w:rPr>
          <w:rFonts w:eastAsiaTheme="minorHAnsi" w:cstheme="minorBidi"/>
          <w:b/>
          <w:sz w:val="24"/>
          <w:szCs w:val="22"/>
          <w:lang w:eastAsia="en-US"/>
        </w:rPr>
        <w:t>TJPR. 7ª Câmara Cível. Relator: Desembargador Victor Martim Batschke. 0050670-84.2024.8.16.0000. Curitiba. Data de Julgamento: 4-6-2024</w:t>
      </w:r>
      <w:r>
        <w:rPr>
          <w:rFonts w:eastAsiaTheme="minorHAnsi" w:cstheme="minorBidi"/>
          <w:b/>
          <w:sz w:val="24"/>
          <w:szCs w:val="22"/>
          <w:lang w:eastAsia="en-US"/>
        </w:rPr>
        <w:t>.</w:t>
      </w:r>
    </w:p>
    <w:p w14:paraId="651A212C" w14:textId="77777777" w:rsidR="00E441BB" w:rsidRDefault="00E441BB" w:rsidP="00E441BB">
      <w:pPr>
        <w:suppressAutoHyphens w:val="0"/>
        <w:overflowPunct/>
        <w:autoSpaceDN w:val="0"/>
        <w:adjustRightInd w:val="0"/>
        <w:spacing w:after="240" w:line="360" w:lineRule="auto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</w:p>
    <w:p w14:paraId="5AF01023" w14:textId="77777777" w:rsidR="00D535B2" w:rsidRDefault="007C1295" w:rsidP="00D535B2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bCs/>
          <w:sz w:val="24"/>
          <w:szCs w:val="24"/>
          <w:lang w:eastAsia="en-US"/>
        </w:rPr>
      </w:pPr>
      <w:r>
        <w:rPr>
          <w:rFonts w:eastAsiaTheme="minorHAnsi"/>
          <w:b/>
          <w:bCs/>
          <w:sz w:val="24"/>
          <w:szCs w:val="24"/>
          <w:lang w:eastAsia="en-US"/>
        </w:rPr>
        <w:t>I – RELATÓRIO</w:t>
      </w:r>
    </w:p>
    <w:p w14:paraId="3837836A" w14:textId="77777777" w:rsidR="00B932A7" w:rsidRDefault="00B61009" w:rsidP="00B932A7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sz w:val="24"/>
          <w:szCs w:val="24"/>
          <w:lang w:eastAsia="pt-BR"/>
        </w:rPr>
      </w:pPr>
      <w:r w:rsidRPr="2C7C5348">
        <w:rPr>
          <w:sz w:val="24"/>
          <w:szCs w:val="24"/>
          <w:lang w:eastAsia="pt-BR"/>
        </w:rPr>
        <w:t xml:space="preserve">Trata-se de recurso </w:t>
      </w:r>
      <w:r w:rsidR="00D535B2">
        <w:rPr>
          <w:sz w:val="24"/>
          <w:szCs w:val="24"/>
          <w:lang w:eastAsia="pt-BR"/>
        </w:rPr>
        <w:t xml:space="preserve">interposto por </w:t>
      </w:r>
      <w:r w:rsidR="00061A96">
        <w:rPr>
          <w:sz w:val="24"/>
          <w:szCs w:val="24"/>
          <w:lang w:eastAsia="pt-BR"/>
        </w:rPr>
        <w:t>Daniel Armando Hilcko</w:t>
      </w:r>
      <w:r w:rsidR="00050254">
        <w:rPr>
          <w:sz w:val="24"/>
          <w:szCs w:val="24"/>
          <w:lang w:eastAsia="pt-BR"/>
        </w:rPr>
        <w:t xml:space="preserve">, Luiz Kilcko e Rebeca Cristina Bianchi Hilcko em face de Maria Lucia Hilcko Lucas e Rubes Eduardo Hilcko, tendo como objeto decisão proferida pelo juízo </w:t>
      </w:r>
      <w:r w:rsidR="009B1688">
        <w:rPr>
          <w:sz w:val="24"/>
          <w:szCs w:val="24"/>
          <w:lang w:eastAsia="pt-BR"/>
        </w:rPr>
        <w:t xml:space="preserve">da </w:t>
      </w:r>
      <w:r w:rsidRPr="2C7C5348">
        <w:rPr>
          <w:sz w:val="24"/>
          <w:szCs w:val="24"/>
          <w:lang w:eastAsia="pt-BR"/>
        </w:rPr>
        <w:t xml:space="preserve">1ª Vara de Sucessões da Comarca de Curitiba, que </w:t>
      </w:r>
      <w:r w:rsidR="0064057A">
        <w:rPr>
          <w:sz w:val="24"/>
          <w:szCs w:val="24"/>
          <w:lang w:eastAsia="pt-BR"/>
        </w:rPr>
        <w:t xml:space="preserve">rejeitou </w:t>
      </w:r>
      <w:r w:rsidRPr="2C7C5348">
        <w:rPr>
          <w:sz w:val="24"/>
          <w:szCs w:val="24"/>
          <w:lang w:eastAsia="pt-BR"/>
        </w:rPr>
        <w:t>pedido de reconsideração</w:t>
      </w:r>
      <w:r w:rsidR="004C466F">
        <w:rPr>
          <w:sz w:val="24"/>
          <w:szCs w:val="24"/>
          <w:lang w:eastAsia="pt-BR"/>
        </w:rPr>
        <w:t xml:space="preserve">, remetendo-se à decisão anterior, </w:t>
      </w:r>
      <w:r w:rsidR="00B932A7">
        <w:rPr>
          <w:sz w:val="24"/>
          <w:szCs w:val="24"/>
          <w:lang w:eastAsia="pt-BR"/>
        </w:rPr>
        <w:t>que</w:t>
      </w:r>
      <w:r w:rsidRPr="2C7C5348">
        <w:rPr>
          <w:sz w:val="24"/>
          <w:szCs w:val="24"/>
          <w:lang w:eastAsia="pt-BR"/>
        </w:rPr>
        <w:t xml:space="preserve"> determinou ao inventariante a apresentação das últimas declarações e do plano de partilha, bem como a juntada de certidões pessoais e patrimoniais atualizadas dos herdeiros e da de cujus (evento 351.1 – origem).</w:t>
      </w:r>
    </w:p>
    <w:p w14:paraId="7D5A6ED7" w14:textId="77777777" w:rsidR="00B932A7" w:rsidRDefault="00B61009" w:rsidP="00B932A7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sz w:val="24"/>
          <w:szCs w:val="24"/>
          <w:lang w:eastAsia="pt-BR"/>
        </w:rPr>
      </w:pPr>
      <w:r w:rsidRPr="264B6893">
        <w:rPr>
          <w:sz w:val="24"/>
          <w:szCs w:val="24"/>
          <w:lang w:eastAsia="pt-BR"/>
        </w:rPr>
        <w:t>Em suas razões, os agravantes alegam, em síntese, que: a) todos os documentos e certidões exigidos já teriam sido apresentados anteriormente, inclusive o plano de partilha; b) as certidões já juntadas atenderam às formalidades legais, não havendo razão para renovação; c) a exigência de nova apresentação implicaria em ônus desnecessário e custoso aos inventariantes; e d) a decisão agravada deveria ser revogada, permitindo o regular prosseguimento do inventário (evento 1.1).</w:t>
      </w:r>
    </w:p>
    <w:p w14:paraId="09295D88" w14:textId="77777777" w:rsidR="00B932A7" w:rsidRDefault="00B932A7" w:rsidP="00B932A7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Nas contrarrazões, os agravados </w:t>
      </w:r>
      <w:r w:rsidR="00B61009" w:rsidRPr="264B6893">
        <w:rPr>
          <w:sz w:val="24"/>
          <w:szCs w:val="24"/>
          <w:lang w:eastAsia="pt-BR"/>
        </w:rPr>
        <w:t>defende</w:t>
      </w:r>
      <w:r>
        <w:rPr>
          <w:sz w:val="24"/>
          <w:szCs w:val="24"/>
          <w:lang w:eastAsia="pt-BR"/>
        </w:rPr>
        <w:t>m</w:t>
      </w:r>
      <w:r w:rsidR="00B61009" w:rsidRPr="264B6893">
        <w:rPr>
          <w:sz w:val="24"/>
          <w:szCs w:val="24"/>
          <w:lang w:eastAsia="pt-BR"/>
        </w:rPr>
        <w:t xml:space="preserve"> a manutenção da decisão de primeiro grau, sob o fundamento de que compete ao inventariante cumprir integralmente as determinações judiciais, nos termos dos</w:t>
      </w:r>
      <w:r>
        <w:rPr>
          <w:sz w:val="24"/>
          <w:szCs w:val="24"/>
          <w:lang w:eastAsia="pt-BR"/>
        </w:rPr>
        <w:t xml:space="preserve"> artigos</w:t>
      </w:r>
      <w:r w:rsidR="00B61009" w:rsidRPr="264B6893">
        <w:rPr>
          <w:sz w:val="24"/>
          <w:szCs w:val="24"/>
          <w:lang w:eastAsia="pt-BR"/>
        </w:rPr>
        <w:t xml:space="preserve"> 618 e 653 do Código de Processo Civil, a fim de resguardar a regularidade e a segurança jurídica do processo de inventário (evento 22.1).</w:t>
      </w:r>
    </w:p>
    <w:p w14:paraId="2C30E23F" w14:textId="18978DD8" w:rsidR="00B61009" w:rsidRDefault="00B61009" w:rsidP="00B932A7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sz w:val="24"/>
          <w:szCs w:val="24"/>
          <w:lang w:eastAsia="pt-BR"/>
        </w:rPr>
      </w:pPr>
      <w:r w:rsidRPr="264B6893">
        <w:rPr>
          <w:sz w:val="24"/>
          <w:szCs w:val="24"/>
          <w:lang w:eastAsia="pt-BR"/>
        </w:rPr>
        <w:t>É o relatório.</w:t>
      </w:r>
    </w:p>
    <w:p w14:paraId="63035A7B" w14:textId="77777777" w:rsidR="004864FF" w:rsidRDefault="004864FF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12B30684" w14:textId="77777777" w:rsidR="007C1295" w:rsidRPr="007C1295" w:rsidRDefault="007C1295" w:rsidP="007C1295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b/>
          <w:sz w:val="24"/>
          <w:szCs w:val="24"/>
          <w:lang w:eastAsia="en-US"/>
        </w:rPr>
      </w:pPr>
      <w:r w:rsidRPr="007C1295">
        <w:rPr>
          <w:rFonts w:eastAsiaTheme="minorHAnsi"/>
          <w:b/>
          <w:sz w:val="24"/>
          <w:szCs w:val="24"/>
          <w:lang w:eastAsia="en-US"/>
        </w:rPr>
        <w:t>II – FUNDAMENTAÇÃO</w:t>
      </w:r>
    </w:p>
    <w:p w14:paraId="4F178EED" w14:textId="24147021" w:rsidR="003A7301" w:rsidRDefault="003A7301" w:rsidP="003A7301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No caso dos autos, a decisão contrária ao interesse jurídico da parte agravante</w:t>
      </w:r>
      <w:r w:rsidR="005C7F51">
        <w:t xml:space="preserve"> </w:t>
      </w:r>
      <w:r>
        <w:t xml:space="preserve">foi prolatada aos </w:t>
      </w:r>
      <w:r w:rsidR="005C7F51">
        <w:t>11-3-</w:t>
      </w:r>
      <w:r w:rsidR="008F66D4">
        <w:t xml:space="preserve">2025 </w:t>
      </w:r>
      <w:r>
        <w:t xml:space="preserve">(evento </w:t>
      </w:r>
      <w:r w:rsidR="008F66D4">
        <w:t>340.1</w:t>
      </w:r>
      <w:r>
        <w:t xml:space="preserve"> – autos de origem).</w:t>
      </w:r>
    </w:p>
    <w:p w14:paraId="464B7713" w14:textId="50B9F548" w:rsidR="00AA5298" w:rsidRDefault="003A7301" w:rsidP="003A7301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 xml:space="preserve">Aos </w:t>
      </w:r>
      <w:r w:rsidR="00AA5298">
        <w:t>22-4-2025, a parte apresentou pedido de reconsideração (evento 349.1 – autos de origem), ensejando novo pronunciamento judicial</w:t>
      </w:r>
      <w:r w:rsidR="00F773B9">
        <w:t>, que apenas</w:t>
      </w:r>
      <w:r w:rsidR="00EF5E63">
        <w:t xml:space="preserve"> se remeteu à decisão anterior</w:t>
      </w:r>
      <w:r w:rsidR="00941555">
        <w:t xml:space="preserve">, sem materializar disposição inédita </w:t>
      </w:r>
      <w:r w:rsidR="00EF5E63">
        <w:t>(evento 351.1 – autos de origem)</w:t>
      </w:r>
      <w:r w:rsidR="00941555">
        <w:t>.</w:t>
      </w:r>
    </w:p>
    <w:p w14:paraId="307E0FF4" w14:textId="77777777" w:rsidR="003A7301" w:rsidRDefault="003A7301" w:rsidP="003A7301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Tratando-se, pois, de mero pedido de reconsideração, figura inexistente na legislação processual, e ausente alteração fático-jurídica a possibilitar a revisão do julgado, o novo pronunciamento judicial não deflagrou interesse recursal para o reexame, em segundo grau, da insurgência manifestada. Incide, no ponto, a regra decisória inscrita no artigo 507 do Código de Processo Civil.</w:t>
      </w:r>
    </w:p>
    <w:p w14:paraId="6F36CC3E" w14:textId="77777777" w:rsidR="003A7301" w:rsidRDefault="003A7301" w:rsidP="003A7301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Sobre a matéria:</w:t>
      </w:r>
    </w:p>
    <w:p w14:paraId="2446671A" w14:textId="77777777" w:rsidR="003A7301" w:rsidRPr="00E00909" w:rsidRDefault="003A7301" w:rsidP="003A7301">
      <w:pPr>
        <w:suppressAutoHyphens w:val="0"/>
        <w:overflowPunct/>
        <w:autoSpaceDN w:val="0"/>
        <w:adjustRightInd w:val="0"/>
        <w:spacing w:before="600" w:after="600" w:line="360" w:lineRule="auto"/>
        <w:ind w:left="2268"/>
        <w:jc w:val="both"/>
        <w:textAlignment w:val="auto"/>
        <w:rPr>
          <w:rFonts w:eastAsiaTheme="minorHAnsi"/>
          <w:sz w:val="16"/>
          <w:lang w:eastAsia="en-US"/>
        </w:rPr>
      </w:pPr>
      <w:r w:rsidRPr="00E00909">
        <w:rPr>
          <w:rFonts w:eastAsiaTheme="minorHAnsi"/>
          <w:sz w:val="16"/>
          <w:lang w:eastAsia="en-US"/>
        </w:rPr>
        <w:t xml:space="preserve">DECISÃO MONOCRÁTICA. AGRAVO DE INSTRUMENTO CÍVEL. AÇÃO INDENIZATÓRIA POR DANOS MATERIAIS EMERGENTES. DECISÃO AGRAVADA QUE APRECIOU O PEDIDO DE RECONSIDERAÇÃO, MANTENDO DECISÃO ANTERIOR. INSURGÊNCIA DA PARTE AUTORA. </w:t>
      </w:r>
      <w:r w:rsidRPr="00E00909">
        <w:rPr>
          <w:rFonts w:eastAsiaTheme="minorHAnsi"/>
          <w:b/>
          <w:sz w:val="16"/>
          <w:lang w:eastAsia="en-US"/>
        </w:rPr>
        <w:t>PLEITO QUE NÃO SUSPENDE, INTERROMPE O CURSO DO PRAZO RECURSAL, OU DESLOCA A LESIVIDADE PARA O ATO DECISÓRIO ULTERIOR QUE MANTÉM A DECISÃO ORIGINAL.</w:t>
      </w:r>
      <w:r w:rsidRPr="00E00909">
        <w:rPr>
          <w:rFonts w:eastAsiaTheme="minorHAnsi"/>
          <w:sz w:val="16"/>
          <w:lang w:eastAsia="en-US"/>
        </w:rPr>
        <w:t xml:space="preserve"> INTEMPESTIVIDADE CONSTATADA. PRECEDENTES DO STJ E DESTE TRIBUNAL. RECURSO INADMISSÍVEL. APLICABILIDADE DO ARTIGO 932, INCISO III, DO CPC. AGRAVO DE INSTRUMENTO NÃO CONHECIDO. (</w:t>
      </w:r>
      <w:bookmarkStart w:id="0" w:name="_Hlk213334624"/>
      <w:r w:rsidRPr="00E00909">
        <w:rPr>
          <w:rFonts w:eastAsiaTheme="minorHAnsi"/>
          <w:sz w:val="16"/>
          <w:lang w:eastAsia="en-US"/>
        </w:rPr>
        <w:t>TJPR. 7ª Câmara Cível. Relator: Desembargador Victor Martim Batschke. 0050670-84.2024.8.16.0000. Curitiba. Data de Julgamento: 04-06-2024</w:t>
      </w:r>
      <w:bookmarkEnd w:id="0"/>
      <w:r w:rsidRPr="00E00909">
        <w:rPr>
          <w:rFonts w:eastAsiaTheme="minorHAnsi"/>
          <w:sz w:val="16"/>
          <w:lang w:eastAsia="en-US"/>
        </w:rPr>
        <w:t>).</w:t>
      </w:r>
    </w:p>
    <w:p w14:paraId="3BEE1E99" w14:textId="77777777" w:rsidR="003A7301" w:rsidRDefault="003A7301" w:rsidP="003A7301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Assim, considerando-se que o prazo recursal deve ser contado da intimação da primeira decisão, que instituiu o gravame e inaugurou o interesse recursal, a interposição do presente agravo revela-se manifestamente intempestiva.</w:t>
      </w:r>
    </w:p>
    <w:p w14:paraId="3918985E" w14:textId="77777777" w:rsidR="003A7301" w:rsidRDefault="003A7301" w:rsidP="003A7301">
      <w:pPr>
        <w:suppressAutoHyphens w:val="0"/>
        <w:overflowPunct/>
        <w:autoSpaceDN w:val="0"/>
        <w:adjustRightInd w:val="0"/>
        <w:spacing w:after="240" w:line="360" w:lineRule="auto"/>
        <w:ind w:firstLine="709"/>
        <w:jc w:val="both"/>
        <w:textAlignment w:val="auto"/>
        <w:rPr>
          <w:rFonts w:eastAsiaTheme="minorHAnsi"/>
          <w:sz w:val="24"/>
          <w:szCs w:val="24"/>
          <w:lang w:eastAsia="en-US"/>
        </w:rPr>
      </w:pPr>
    </w:p>
    <w:p w14:paraId="7F9A1E3E" w14:textId="77777777" w:rsidR="003A7301" w:rsidRDefault="003A7301" w:rsidP="003A7301">
      <w:pPr>
        <w:pStyle w:val="NormalWeb"/>
        <w:spacing w:before="0" w:beforeAutospacing="0" w:after="240" w:afterAutospacing="0" w:line="360" w:lineRule="auto"/>
        <w:ind w:firstLine="709"/>
        <w:jc w:val="both"/>
        <w:rPr>
          <w:b/>
        </w:rPr>
      </w:pPr>
      <w:r w:rsidRPr="00606BE3">
        <w:rPr>
          <w:b/>
        </w:rPr>
        <w:t>III – DECISÃO</w:t>
      </w:r>
    </w:p>
    <w:p w14:paraId="56873765" w14:textId="77777777" w:rsidR="003A7301" w:rsidRDefault="003A7301" w:rsidP="003A7301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Ante o exposto, com fulcro no artigo 932, inciso III, do Código de Processo Civil e no artigo 182, inciso XIX, do Regimento Interno, não se conhece do recurso.</w:t>
      </w:r>
    </w:p>
    <w:p w14:paraId="0704F0C5" w14:textId="4BBB6E2A" w:rsidR="00A71044" w:rsidRDefault="00A71044" w:rsidP="003A7301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Retire-se o feito de pauta.</w:t>
      </w:r>
    </w:p>
    <w:p w14:paraId="1C64F5BC" w14:textId="237CD505" w:rsidR="003A7301" w:rsidRDefault="00D535B2" w:rsidP="003A7301">
      <w:pPr>
        <w:pStyle w:val="NormalWeb"/>
        <w:spacing w:before="0" w:beforeAutospacing="0" w:after="240" w:afterAutospacing="0" w:line="360" w:lineRule="auto"/>
        <w:ind w:firstLine="709"/>
        <w:jc w:val="both"/>
      </w:pPr>
      <w:r>
        <w:t>I</w:t>
      </w:r>
      <w:r w:rsidR="003A7301">
        <w:t>ntimem-se.</w:t>
      </w:r>
    </w:p>
    <w:p w14:paraId="6833F12E" w14:textId="77777777" w:rsidR="003A7301" w:rsidRDefault="003A7301" w:rsidP="003A7301">
      <w:pPr>
        <w:pStyle w:val="NormalWeb"/>
        <w:spacing w:before="0" w:beforeAutospacing="0" w:after="240" w:afterAutospacing="0" w:line="360" w:lineRule="auto"/>
        <w:ind w:firstLine="709"/>
        <w:jc w:val="both"/>
        <w:rPr>
          <w:i/>
        </w:rPr>
      </w:pPr>
      <w:r>
        <w:t xml:space="preserve">Comunique-se o juízo </w:t>
      </w:r>
      <w:r w:rsidRPr="00606BE3">
        <w:rPr>
          <w:i/>
        </w:rPr>
        <w:t>a quo.</w:t>
      </w:r>
    </w:p>
    <w:p w14:paraId="7F297108" w14:textId="1199B30C" w:rsidR="004864FF" w:rsidRPr="004864FF" w:rsidRDefault="003A7301" w:rsidP="00D535B2">
      <w:pPr>
        <w:pStyle w:val="NormalWeb"/>
        <w:spacing w:before="0" w:beforeAutospacing="0" w:after="240" w:afterAutospacing="0" w:line="360" w:lineRule="auto"/>
        <w:ind w:firstLine="709"/>
        <w:jc w:val="both"/>
        <w:rPr>
          <w:rFonts w:eastAsiaTheme="minorHAnsi"/>
          <w:lang w:eastAsia="en-US"/>
        </w:rPr>
      </w:pPr>
      <w:r>
        <w:t>Oportunamente, arquivem-se.</w:t>
      </w:r>
    </w:p>
    <w:sectPr w:rsidR="004864FF" w:rsidRPr="004864FF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B1BC" w14:textId="77777777" w:rsidR="00062F9B" w:rsidRDefault="00062F9B" w:rsidP="00E57A7E">
      <w:r>
        <w:separator/>
      </w:r>
    </w:p>
  </w:endnote>
  <w:endnote w:type="continuationSeparator" w:id="0">
    <w:p w14:paraId="2ADD96DB" w14:textId="77777777" w:rsidR="00062F9B" w:rsidRDefault="00062F9B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E4B40" w14:textId="77777777" w:rsidR="00062F9B" w:rsidRDefault="00062F9B" w:rsidP="00E57A7E">
      <w:r>
        <w:separator/>
      </w:r>
    </w:p>
  </w:footnote>
  <w:footnote w:type="continuationSeparator" w:id="0">
    <w:p w14:paraId="5B51A00A" w14:textId="77777777" w:rsidR="00062F9B" w:rsidRDefault="00062F9B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CE9"/>
    <w:rsid w:val="00050254"/>
    <w:rsid w:val="00061A96"/>
    <w:rsid w:val="00062DDB"/>
    <w:rsid w:val="00062F9B"/>
    <w:rsid w:val="00070278"/>
    <w:rsid w:val="000F6FE6"/>
    <w:rsid w:val="00132CD6"/>
    <w:rsid w:val="001D2286"/>
    <w:rsid w:val="003A7301"/>
    <w:rsid w:val="003B0C74"/>
    <w:rsid w:val="004864FF"/>
    <w:rsid w:val="004C466F"/>
    <w:rsid w:val="005C7F51"/>
    <w:rsid w:val="0064057A"/>
    <w:rsid w:val="00704CE9"/>
    <w:rsid w:val="007C1295"/>
    <w:rsid w:val="0080753B"/>
    <w:rsid w:val="00825A2C"/>
    <w:rsid w:val="008C2461"/>
    <w:rsid w:val="008F66D4"/>
    <w:rsid w:val="00941555"/>
    <w:rsid w:val="009B1688"/>
    <w:rsid w:val="00A05729"/>
    <w:rsid w:val="00A71044"/>
    <w:rsid w:val="00A74A12"/>
    <w:rsid w:val="00AA5298"/>
    <w:rsid w:val="00AC6B75"/>
    <w:rsid w:val="00B40E92"/>
    <w:rsid w:val="00B61009"/>
    <w:rsid w:val="00B932A7"/>
    <w:rsid w:val="00BD3F10"/>
    <w:rsid w:val="00C64155"/>
    <w:rsid w:val="00C73183"/>
    <w:rsid w:val="00C94BA9"/>
    <w:rsid w:val="00D535B2"/>
    <w:rsid w:val="00D913B3"/>
    <w:rsid w:val="00DA36D7"/>
    <w:rsid w:val="00DF4ECB"/>
    <w:rsid w:val="00E00909"/>
    <w:rsid w:val="00E12050"/>
    <w:rsid w:val="00E441BB"/>
    <w:rsid w:val="00E57A7E"/>
    <w:rsid w:val="00EF5E63"/>
    <w:rsid w:val="00F7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D1655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D2286"/>
    <w:pPr>
      <w:suppressAutoHyphens w:val="0"/>
      <w:overflowPunct/>
      <w:autoSpaceDE/>
      <w:spacing w:before="100" w:beforeAutospacing="1" w:after="100" w:afterAutospacing="1"/>
      <w:textAlignment w:val="auto"/>
    </w:pPr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C8B924-A76D-4EDF-A395-66ED13C49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d5eb-5da3-4c78-b159-2bc8443a6345"/>
    <ds:schemaRef ds:uri="0b1c8c71-5c14-46ef-9c85-f6af5a95de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A3E9E9-3850-415F-B771-61299BECFC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CF3C5D-521E-44D2-A044-C97D1B23B8A6}">
  <ds:schemaRefs>
    <ds:schemaRef ds:uri="http://schemas.microsoft.com/office/2006/metadata/properties"/>
    <ds:schemaRef ds:uri="http://schemas.microsoft.com/office/infopath/2007/PartnerControls"/>
    <ds:schemaRef ds:uri="0b1c8c71-5c14-46ef-9c85-f6af5a95de9b"/>
    <ds:schemaRef ds:uri="c04bd5eb-5da3-4c78-b159-2bc8443a6345"/>
  </ds:schemaRefs>
</ds:datastoreItem>
</file>

<file path=customXml/itemProps4.xml><?xml version="1.0" encoding="utf-8"?>
<ds:datastoreItem xmlns:ds="http://schemas.openxmlformats.org/officeDocument/2006/customXml" ds:itemID="{037E906A-38FA-441D-8C89-0F0367A064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631</Words>
  <Characters>3820</Characters>
  <Application>Microsoft Office Word</Application>
  <DocSecurity>0</DocSecurity>
  <Lines>83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34</cp:revision>
  <dcterms:created xsi:type="dcterms:W3CDTF">2023-06-26T17:41:00Z</dcterms:created>
  <dcterms:modified xsi:type="dcterms:W3CDTF">2025-11-06T18:29:00Z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370600</vt:r8>
  </property>
  <property fmtid="{D5CDD505-2E9C-101B-9397-08002B2CF9AE}" pid="4" name="MediaServiceImageTags">
    <vt:lpwstr/>
  </property>
  <property fmtid="{D5CDD505-2E9C-101B-9397-08002B2CF9AE}" pid="6" name="docLang">
    <vt:lpwstr>pt</vt:lpwstr>
  </property>
</Properties>
</file>