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003E" w14:textId="71D7E956" w:rsidR="00146748" w:rsidRPr="00146748" w:rsidRDefault="00146748" w:rsidP="00146748">
      <w:pPr>
        <w:ind w:firstLine="0"/>
        <w:rPr>
          <w:b/>
        </w:rPr>
      </w:pPr>
      <w:r w:rsidRPr="00146748">
        <w:rPr>
          <w:b/>
        </w:rPr>
        <w:t xml:space="preserve">DIREITO </w:t>
      </w:r>
      <w:r w:rsidR="00973737">
        <w:rPr>
          <w:b/>
        </w:rPr>
        <w:t xml:space="preserve">CIVIL E </w:t>
      </w:r>
      <w:r w:rsidRPr="00146748">
        <w:rPr>
          <w:b/>
        </w:rPr>
        <w:t>PROCESSUAL CIVIL. AGRAVO INTERNO. IMPENHORABILIDADE. ASSISTÊNCIA JUDICIÁRIA GRATUITA. AUSÊNCIA DE DOCUMENTOS.</w:t>
      </w:r>
    </w:p>
    <w:p w14:paraId="153FB66C" w14:textId="77777777" w:rsidR="00146748" w:rsidRPr="00146748" w:rsidRDefault="00146748" w:rsidP="00146748">
      <w:pPr>
        <w:ind w:firstLine="0"/>
        <w:rPr>
          <w:b/>
        </w:rPr>
      </w:pPr>
      <w:r w:rsidRPr="00146748">
        <w:rPr>
          <w:b/>
        </w:rPr>
        <w:t>I. CASO EM EXAME</w:t>
      </w:r>
    </w:p>
    <w:p w14:paraId="6BB4A4A5" w14:textId="27444B0C" w:rsidR="00146748" w:rsidRPr="00146748" w:rsidRDefault="00146748" w:rsidP="00146748">
      <w:pPr>
        <w:ind w:firstLine="0"/>
        <w:rPr>
          <w:b/>
        </w:rPr>
      </w:pPr>
      <w:r w:rsidRPr="00146748">
        <w:rPr>
          <w:b/>
        </w:rPr>
        <w:t>II. QUESTÃO EM DISCUSSÃO</w:t>
      </w:r>
    </w:p>
    <w:p w14:paraId="7BD502AF" w14:textId="6679F18A" w:rsidR="00146748" w:rsidRPr="00146748" w:rsidRDefault="00146748" w:rsidP="00146748">
      <w:pPr>
        <w:ind w:firstLine="0"/>
        <w:rPr>
          <w:b/>
        </w:rPr>
      </w:pPr>
      <w:r w:rsidRPr="00146748">
        <w:rPr>
          <w:b/>
        </w:rPr>
        <w:t>III. RAZÕES DE DECIDIR</w:t>
      </w:r>
    </w:p>
    <w:p w14:paraId="6AF28E16" w14:textId="77777777" w:rsidR="00146748" w:rsidRPr="00146748" w:rsidRDefault="00146748" w:rsidP="00146748">
      <w:pPr>
        <w:ind w:firstLine="0"/>
        <w:rPr>
          <w:b/>
        </w:rPr>
      </w:pPr>
      <w:r w:rsidRPr="00146748">
        <w:rPr>
          <w:b/>
        </w:rPr>
        <w:t>IV. SOLUÇÃO DO CASO</w:t>
      </w:r>
    </w:p>
    <w:p w14:paraId="34905683" w14:textId="72DC769A" w:rsidR="00146748" w:rsidRDefault="00146748" w:rsidP="00146748">
      <w:pPr>
        <w:ind w:firstLine="0"/>
        <w:rPr>
          <w:b/>
        </w:rPr>
      </w:pPr>
      <w:r w:rsidRPr="00146748">
        <w:rPr>
          <w:b/>
        </w:rPr>
        <w:t>V. JURISPRUDÊNCIA E LEGISLAÇÃO UTILIZADAS</w:t>
      </w:r>
    </w:p>
    <w:p w14:paraId="206717D3" w14:textId="77777777" w:rsidR="001C2D4C" w:rsidRDefault="001C2D4C" w:rsidP="00146748">
      <w:pPr>
        <w:ind w:firstLine="0"/>
        <w:rPr>
          <w:b/>
        </w:rPr>
      </w:pPr>
      <w:r>
        <w:rPr>
          <w:b/>
        </w:rPr>
        <w:t>V. I. Legislação</w:t>
      </w:r>
    </w:p>
    <w:p w14:paraId="019BC04E" w14:textId="4A18EE49" w:rsidR="00AA28DF" w:rsidRDefault="001C2D4C" w:rsidP="00372AAB">
      <w:pPr>
        <w:ind w:firstLine="0"/>
        <w:rPr>
          <w:b/>
        </w:rPr>
      </w:pPr>
      <w:r>
        <w:rPr>
          <w:b/>
        </w:rPr>
        <w:t xml:space="preserve">V. II. </w:t>
      </w:r>
      <w:r w:rsidR="00146748" w:rsidRPr="00146748">
        <w:rPr>
          <w:b/>
        </w:rPr>
        <w:t>Jurisprudência</w:t>
      </w:r>
    </w:p>
    <w:p w14:paraId="5A0355F3" w14:textId="77777777" w:rsidR="00DB4DC9" w:rsidRDefault="00DB4DC9" w:rsidP="00DB4DC9">
      <w:pPr>
        <w:pStyle w:val="PargrafodaLista"/>
        <w:ind w:left="0"/>
        <w:contextualSpacing w:val="0"/>
        <w:rPr>
          <w:bCs/>
        </w:rPr>
      </w:pPr>
      <w:r w:rsidRPr="00DB4DC9">
        <w:rPr>
          <w:bCs/>
        </w:rPr>
        <w:t>DIREITO CIVIL E PROCESSUAL CIVIL. AGRAVO DE INSTRUMENTO. CUMPRIMENTO DE SENTENÇA. ALIMENTOS. PENHORA NO ROSTO DOS AUTOS. VALOR LEVANTADO A MAIOR. IRREPETIBILIDADE. MITIGAÇÃO. VEDAÇÃO AO ENRIQUECIMENTO ILÍCITO. COMPENSAÇÃO COM PRESTAÇÕES VINCENDAS. POSSIBILIDADE EXCEPCIONAL. LIMITAÇÃO DO PERCENTUAL. PRESERVAÇÃO DA SUBSISTÊNCIA DOS ALIMENTANDOS.</w:t>
      </w:r>
    </w:p>
    <w:p w14:paraId="4D052E55" w14:textId="77777777" w:rsidR="00DB4DC9" w:rsidRDefault="00DB4DC9" w:rsidP="00DB4DC9">
      <w:pPr>
        <w:pStyle w:val="PargrafodaLista"/>
        <w:ind w:left="0"/>
        <w:contextualSpacing w:val="0"/>
        <w:rPr>
          <w:bCs/>
        </w:rPr>
      </w:pPr>
      <w:r w:rsidRPr="00DB4DC9">
        <w:rPr>
          <w:bCs/>
        </w:rPr>
        <w:t>I. CASO EM EXAME</w:t>
      </w:r>
    </w:p>
    <w:p w14:paraId="5ACF51A9" w14:textId="77777777" w:rsidR="00DB4DC9" w:rsidRDefault="00DB4DC9" w:rsidP="00DB4DC9">
      <w:pPr>
        <w:pStyle w:val="PargrafodaLista"/>
        <w:ind w:left="0"/>
        <w:contextualSpacing w:val="0"/>
        <w:rPr>
          <w:bCs/>
        </w:rPr>
      </w:pPr>
      <w:r w:rsidRPr="00DB4DC9">
        <w:rPr>
          <w:bCs/>
        </w:rPr>
        <w:t>Agravo de instrumento interposto contra decisão que, em sede de cumprimento de sentença de alimentos, reconheceu excesso de execução decorrente de levantamento de valores penhorados a maior em processo diverso. A decisão agravada autorizou a compensação integral do crédito do executado com as pensões alimentícias vincendas. Os agravantes sustentam a irrepetibilidade da verba alimentar e o risco à subsistência.</w:t>
      </w:r>
    </w:p>
    <w:p w14:paraId="5E7CB7FB" w14:textId="77777777" w:rsidR="00DB4DC9" w:rsidRDefault="00DB4DC9" w:rsidP="00DB4DC9">
      <w:pPr>
        <w:pStyle w:val="PargrafodaLista"/>
        <w:ind w:left="0"/>
        <w:contextualSpacing w:val="0"/>
        <w:rPr>
          <w:bCs/>
        </w:rPr>
      </w:pPr>
      <w:r w:rsidRPr="00DB4DC9">
        <w:rPr>
          <w:bCs/>
        </w:rPr>
        <w:t>II. QUESTÃO EM DISCUSSÃO</w:t>
      </w:r>
    </w:p>
    <w:p w14:paraId="71AAEE20" w14:textId="77777777" w:rsidR="00DB4DC9" w:rsidRDefault="00DB4DC9" w:rsidP="00DB4DC9">
      <w:pPr>
        <w:pStyle w:val="PargrafodaLista"/>
        <w:ind w:left="0"/>
        <w:contextualSpacing w:val="0"/>
        <w:rPr>
          <w:bCs/>
        </w:rPr>
      </w:pPr>
      <w:r w:rsidRPr="00DB4DC9">
        <w:rPr>
          <w:bCs/>
        </w:rPr>
        <w:t>A questão consiste em definir: (i) se o princípio da irrepetibilidade dos alimentos impede a compensação de valores pagos a maior por erro operacional/excesso de penhora; e (</w:t>
      </w:r>
      <w:proofErr w:type="spellStart"/>
      <w:r w:rsidRPr="00DB4DC9">
        <w:rPr>
          <w:bCs/>
        </w:rPr>
        <w:t>ii</w:t>
      </w:r>
      <w:proofErr w:type="spellEnd"/>
      <w:r w:rsidRPr="00DB4DC9">
        <w:rPr>
          <w:bCs/>
        </w:rPr>
        <w:t>) se a compensação integral com prestações futuras fere o princípio da dignidade da pessoa humana e a garantia de subsistência do menor.</w:t>
      </w:r>
    </w:p>
    <w:p w14:paraId="457E2894" w14:textId="77777777" w:rsidR="00DB4DC9" w:rsidRDefault="00DB4DC9" w:rsidP="00DB4DC9">
      <w:pPr>
        <w:pStyle w:val="PargrafodaLista"/>
        <w:ind w:left="0"/>
        <w:contextualSpacing w:val="0"/>
        <w:rPr>
          <w:b/>
          <w:bCs/>
        </w:rPr>
      </w:pPr>
      <w:r w:rsidRPr="00DB4DC9">
        <w:rPr>
          <w:b/>
          <w:bCs/>
        </w:rPr>
        <w:t>III. RAZÕES DE DECIDIR</w:t>
      </w:r>
    </w:p>
    <w:p w14:paraId="13E77F6C" w14:textId="77777777" w:rsidR="00DB4DC9" w:rsidRDefault="00DB4DC9" w:rsidP="00DB4DC9">
      <w:pPr>
        <w:pStyle w:val="PargrafodaLista"/>
        <w:ind w:left="0"/>
        <w:contextualSpacing w:val="0"/>
        <w:rPr>
          <w:bCs/>
        </w:rPr>
      </w:pPr>
      <w:r w:rsidRPr="00DB4DC9">
        <w:rPr>
          <w:bCs/>
        </w:rPr>
        <w:t>O princípio da irrepetibilidade dos alimentos (art. 1.707 do Código Civil) visa proteger o credor que, de boa-fé, consome a verba para sua sobrevivência imediata.</w:t>
      </w:r>
    </w:p>
    <w:p w14:paraId="33101AEA" w14:textId="77777777" w:rsidR="00DB4DC9" w:rsidRDefault="00DB4DC9" w:rsidP="00DB4DC9">
      <w:pPr>
        <w:pStyle w:val="PargrafodaLista"/>
        <w:ind w:left="0"/>
        <w:contextualSpacing w:val="0"/>
        <w:rPr>
          <w:bCs/>
        </w:rPr>
      </w:pPr>
      <w:r w:rsidRPr="00DB4DC9">
        <w:rPr>
          <w:bCs/>
        </w:rPr>
        <w:t>Todavia, tal princípio não é absoluto e deve ser ponderado com a vedação ao enriquecimento sem causa (art. 884 do Código Civil), especialmente quando o pagamento excessivo decorre de erro processual objetivo (excesso de penhora).</w:t>
      </w:r>
    </w:p>
    <w:p w14:paraId="0BE56431" w14:textId="77777777" w:rsidR="00DB4DC9" w:rsidRDefault="00DB4DC9" w:rsidP="00DB4DC9">
      <w:pPr>
        <w:pStyle w:val="PargrafodaLista"/>
        <w:ind w:left="0"/>
        <w:contextualSpacing w:val="0"/>
        <w:rPr>
          <w:bCs/>
        </w:rPr>
      </w:pPr>
      <w:r w:rsidRPr="00DB4DC9">
        <w:rPr>
          <w:bCs/>
        </w:rPr>
        <w:t>A compensação de alimentos, embora vedada como regra geral, é admitida excepcionalmente pela jurisprudência para evitar o locupletamento indevido, desde que preservado o mínimo existencial do alimentando.</w:t>
      </w:r>
    </w:p>
    <w:p w14:paraId="7A4175D4" w14:textId="77777777" w:rsidR="00DB4DC9" w:rsidRDefault="00DB4DC9" w:rsidP="00DB4DC9">
      <w:pPr>
        <w:pStyle w:val="PargrafodaLista"/>
        <w:ind w:left="0"/>
        <w:contextualSpacing w:val="0"/>
        <w:rPr>
          <w:bCs/>
        </w:rPr>
      </w:pPr>
      <w:r w:rsidRPr="00DB4DC9">
        <w:rPr>
          <w:bCs/>
        </w:rPr>
        <w:t>A compensação integral das parcelas vincendas, ao zerar o pensionamento mensal, compromete a subsistência atual dos menores, devendo o desconto ser fixado em percentual razoável e moderado.</w:t>
      </w:r>
    </w:p>
    <w:p w14:paraId="3C52318A" w14:textId="77777777" w:rsidR="00DB4DC9" w:rsidRDefault="00DB4DC9" w:rsidP="00DB4DC9">
      <w:pPr>
        <w:pStyle w:val="PargrafodaLista"/>
        <w:ind w:left="0"/>
        <w:contextualSpacing w:val="0"/>
        <w:rPr>
          <w:bCs/>
        </w:rPr>
      </w:pPr>
      <w:r w:rsidRPr="00DB4DC9">
        <w:rPr>
          <w:bCs/>
        </w:rPr>
        <w:t>IV. SOLUÇÃO DO CASO</w:t>
      </w:r>
    </w:p>
    <w:p w14:paraId="384347C9" w14:textId="77777777" w:rsidR="00DB4DC9" w:rsidRDefault="00DB4DC9" w:rsidP="00DB4DC9">
      <w:pPr>
        <w:pStyle w:val="PargrafodaLista"/>
        <w:ind w:left="0"/>
        <w:contextualSpacing w:val="0"/>
        <w:rPr>
          <w:bCs/>
        </w:rPr>
      </w:pPr>
      <w:r w:rsidRPr="00DB4DC9">
        <w:rPr>
          <w:bCs/>
        </w:rPr>
        <w:t>Recurso conhecido e parcialmente provido para autorizar a compensação do crédito, limitada ao desconto de 10% (dez por cento) sobre o valor de cada prestação alimentícia mensal.</w:t>
      </w:r>
    </w:p>
    <w:p w14:paraId="0825BCE5" w14:textId="77777777" w:rsidR="00DB4DC9" w:rsidRDefault="00DB4DC9" w:rsidP="00DB4DC9">
      <w:pPr>
        <w:pStyle w:val="PargrafodaLista"/>
        <w:ind w:left="0"/>
        <w:contextualSpacing w:val="0"/>
        <w:rPr>
          <w:bCs/>
        </w:rPr>
      </w:pPr>
      <w:r w:rsidRPr="00DB4DC9">
        <w:rPr>
          <w:bCs/>
        </w:rPr>
        <w:t>V. LEGISLAÇÃO E JURISPRUDÊNCIA UTILIZADAS</w:t>
      </w:r>
    </w:p>
    <w:p w14:paraId="2ACC4C9F" w14:textId="77777777" w:rsidR="00DB4DC9" w:rsidRDefault="00DB4DC9" w:rsidP="00DB4DC9">
      <w:pPr>
        <w:pStyle w:val="PargrafodaLista"/>
        <w:ind w:left="0"/>
        <w:contextualSpacing w:val="0"/>
        <w:rPr>
          <w:bCs/>
        </w:rPr>
      </w:pPr>
      <w:r w:rsidRPr="00DB4DC9">
        <w:rPr>
          <w:bCs/>
        </w:rPr>
        <w:t xml:space="preserve">V.I. LEGISLAÇÃO: Código Civil: </w:t>
      </w:r>
      <w:proofErr w:type="spellStart"/>
      <w:r w:rsidRPr="00DB4DC9">
        <w:rPr>
          <w:bCs/>
        </w:rPr>
        <w:t>arts</w:t>
      </w:r>
      <w:proofErr w:type="spellEnd"/>
      <w:r w:rsidRPr="00DB4DC9">
        <w:rPr>
          <w:bCs/>
        </w:rPr>
        <w:t>. 884 e 1.707.</w:t>
      </w:r>
    </w:p>
    <w:p w14:paraId="7AA448C6" w14:textId="77777777" w:rsidR="00DB4DC9" w:rsidRDefault="00DB4DC9" w:rsidP="00DB4DC9">
      <w:pPr>
        <w:pStyle w:val="PargrafodaLista"/>
        <w:ind w:left="0"/>
        <w:contextualSpacing w:val="0"/>
        <w:rPr>
          <w:bCs/>
        </w:rPr>
      </w:pPr>
      <w:r w:rsidRPr="00DB4DC9">
        <w:rPr>
          <w:bCs/>
        </w:rPr>
        <w:t>Constituição Federal: art. 1º, III e art. 227.</w:t>
      </w:r>
    </w:p>
    <w:p w14:paraId="11A74B60" w14:textId="77777777" w:rsidR="00DB4DC9" w:rsidRDefault="00DB4DC9" w:rsidP="00372AAB">
      <w:pPr>
        <w:ind w:firstLine="0"/>
        <w:rPr>
          <w:b/>
        </w:rPr>
      </w:pPr>
    </w:p>
    <w:p w14:paraId="3100DB65" w14:textId="77777777" w:rsidR="00C8412F" w:rsidRDefault="00AA28DF" w:rsidP="00C8412F">
      <w:pPr>
        <w:pStyle w:val="PargrafodaLista"/>
        <w:ind w:left="0"/>
        <w:contextualSpacing w:val="0"/>
        <w:rPr>
          <w:b/>
        </w:rPr>
      </w:pPr>
      <w:r>
        <w:rPr>
          <w:b/>
        </w:rPr>
        <w:t>I – RELATÓRIO</w:t>
      </w:r>
    </w:p>
    <w:p w14:paraId="6BD5293E" w14:textId="08F8E783" w:rsidR="00662C33" w:rsidRDefault="005604CF" w:rsidP="00C8412F">
      <w:pPr>
        <w:pStyle w:val="PargrafodaLista"/>
        <w:ind w:left="0"/>
        <w:contextualSpacing w:val="0"/>
        <w:rPr>
          <w:bCs/>
        </w:rPr>
      </w:pPr>
      <w:r w:rsidRPr="00C8412F">
        <w:rPr>
          <w:bCs/>
        </w:rPr>
        <w:t>Trata-se de agravo de instrumento interposto por Valentina Ferreira Moura e Pedro Henrique Ferreira Moura, representados por Daniele de Souza Ferreira,</w:t>
      </w:r>
      <w:r w:rsidR="00662C33">
        <w:rPr>
          <w:bCs/>
        </w:rPr>
        <w:t xml:space="preserve"> em face de </w:t>
      </w:r>
      <w:r w:rsidR="000E6C97">
        <w:rPr>
          <w:bCs/>
        </w:rPr>
        <w:t xml:space="preserve">Marcos </w:t>
      </w:r>
      <w:proofErr w:type="spellStart"/>
      <w:r w:rsidR="000E6C97">
        <w:rPr>
          <w:bCs/>
        </w:rPr>
        <w:t>Antonio</w:t>
      </w:r>
      <w:proofErr w:type="spellEnd"/>
      <w:r w:rsidR="000E6C97">
        <w:rPr>
          <w:bCs/>
        </w:rPr>
        <w:t xml:space="preserve"> </w:t>
      </w:r>
      <w:proofErr w:type="spellStart"/>
      <w:r w:rsidR="000E6C97">
        <w:rPr>
          <w:bCs/>
        </w:rPr>
        <w:t>Vilasboas</w:t>
      </w:r>
      <w:proofErr w:type="spellEnd"/>
      <w:r w:rsidR="000E6C97">
        <w:rPr>
          <w:bCs/>
        </w:rPr>
        <w:t xml:space="preserve"> Santos Moura, </w:t>
      </w:r>
      <w:proofErr w:type="spellStart"/>
      <w:r w:rsidR="000E6C97">
        <w:rPr>
          <w:bCs/>
        </w:rPr>
        <w:t>tnedo</w:t>
      </w:r>
      <w:proofErr w:type="spellEnd"/>
      <w:r w:rsidR="000E6C97">
        <w:rPr>
          <w:bCs/>
        </w:rPr>
        <w:t xml:space="preserve"> como objeto decisão proferida pelo juízo da Vara de Família e Sucessões de Cantagalo, que reconheceu excesso de execução e determinou a compensação do montante com as prestações alimentícias futuras, a serem pagas pelo agravado (evento </w:t>
      </w:r>
      <w:r w:rsidR="000B2CDB">
        <w:rPr>
          <w:bCs/>
        </w:rPr>
        <w:t>226.1 – autos de origem).</w:t>
      </w:r>
    </w:p>
    <w:p w14:paraId="55C37559" w14:textId="364E6EB7" w:rsidR="00C8412F" w:rsidRDefault="005604CF" w:rsidP="00C8412F">
      <w:pPr>
        <w:pStyle w:val="PargrafodaLista"/>
        <w:ind w:left="0"/>
        <w:contextualSpacing w:val="0"/>
        <w:rPr>
          <w:bCs/>
        </w:rPr>
      </w:pPr>
      <w:r w:rsidRPr="00C8412F">
        <w:rPr>
          <w:bCs/>
        </w:rPr>
        <w:t>Os agravantes sustentam, em síntese, que</w:t>
      </w:r>
      <w:r w:rsidR="000B2CDB">
        <w:rPr>
          <w:bCs/>
        </w:rPr>
        <w:t xml:space="preserve">: a) </w:t>
      </w:r>
      <w:r w:rsidRPr="00C8412F">
        <w:rPr>
          <w:bCs/>
        </w:rPr>
        <w:t>os alimentos são irrepetíveis e incompensáveis, nos termos do art</w:t>
      </w:r>
      <w:r w:rsidR="000B2CDB">
        <w:rPr>
          <w:bCs/>
        </w:rPr>
        <w:t>igo</w:t>
      </w:r>
      <w:r w:rsidRPr="00C8412F">
        <w:rPr>
          <w:bCs/>
        </w:rPr>
        <w:t xml:space="preserve"> 1.707 do Código Civil</w:t>
      </w:r>
      <w:r w:rsidR="0099622D">
        <w:rPr>
          <w:bCs/>
        </w:rPr>
        <w:t>;</w:t>
      </w:r>
      <w:r w:rsidR="00603439">
        <w:rPr>
          <w:bCs/>
        </w:rPr>
        <w:t xml:space="preserve"> b) </w:t>
      </w:r>
      <w:r w:rsidRPr="00C8412F">
        <w:rPr>
          <w:bCs/>
        </w:rPr>
        <w:t xml:space="preserve">os valores levantados foram integralmente utilizados </w:t>
      </w:r>
      <w:r w:rsidR="00603439">
        <w:rPr>
          <w:bCs/>
        </w:rPr>
        <w:t>para a satisfação das demandas dos alimentandos, suprindo carências acumuladas por períodos de inadimplência anterior; c)</w:t>
      </w:r>
      <w:r w:rsidRPr="00C8412F">
        <w:rPr>
          <w:bCs/>
        </w:rPr>
        <w:t xml:space="preserve"> a suspensão total do pagamento das pensões vincendas até a quitação do crédito </w:t>
      </w:r>
      <w:r w:rsidR="00603439">
        <w:rPr>
          <w:bCs/>
        </w:rPr>
        <w:t xml:space="preserve">comprometeria suas necessidades básicas </w:t>
      </w:r>
      <w:r w:rsidR="00D57B98">
        <w:rPr>
          <w:bCs/>
        </w:rPr>
        <w:t>(evento 1.1).</w:t>
      </w:r>
    </w:p>
    <w:p w14:paraId="0C17936F" w14:textId="677D8EA7" w:rsidR="00D57B98" w:rsidRDefault="00D57B98" w:rsidP="00C8412F">
      <w:pPr>
        <w:pStyle w:val="PargrafodaLista"/>
        <w:ind w:left="0"/>
        <w:contextualSpacing w:val="0"/>
        <w:rPr>
          <w:bCs/>
        </w:rPr>
      </w:pPr>
      <w:r>
        <w:rPr>
          <w:bCs/>
        </w:rPr>
        <w:t xml:space="preserve">Atribuiu-se efeito suspensivo ao recurso, porquanto constatado risco </w:t>
      </w:r>
      <w:r w:rsidR="008E1AB7">
        <w:rPr>
          <w:bCs/>
        </w:rPr>
        <w:t xml:space="preserve">de dano grave, decorrente da </w:t>
      </w:r>
      <w:r w:rsidR="00DB05DA">
        <w:rPr>
          <w:bCs/>
        </w:rPr>
        <w:t>possível</w:t>
      </w:r>
      <w:r w:rsidR="008E1AB7">
        <w:rPr>
          <w:bCs/>
        </w:rPr>
        <w:t xml:space="preserve"> vulneração de direitos fundamentais dos </w:t>
      </w:r>
      <w:r w:rsidR="008B5B5D">
        <w:rPr>
          <w:bCs/>
        </w:rPr>
        <w:t>alimentandos (evento 12.1).</w:t>
      </w:r>
    </w:p>
    <w:p w14:paraId="1AC8D668" w14:textId="55FBEF81" w:rsidR="00972C56" w:rsidRDefault="0030207F" w:rsidP="0030207F">
      <w:pPr>
        <w:pStyle w:val="PargrafodaLista"/>
        <w:ind w:left="0"/>
        <w:contextualSpacing w:val="0"/>
        <w:rPr>
          <w:bCs/>
        </w:rPr>
      </w:pPr>
      <w:r>
        <w:rPr>
          <w:bCs/>
        </w:rPr>
        <w:t xml:space="preserve">Nas </w:t>
      </w:r>
      <w:r w:rsidR="005604CF" w:rsidRPr="00C8412F">
        <w:rPr>
          <w:bCs/>
        </w:rPr>
        <w:t>contrarrazões</w:t>
      </w:r>
      <w:r>
        <w:rPr>
          <w:bCs/>
        </w:rPr>
        <w:t xml:space="preserve">, o agravado sustentou que: a) </w:t>
      </w:r>
      <w:r w:rsidR="005604CF" w:rsidRPr="0030207F">
        <w:rPr>
          <w:bCs/>
        </w:rPr>
        <w:t>a proibição da compensação geraria enriquecimento ilícito dos exequentes</w:t>
      </w:r>
      <w:r w:rsidR="00972C56">
        <w:rPr>
          <w:bCs/>
        </w:rPr>
        <w:t>; b) o excesso decorreu de uma penhora, cuja liquidação superou, em muito, o valor do seu débito (evento 20.1).</w:t>
      </w:r>
    </w:p>
    <w:p w14:paraId="0EF7EBAC" w14:textId="7BFFDB23" w:rsidR="005604CF" w:rsidRDefault="005604CF" w:rsidP="00877419">
      <w:pPr>
        <w:pStyle w:val="PargrafodaLista"/>
        <w:ind w:left="0"/>
        <w:contextualSpacing w:val="0"/>
      </w:pPr>
      <w:r w:rsidRPr="00C8412F">
        <w:rPr>
          <w:bCs/>
        </w:rPr>
        <w:t xml:space="preserve">A Procuradoria-Geral de Justiça manifestou-se pelo conhecimento e parcial provimento do recurso, sugerindo que a compensação seja limitada ao percentual de 10% </w:t>
      </w:r>
      <w:r w:rsidR="005112F2">
        <w:rPr>
          <w:bCs/>
        </w:rPr>
        <w:t xml:space="preserve">(dez por cento) </w:t>
      </w:r>
      <w:r w:rsidRPr="00C8412F">
        <w:rPr>
          <w:bCs/>
        </w:rPr>
        <w:t>do valor da pensão mensal (</w:t>
      </w:r>
      <w:r w:rsidR="005112F2">
        <w:rPr>
          <w:bCs/>
        </w:rPr>
        <w:t>evento 26.1).</w:t>
      </w:r>
    </w:p>
    <w:p w14:paraId="5A480162" w14:textId="5818CF12" w:rsidR="00AA28DF" w:rsidRDefault="00AA28DF" w:rsidP="00877419">
      <w:pPr>
        <w:pStyle w:val="PargrafodaLista"/>
        <w:ind w:left="0"/>
        <w:contextualSpacing w:val="0"/>
      </w:pPr>
      <w:r>
        <w:t>É o necessário relato.</w:t>
      </w:r>
    </w:p>
    <w:p w14:paraId="1769E6BE" w14:textId="77777777" w:rsidR="00AA28DF" w:rsidRDefault="00AA28DF" w:rsidP="00877419">
      <w:pPr>
        <w:pStyle w:val="PargrafodaLista"/>
        <w:ind w:left="0"/>
        <w:contextualSpacing w:val="0"/>
      </w:pPr>
    </w:p>
    <w:p w14:paraId="54C5CE34" w14:textId="77777777" w:rsidR="00AA28DF" w:rsidRPr="00AA28DF" w:rsidRDefault="00AA28DF" w:rsidP="00877419">
      <w:pPr>
        <w:pStyle w:val="PargrafodaLista"/>
        <w:ind w:left="0"/>
        <w:contextualSpacing w:val="0"/>
        <w:rPr>
          <w:b/>
        </w:rPr>
      </w:pPr>
      <w:r w:rsidRPr="00AA28DF">
        <w:rPr>
          <w:b/>
        </w:rPr>
        <w:t>II – VOTO E SUA FUNDAMENTAÇÃO</w:t>
      </w:r>
    </w:p>
    <w:p w14:paraId="079ED1DF" w14:textId="77777777" w:rsidR="00F949A2" w:rsidRDefault="00AA28DF" w:rsidP="00F949A2">
      <w:pPr>
        <w:pStyle w:val="PargrafodaLista"/>
        <w:ind w:left="0"/>
        <w:contextualSpacing w:val="0"/>
      </w:pPr>
      <w:r>
        <w:t>II.I – DO JUÍZO DE ADMISSIBILIDADE</w:t>
      </w:r>
    </w:p>
    <w:p w14:paraId="519D56E4" w14:textId="77777777" w:rsidR="00F949A2" w:rsidRDefault="00F949A2" w:rsidP="00F949A2">
      <w:pPr>
        <w:pStyle w:val="PargrafodaLista"/>
        <w:ind w:left="0"/>
        <w:contextualSpacing w:val="0"/>
      </w:pPr>
      <w:r>
        <w:t>Satisfeitos os pressupostos de admissibilidade recursal, conhece-se do agravo de instrumento interposto.</w:t>
      </w:r>
    </w:p>
    <w:p w14:paraId="5CC26CD3" w14:textId="77777777" w:rsidR="00F949A2" w:rsidRDefault="00F949A2" w:rsidP="00F949A2">
      <w:pPr>
        <w:pStyle w:val="PargrafodaLista"/>
        <w:ind w:left="0"/>
        <w:contextualSpacing w:val="0"/>
      </w:pPr>
    </w:p>
    <w:p w14:paraId="6B4FE0FA" w14:textId="77777777" w:rsidR="00F949A2" w:rsidRDefault="005604CF" w:rsidP="00F949A2">
      <w:pPr>
        <w:pStyle w:val="PargrafodaLista"/>
        <w:ind w:left="0"/>
        <w:contextualSpacing w:val="0"/>
        <w:rPr>
          <w:bCs/>
        </w:rPr>
      </w:pPr>
      <w:r w:rsidRPr="00F949A2">
        <w:rPr>
          <w:bCs/>
        </w:rPr>
        <w:t>II.II – DA IRREPETIBILIDADE E DA VEDAÇÃO AO ENRIQUECIMENTO SEM CAUSA</w:t>
      </w:r>
    </w:p>
    <w:p w14:paraId="731F4968" w14:textId="5D23C742" w:rsidR="003855C4" w:rsidRDefault="005604CF" w:rsidP="00F949A2">
      <w:pPr>
        <w:pStyle w:val="PargrafodaLista"/>
        <w:ind w:left="0"/>
        <w:contextualSpacing w:val="0"/>
        <w:rPr>
          <w:bCs/>
        </w:rPr>
      </w:pPr>
      <w:r w:rsidRPr="00F949A2">
        <w:rPr>
          <w:bCs/>
        </w:rPr>
        <w:t>A controvérsia reside na possibilidade de compensar valores de pensão alimentícia pagos a maior com prestações futuras. No caso vertente, o excesso restou incontroverso, oriundo de penhora realizada no rosto de autos</w:t>
      </w:r>
      <w:r w:rsidR="00DF1EAA">
        <w:rPr>
          <w:bCs/>
        </w:rPr>
        <w:t xml:space="preserve"> n. </w:t>
      </w:r>
      <w:r w:rsidR="00DF1EAA" w:rsidRPr="00DF1EAA">
        <w:rPr>
          <w:bCs/>
        </w:rPr>
        <w:t>0007590-29.2024.8.26.0053</w:t>
      </w:r>
      <w:r w:rsidR="00DF1EAA">
        <w:rPr>
          <w:bCs/>
        </w:rPr>
        <w:t xml:space="preserve">, </w:t>
      </w:r>
      <w:r w:rsidR="00870E77">
        <w:rPr>
          <w:bCs/>
        </w:rPr>
        <w:t xml:space="preserve">que instrumentalizam processo em trâmite perante a 6ª Vara </w:t>
      </w:r>
      <w:r w:rsidR="00FA296C">
        <w:rPr>
          <w:bCs/>
        </w:rPr>
        <w:t>de Acidentes de Trabalho de São Paulo.</w:t>
      </w:r>
    </w:p>
    <w:p w14:paraId="5286F1F2" w14:textId="19D0C01E" w:rsidR="00F949A2" w:rsidRPr="00B728A8" w:rsidRDefault="00FA296C" w:rsidP="00B728A8">
      <w:pPr>
        <w:pStyle w:val="PargrafodaLista"/>
        <w:ind w:left="0"/>
        <w:contextualSpacing w:val="0"/>
        <w:rPr>
          <w:bCs/>
        </w:rPr>
      </w:pPr>
      <w:r>
        <w:rPr>
          <w:bCs/>
        </w:rPr>
        <w:t xml:space="preserve">Com efeito, </w:t>
      </w:r>
      <w:r w:rsidR="005604CF" w:rsidRPr="00F949A2">
        <w:rPr>
          <w:bCs/>
        </w:rPr>
        <w:t xml:space="preserve">o ordenamento jurídico pátrio adota, como regra, o princípio da irrepetibilidade dos alimentos, fundado na premissa de que tais verbas se destinam à sobrevivência e, uma vez consumidas, não podem ser devolvidas. Tal diretriz </w:t>
      </w:r>
      <w:r w:rsidR="00B728A8">
        <w:rPr>
          <w:bCs/>
        </w:rPr>
        <w:t xml:space="preserve">está prevista </w:t>
      </w:r>
      <w:r w:rsidR="005604CF" w:rsidRPr="00B728A8">
        <w:rPr>
          <w:bCs/>
        </w:rPr>
        <w:t>no art</w:t>
      </w:r>
      <w:r w:rsidR="008D1FDA">
        <w:rPr>
          <w:bCs/>
        </w:rPr>
        <w:t>igo</w:t>
      </w:r>
      <w:r w:rsidR="005604CF" w:rsidRPr="00B728A8">
        <w:rPr>
          <w:bCs/>
        </w:rPr>
        <w:t xml:space="preserve"> 1.707 do Código Civil.</w:t>
      </w:r>
    </w:p>
    <w:p w14:paraId="3D1BD0B7" w14:textId="64E8EE8E" w:rsidR="00F949A2" w:rsidRDefault="005604CF" w:rsidP="00F949A2">
      <w:pPr>
        <w:pStyle w:val="PargrafodaLista"/>
        <w:ind w:left="0"/>
        <w:contextualSpacing w:val="0"/>
        <w:rPr>
          <w:bCs/>
        </w:rPr>
      </w:pPr>
      <w:r w:rsidRPr="00F949A2">
        <w:rPr>
          <w:bCs/>
        </w:rPr>
        <w:t>Contudo, a dogmática jurídica moderna</w:t>
      </w:r>
      <w:r w:rsidR="00D44FFA">
        <w:rPr>
          <w:rStyle w:val="Refdenotadefim"/>
          <w:bCs/>
        </w:rPr>
        <w:endnoteReference w:id="1"/>
      </w:r>
      <w:r w:rsidR="00D44FFA">
        <w:rPr>
          <w:bCs/>
        </w:rPr>
        <w:t xml:space="preserve"> </w:t>
      </w:r>
      <w:r w:rsidRPr="00F949A2">
        <w:rPr>
          <w:bCs/>
        </w:rPr>
        <w:t>e a jurisprudência dos Tribunais Superiores têm mitigado o rigor desse princípio em cenários onde a sua aplicação estrita implicaria em evidente enriquecimento sem causa do credor, vedado pelo art</w:t>
      </w:r>
      <w:r w:rsidR="008D1FDA">
        <w:rPr>
          <w:bCs/>
        </w:rPr>
        <w:t>igo</w:t>
      </w:r>
      <w:r w:rsidRPr="00F949A2">
        <w:rPr>
          <w:bCs/>
        </w:rPr>
        <w:t xml:space="preserve"> 884 do Código Civil.</w:t>
      </w:r>
    </w:p>
    <w:p w14:paraId="4ED0A1F0" w14:textId="03EB5E00" w:rsidR="00D44FFA" w:rsidRDefault="004C3C33" w:rsidP="00F949A2">
      <w:pPr>
        <w:pStyle w:val="PargrafodaLista"/>
        <w:ind w:left="0"/>
        <w:contextualSpacing w:val="0"/>
        <w:rPr>
          <w:bCs/>
        </w:rPr>
      </w:pPr>
      <w:r>
        <w:rPr>
          <w:bCs/>
        </w:rPr>
        <w:t>Confira-se:</w:t>
      </w:r>
    </w:p>
    <w:p w14:paraId="3D30A6E7" w14:textId="77777777" w:rsidR="00B2008F" w:rsidRPr="00B2008F" w:rsidRDefault="00B2008F" w:rsidP="00B2008F">
      <w:pPr>
        <w:pStyle w:val="PargrafodaLista"/>
        <w:rPr>
          <w:bCs/>
        </w:rPr>
      </w:pPr>
      <w:r w:rsidRPr="00B2008F">
        <w:rPr>
          <w:bCs/>
        </w:rPr>
        <w:t>AGRAVO INTERNO NO AGRAVO EM RECURSO ESPECIAL - AUTOS DE AGRAVO DE INSTRUMENTO NA ORIGEM -DECISÃO MONOCRÁTICA QUE CONHECEU DO RECLAMO PARA PROVER O APELO NOBRE. INSURGÊNCIA DA PARTE AGRAVANTE.</w:t>
      </w:r>
    </w:p>
    <w:p w14:paraId="0E7FB7AC" w14:textId="77777777" w:rsidR="00B2008F" w:rsidRPr="00B2008F" w:rsidRDefault="00B2008F" w:rsidP="00B2008F">
      <w:pPr>
        <w:pStyle w:val="PargrafodaLista"/>
        <w:rPr>
          <w:bCs/>
        </w:rPr>
      </w:pPr>
      <w:r w:rsidRPr="00B2008F">
        <w:rPr>
          <w:bCs/>
        </w:rPr>
        <w:t xml:space="preserve">1. A jurisprudência do STJ, em regra, não admite a compensação de alimentos fixados em pecúnia com aqueles pagos in natura. Entende-se que o pagamento de forma diferente da estipulada pelo juízo deve ser entendido como mera liberalidade. </w:t>
      </w:r>
    </w:p>
    <w:p w14:paraId="54B60D76" w14:textId="77777777" w:rsidR="00B2008F" w:rsidRPr="00B2008F" w:rsidRDefault="00B2008F" w:rsidP="00B2008F">
      <w:pPr>
        <w:pStyle w:val="PargrafodaLista"/>
        <w:rPr>
          <w:bCs/>
        </w:rPr>
      </w:pPr>
      <w:r w:rsidRPr="00B2008F">
        <w:rPr>
          <w:bCs/>
        </w:rPr>
        <w:t xml:space="preserve">1.1. Todavia, deve-se ponderar que o princípio da não compensação do crédito alimentar não é absoluto, podendo ser flexibilizado para impedir o enriquecimento indevido de uma das partes. Nesse contexto, o STJ tem admitido, excepcionalmente, a compensação de despesas pagas in natura referentes à moradia, saúde e educação, por exemplo, com o débito oriundo de pensão alimentícia. Precedentes. </w:t>
      </w:r>
    </w:p>
    <w:p w14:paraId="672F48BF" w14:textId="77777777" w:rsidR="00B2008F" w:rsidRPr="00B2008F" w:rsidRDefault="00B2008F" w:rsidP="00B2008F">
      <w:pPr>
        <w:pStyle w:val="PargrafodaLista"/>
        <w:rPr>
          <w:bCs/>
        </w:rPr>
      </w:pPr>
      <w:r w:rsidRPr="00B2008F">
        <w:rPr>
          <w:bCs/>
        </w:rPr>
        <w:t>2. Agravo interno desprovido.</w:t>
      </w:r>
    </w:p>
    <w:p w14:paraId="1C06C246" w14:textId="77777777" w:rsidR="00B2008F" w:rsidRPr="00B2008F" w:rsidRDefault="00B2008F" w:rsidP="00B2008F">
      <w:pPr>
        <w:pStyle w:val="PargrafodaLista"/>
        <w:rPr>
          <w:bCs/>
        </w:rPr>
      </w:pPr>
    </w:p>
    <w:p w14:paraId="5C380032" w14:textId="4A57A6B6" w:rsidR="004C3C33" w:rsidRDefault="00B2008F" w:rsidP="00B2008F">
      <w:pPr>
        <w:pStyle w:val="PargrafodaLista"/>
        <w:ind w:left="0"/>
        <w:contextualSpacing w:val="0"/>
        <w:rPr>
          <w:bCs/>
        </w:rPr>
      </w:pPr>
      <w:r w:rsidRPr="00B2008F">
        <w:rPr>
          <w:bCs/>
        </w:rPr>
        <w:t>(</w:t>
      </w:r>
      <w:proofErr w:type="spellStart"/>
      <w:r w:rsidRPr="00B2008F">
        <w:rPr>
          <w:bCs/>
        </w:rPr>
        <w:t>AgInt</w:t>
      </w:r>
      <w:proofErr w:type="spellEnd"/>
      <w:r w:rsidRPr="00B2008F">
        <w:rPr>
          <w:bCs/>
        </w:rPr>
        <w:t xml:space="preserve"> no </w:t>
      </w:r>
      <w:proofErr w:type="spellStart"/>
      <w:r w:rsidRPr="00B2008F">
        <w:rPr>
          <w:bCs/>
        </w:rPr>
        <w:t>AREsp</w:t>
      </w:r>
      <w:proofErr w:type="spellEnd"/>
      <w:r w:rsidRPr="00B2008F">
        <w:rPr>
          <w:bCs/>
        </w:rPr>
        <w:t xml:space="preserve"> n. 1.256.697/MG, relator Ministro Marco </w:t>
      </w:r>
      <w:proofErr w:type="spellStart"/>
      <w:r w:rsidRPr="00B2008F">
        <w:rPr>
          <w:bCs/>
        </w:rPr>
        <w:t>Buzzi</w:t>
      </w:r>
      <w:proofErr w:type="spellEnd"/>
      <w:r w:rsidRPr="00B2008F">
        <w:rPr>
          <w:bCs/>
        </w:rPr>
        <w:t xml:space="preserve">, Quarta Turma, julgado em 28/9/2020, </w:t>
      </w:r>
      <w:proofErr w:type="spellStart"/>
      <w:r w:rsidRPr="00B2008F">
        <w:rPr>
          <w:bCs/>
        </w:rPr>
        <w:t>DJe</w:t>
      </w:r>
      <w:proofErr w:type="spellEnd"/>
      <w:r w:rsidRPr="00B2008F">
        <w:rPr>
          <w:bCs/>
        </w:rPr>
        <w:t xml:space="preserve"> de 1/10/2020.)</w:t>
      </w:r>
    </w:p>
    <w:p w14:paraId="183CC343" w14:textId="77777777" w:rsidR="00B2008F" w:rsidRDefault="00B2008F" w:rsidP="00B2008F">
      <w:pPr>
        <w:pStyle w:val="PargrafodaLista"/>
        <w:ind w:left="0"/>
        <w:contextualSpacing w:val="0"/>
        <w:rPr>
          <w:bCs/>
        </w:rPr>
      </w:pPr>
    </w:p>
    <w:p w14:paraId="7D0CE844" w14:textId="7122B99F" w:rsidR="00F949A2" w:rsidRDefault="005604CF" w:rsidP="00F949A2">
      <w:pPr>
        <w:pStyle w:val="PargrafodaLista"/>
        <w:ind w:left="0"/>
        <w:contextualSpacing w:val="0"/>
        <w:rPr>
          <w:bCs/>
        </w:rPr>
      </w:pPr>
      <w:r w:rsidRPr="00F949A2">
        <w:rPr>
          <w:bCs/>
        </w:rPr>
        <w:t>Na hipótese dos autos, não se trata de redução retroativa de encargo alimentar por mudança de fortuna, mas de erro operacional no levantamento de valores bloqueados judicialmente. Permitir que os alimentandos retenham valor manifestamente superior ao devido, sem qualquer forma de abatimento, configuraria locupletamento indevido.</w:t>
      </w:r>
    </w:p>
    <w:p w14:paraId="2833BC53" w14:textId="77777777" w:rsidR="00F949A2" w:rsidRDefault="005604CF" w:rsidP="00F949A2">
      <w:pPr>
        <w:pStyle w:val="PargrafodaLista"/>
        <w:ind w:left="0"/>
        <w:contextualSpacing w:val="0"/>
        <w:rPr>
          <w:bCs/>
        </w:rPr>
      </w:pPr>
      <w:proofErr w:type="spellStart"/>
      <w:r w:rsidRPr="00F949A2">
        <w:rPr>
          <w:bCs/>
        </w:rPr>
        <w:t>II.III</w:t>
      </w:r>
      <w:proofErr w:type="spellEnd"/>
      <w:r w:rsidRPr="00F949A2">
        <w:rPr>
          <w:bCs/>
        </w:rPr>
        <w:t xml:space="preserve"> – DA NECESSIDADE DE LIMITAÇÃO DO PERCENTUAL DE COMPENSAÇÃO</w:t>
      </w:r>
    </w:p>
    <w:p w14:paraId="346FBC3E" w14:textId="77777777" w:rsidR="00F949A2" w:rsidRDefault="005604CF" w:rsidP="00F949A2">
      <w:pPr>
        <w:pStyle w:val="PargrafodaLista"/>
        <w:ind w:left="0"/>
        <w:contextualSpacing w:val="0"/>
        <w:rPr>
          <w:bCs/>
        </w:rPr>
      </w:pPr>
      <w:r w:rsidRPr="00F949A2">
        <w:rPr>
          <w:bCs/>
        </w:rPr>
        <w:t>Embora a compensação seja devida para reestabelecer o equilíbrio patrimonial, ela não pode ser exercida de forma a aniquilar a finalidade precípua dos alimentos: a garantia da vida digna e do sustento imediato dos menores.</w:t>
      </w:r>
    </w:p>
    <w:p w14:paraId="05FCAB64" w14:textId="77777777" w:rsidR="00F949A2" w:rsidRDefault="005604CF" w:rsidP="00F949A2">
      <w:pPr>
        <w:pStyle w:val="PargrafodaLista"/>
        <w:ind w:left="0"/>
        <w:contextualSpacing w:val="0"/>
        <w:rPr>
          <w:bCs/>
        </w:rPr>
      </w:pPr>
      <w:r w:rsidRPr="00F949A2">
        <w:rPr>
          <w:bCs/>
        </w:rPr>
        <w:t>A decisão agravada, ao autorizar a compensação integral e imediata, permite que o alimentante suspenda totalmente o pagamento até que o saldo de R$ 13.402,19 seja exaurido. Tal medida transfere aos menores o ônus de suportar a ausência total de verba alimentar mensal, o que fere o princípio da proteção integral e da prioridade absoluta (art. 227, CF).</w:t>
      </w:r>
    </w:p>
    <w:p w14:paraId="1D308987" w14:textId="77777777" w:rsidR="00F949A2" w:rsidRDefault="005604CF" w:rsidP="00F949A2">
      <w:pPr>
        <w:pStyle w:val="PargrafodaLista"/>
        <w:ind w:left="0"/>
        <w:contextualSpacing w:val="0"/>
        <w:rPr>
          <w:bCs/>
        </w:rPr>
      </w:pPr>
      <w:r w:rsidRPr="00F949A2">
        <w:rPr>
          <w:bCs/>
        </w:rPr>
        <w:t>A solução equânime, portanto, consiste em permitir o abatimento do crédito de forma parcelada e diluída. Ao limitar o desconto mensal, garante-se que o devedor recupere o que pagou a maior sem privar os credores dos recursos necessários à sua manutenção cotidiana.</w:t>
      </w:r>
    </w:p>
    <w:p w14:paraId="4638D9F7" w14:textId="77777777" w:rsidR="00CD1D1A" w:rsidRDefault="005604CF" w:rsidP="00CD1D1A">
      <w:pPr>
        <w:pStyle w:val="PargrafodaLista"/>
        <w:ind w:left="0"/>
        <w:contextualSpacing w:val="0"/>
        <w:rPr>
          <w:bCs/>
        </w:rPr>
      </w:pPr>
      <w:r w:rsidRPr="00F949A2">
        <w:rPr>
          <w:bCs/>
        </w:rPr>
        <w:t xml:space="preserve">Nesse contexto, o percentual de 10% (dez por cento) sobre o valor nominal da pensão mensal revela-se adequado, conforme sugerido </w:t>
      </w:r>
      <w:proofErr w:type="gramStart"/>
      <w:r w:rsidRPr="00F949A2">
        <w:rPr>
          <w:bCs/>
        </w:rPr>
        <w:t xml:space="preserve">pelo </w:t>
      </w:r>
      <w:r w:rsidRPr="00F949A2">
        <w:rPr>
          <w:bCs/>
          <w:i/>
          <w:iCs/>
        </w:rPr>
        <w:t>custos</w:t>
      </w:r>
      <w:proofErr w:type="gramEnd"/>
      <w:r w:rsidRPr="00F949A2">
        <w:rPr>
          <w:bCs/>
          <w:i/>
          <w:iCs/>
        </w:rPr>
        <w:t xml:space="preserve"> legis</w:t>
      </w:r>
      <w:r w:rsidRPr="00F949A2">
        <w:rPr>
          <w:bCs/>
        </w:rPr>
        <w:t>, atendendo à proporcionalidade e à razoabilidade.</w:t>
      </w:r>
    </w:p>
    <w:p w14:paraId="212AFE8A" w14:textId="2B99CC21" w:rsidR="005604CF" w:rsidRPr="00CD1D1A" w:rsidRDefault="005604CF" w:rsidP="00CD1D1A">
      <w:pPr>
        <w:pStyle w:val="PargrafodaLista"/>
        <w:ind w:left="0"/>
        <w:contextualSpacing w:val="0"/>
      </w:pPr>
      <w:r w:rsidRPr="00CD1D1A">
        <w:rPr>
          <w:bCs/>
        </w:rPr>
        <w:t>[ESPAÇO PARA INSERÇÃO DE JURISPRUDÊNCIA SOBRE COMPENSAÇÃO PARCELADA/PERCENTUAL]</w:t>
      </w:r>
    </w:p>
    <w:p w14:paraId="563C9F80" w14:textId="77777777" w:rsidR="005604CF" w:rsidRDefault="005604CF" w:rsidP="00877419">
      <w:pPr>
        <w:pStyle w:val="PargrafodaLista"/>
        <w:ind w:left="0"/>
        <w:contextualSpacing w:val="0"/>
      </w:pPr>
    </w:p>
    <w:p w14:paraId="2E086DF9" w14:textId="77777777" w:rsidR="005604CF" w:rsidRDefault="005604CF" w:rsidP="00877419">
      <w:pPr>
        <w:pStyle w:val="PargrafodaLista"/>
        <w:ind w:left="0"/>
        <w:contextualSpacing w:val="0"/>
      </w:pPr>
    </w:p>
    <w:p w14:paraId="4F9B449E" w14:textId="6EC2B556" w:rsidR="00AA28DF" w:rsidRDefault="005604CF" w:rsidP="00877419">
      <w:pPr>
        <w:pStyle w:val="PargrafodaLista"/>
        <w:ind w:left="0"/>
        <w:contextualSpacing w:val="0"/>
      </w:pPr>
      <w:proofErr w:type="spellStart"/>
      <w:r>
        <w:t>II.</w:t>
      </w:r>
      <w:r w:rsidR="00B52291">
        <w:t>II</w:t>
      </w:r>
      <w:r>
        <w:t>I</w:t>
      </w:r>
      <w:proofErr w:type="spellEnd"/>
      <w:r>
        <w:t xml:space="preserve"> – </w:t>
      </w:r>
      <w:r w:rsidR="00AA28DF">
        <w:t>DA CONCLUSÃO</w:t>
      </w:r>
    </w:p>
    <w:p w14:paraId="12A4456E" w14:textId="6DC65622" w:rsidR="00AA28DF" w:rsidRDefault="00AA28DF" w:rsidP="00877419">
      <w:pPr>
        <w:pStyle w:val="PargrafodaLista"/>
        <w:ind w:left="0"/>
        <w:contextualSpacing w:val="0"/>
      </w:pPr>
      <w:r>
        <w:t>Pela conjugação das premissas deduzidas, a conclusão a ser adota</w:t>
      </w:r>
      <w:r w:rsidR="00DC37B4">
        <w:t>da</w:t>
      </w:r>
      <w:r>
        <w:t xml:space="preserve"> consiste </w:t>
      </w:r>
      <w:r w:rsidR="005604CF">
        <w:t>em conhecer e dar parcial provimento ao recurso.</w:t>
      </w:r>
    </w:p>
    <w:p w14:paraId="4308533E" w14:textId="77777777" w:rsidR="00AA28DF" w:rsidRDefault="00AA28DF" w:rsidP="00877419">
      <w:pPr>
        <w:pStyle w:val="PargrafodaLista"/>
        <w:ind w:left="0"/>
        <w:contextualSpacing w:val="0"/>
      </w:pPr>
      <w:r>
        <w:t>É como voto.</w:t>
      </w:r>
    </w:p>
    <w:p w14:paraId="316E59E6" w14:textId="77777777" w:rsidR="00AA28DF" w:rsidRDefault="00AA28DF" w:rsidP="00877419">
      <w:pPr>
        <w:pStyle w:val="PargrafodaLista"/>
        <w:ind w:left="0"/>
        <w:contextualSpacing w:val="0"/>
      </w:pPr>
    </w:p>
    <w:p w14:paraId="267DA503" w14:textId="322A8762" w:rsidR="00DB4DC9" w:rsidRPr="005604CF" w:rsidRDefault="00877419" w:rsidP="005604CF">
      <w:pPr>
        <w:pStyle w:val="PargrafodaLista"/>
        <w:ind w:left="0"/>
        <w:contextualSpacing w:val="0"/>
        <w:rPr>
          <w:b/>
        </w:rPr>
      </w:pPr>
      <w:r>
        <w:rPr>
          <w:b/>
        </w:rPr>
        <w:t xml:space="preserve">III </w:t>
      </w:r>
      <w:r w:rsidR="00372AAB">
        <w:rPr>
          <w:b/>
        </w:rPr>
        <w:t xml:space="preserve">– </w:t>
      </w:r>
      <w:r>
        <w:rPr>
          <w:b/>
        </w:rPr>
        <w:t>DECISÃO</w:t>
      </w:r>
    </w:p>
    <w:sectPr w:rsidR="00DB4DC9" w:rsidRPr="005604C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32346" w14:textId="77777777" w:rsidR="00F26E69" w:rsidRDefault="00F26E69" w:rsidP="00D44FFA">
      <w:pPr>
        <w:spacing w:after="0" w:line="240" w:lineRule="auto"/>
      </w:pPr>
      <w:r>
        <w:separator/>
      </w:r>
    </w:p>
  </w:endnote>
  <w:endnote w:type="continuationSeparator" w:id="0">
    <w:p w14:paraId="5F6E6551" w14:textId="77777777" w:rsidR="00F26E69" w:rsidRDefault="00F26E69" w:rsidP="00D44FFA">
      <w:pPr>
        <w:spacing w:after="0" w:line="240" w:lineRule="auto"/>
      </w:pPr>
      <w:r>
        <w:continuationSeparator/>
      </w:r>
    </w:p>
  </w:endnote>
  <w:endnote w:id="1">
    <w:p w14:paraId="61941936" w14:textId="1E045497" w:rsidR="00D44FFA" w:rsidRDefault="00D44FFA">
      <w:pPr>
        <w:pStyle w:val="Textodenotadefim"/>
      </w:pPr>
      <w:r>
        <w:rPr>
          <w:rStyle w:val="Refdenotadefim"/>
        </w:rPr>
        <w:endnoteRef/>
      </w:r>
      <w:r>
        <w:t xml:space="preserve"> </w:t>
      </w:r>
      <w:r w:rsidRPr="00D44FFA">
        <w:t xml:space="preserve">FARIAS, Cristiano Chaves de. </w:t>
      </w:r>
      <w:proofErr w:type="spellStart"/>
      <w:r w:rsidRPr="00D44FFA">
        <w:t>ROSENVALD</w:t>
      </w:r>
      <w:proofErr w:type="spellEnd"/>
      <w:r w:rsidRPr="00D44FFA">
        <w:t xml:space="preserve">, Nelson. Curso de Direito Civil: Famílias. Editora </w:t>
      </w:r>
      <w:proofErr w:type="spellStart"/>
      <w:r w:rsidRPr="00D44FFA">
        <w:t>JusPodivm</w:t>
      </w:r>
      <w:proofErr w:type="spellEnd"/>
      <w:r w:rsidRPr="00D44FFA">
        <w:t>, 2017. p. 726.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E61B6" w14:textId="77777777" w:rsidR="00F26E69" w:rsidRDefault="00F26E69" w:rsidP="00D44FFA">
      <w:pPr>
        <w:spacing w:after="0" w:line="240" w:lineRule="auto"/>
      </w:pPr>
      <w:r>
        <w:separator/>
      </w:r>
    </w:p>
  </w:footnote>
  <w:footnote w:type="continuationSeparator" w:id="0">
    <w:p w14:paraId="1C482869" w14:textId="77777777" w:rsidR="00F26E69" w:rsidRDefault="00F26E69" w:rsidP="00D44F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A1362"/>
    <w:multiLevelType w:val="multilevel"/>
    <w:tmpl w:val="872AC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1"/>
  </w:num>
  <w:num w:numId="2" w16cid:durableId="802964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B2CDB"/>
    <w:rsid w:val="000E6C97"/>
    <w:rsid w:val="00146748"/>
    <w:rsid w:val="00165C47"/>
    <w:rsid w:val="001C2D4C"/>
    <w:rsid w:val="0030207F"/>
    <w:rsid w:val="00372AAB"/>
    <w:rsid w:val="003855C4"/>
    <w:rsid w:val="004C3C33"/>
    <w:rsid w:val="005112F2"/>
    <w:rsid w:val="005604CF"/>
    <w:rsid w:val="005B4039"/>
    <w:rsid w:val="00603439"/>
    <w:rsid w:val="00662C33"/>
    <w:rsid w:val="00672942"/>
    <w:rsid w:val="00794062"/>
    <w:rsid w:val="00870E77"/>
    <w:rsid w:val="00877419"/>
    <w:rsid w:val="008B5B5D"/>
    <w:rsid w:val="008D1FDA"/>
    <w:rsid w:val="008E1AB7"/>
    <w:rsid w:val="00972C56"/>
    <w:rsid w:val="00973737"/>
    <w:rsid w:val="0099622D"/>
    <w:rsid w:val="009D0D3E"/>
    <w:rsid w:val="00AA28DF"/>
    <w:rsid w:val="00AE47D1"/>
    <w:rsid w:val="00B2008F"/>
    <w:rsid w:val="00B52291"/>
    <w:rsid w:val="00B728A8"/>
    <w:rsid w:val="00BC64BE"/>
    <w:rsid w:val="00C8412F"/>
    <w:rsid w:val="00CD1D1A"/>
    <w:rsid w:val="00D37894"/>
    <w:rsid w:val="00D44FFA"/>
    <w:rsid w:val="00D57B98"/>
    <w:rsid w:val="00DB05DA"/>
    <w:rsid w:val="00DB4DC9"/>
    <w:rsid w:val="00DC37B4"/>
    <w:rsid w:val="00DF1EAA"/>
    <w:rsid w:val="00E217AB"/>
    <w:rsid w:val="00EA3C6B"/>
    <w:rsid w:val="00F26E69"/>
    <w:rsid w:val="00F949A2"/>
    <w:rsid w:val="00FA296C"/>
    <w:rsid w:val="00FE0C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styleId="Textodenotadefim">
    <w:name w:val="endnote text"/>
    <w:basedOn w:val="Normal"/>
    <w:link w:val="TextodenotadefimChar"/>
    <w:uiPriority w:val="99"/>
    <w:semiHidden/>
    <w:unhideWhenUsed/>
    <w:rsid w:val="00D44FFA"/>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D44FFA"/>
    <w:rPr>
      <w:rFonts w:ascii="Times New Roman" w:hAnsi="Times New Roman"/>
      <w:sz w:val="20"/>
      <w:szCs w:val="20"/>
    </w:rPr>
  </w:style>
  <w:style w:type="character" w:styleId="Refdenotadefim">
    <w:name w:val="endnote reference"/>
    <w:basedOn w:val="Fontepargpadro"/>
    <w:uiPriority w:val="99"/>
    <w:semiHidden/>
    <w:unhideWhenUsed/>
    <w:rsid w:val="00D44F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4.xml><?xml version="1.0" encoding="utf-8"?>
<ds:datastoreItem xmlns:ds="http://schemas.openxmlformats.org/officeDocument/2006/customXml" ds:itemID="{7E4CBABB-33D5-406F-A5F4-CF1DE2984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1170</Words>
  <Characters>6775</Characters>
  <Application>Microsoft Office Word</Application>
  <DocSecurity>0</DocSecurity>
  <Lines>150</Lines>
  <Paragraphs>70</Paragraphs>
  <ScaleCrop>false</ScaleCrop>
  <Company>Tribunal de Justiça do Estado do Paraná</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38</cp:revision>
  <cp:lastPrinted>2025-07-11T18:35:00Z</cp:lastPrinted>
  <dcterms:created xsi:type="dcterms:W3CDTF">2024-02-08T17:42:00Z</dcterms:created>
  <dcterms:modified xsi:type="dcterms:W3CDTF">2026-01-20T21:21:00Z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