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8B23" w14:textId="3D73999B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DIREITO PROCESSUAL CIVIL. AGRAVO DE INSTRUMENTO. TUTELA DE URG</w:t>
      </w:r>
      <w:r w:rsidRPr="00D11F54">
        <w:rPr>
          <w:rFonts w:hint="eastAsia"/>
          <w:bCs/>
        </w:rPr>
        <w:t>Ê</w:t>
      </w:r>
      <w:r w:rsidRPr="00D11F54">
        <w:rPr>
          <w:bCs/>
        </w:rPr>
        <w:t>NCIA. RESTRI</w:t>
      </w:r>
      <w:r w:rsidRPr="00D11F54">
        <w:rPr>
          <w:rFonts w:hint="eastAsia"/>
          <w:bCs/>
        </w:rPr>
        <w:t>ÇÃ</w:t>
      </w:r>
      <w:r w:rsidRPr="00D11F54">
        <w:rPr>
          <w:bCs/>
        </w:rPr>
        <w:t>O DE TRANSFER</w:t>
      </w:r>
      <w:r w:rsidRPr="00D11F54">
        <w:rPr>
          <w:rFonts w:hint="eastAsia"/>
          <w:bCs/>
        </w:rPr>
        <w:t>Ê</w:t>
      </w:r>
      <w:r w:rsidRPr="00D11F54">
        <w:rPr>
          <w:bCs/>
        </w:rPr>
        <w:t>NCIA DE VE</w:t>
      </w:r>
      <w:r w:rsidRPr="00D11F54">
        <w:rPr>
          <w:rFonts w:hint="eastAsia"/>
          <w:bCs/>
        </w:rPr>
        <w:t>Í</w:t>
      </w:r>
      <w:r w:rsidRPr="00D11F54">
        <w:rPr>
          <w:bCs/>
        </w:rPr>
        <w:t>CULO.</w:t>
      </w:r>
      <w:r w:rsidR="00EA670D">
        <w:rPr>
          <w:bCs/>
        </w:rPr>
        <w:t xml:space="preserve"> ALTERAÇÃO DO</w:t>
      </w:r>
      <w:r w:rsidRPr="00D11F54">
        <w:rPr>
          <w:bCs/>
        </w:rPr>
        <w:t xml:space="preserve"> QUADRO F</w:t>
      </w:r>
      <w:r w:rsidRPr="00D11F54">
        <w:rPr>
          <w:rFonts w:hint="eastAsia"/>
          <w:bCs/>
        </w:rPr>
        <w:t>Á</w:t>
      </w:r>
      <w:r w:rsidRPr="00D11F54">
        <w:rPr>
          <w:bCs/>
        </w:rPr>
        <w:t>TICO</w:t>
      </w:r>
      <w:r w:rsidR="00EA670D">
        <w:rPr>
          <w:bCs/>
        </w:rPr>
        <w:t>-JURÍDICO</w:t>
      </w:r>
      <w:r w:rsidRPr="00D11F54">
        <w:rPr>
          <w:bCs/>
        </w:rPr>
        <w:t>. AUS</w:t>
      </w:r>
      <w:r w:rsidRPr="00D11F54">
        <w:rPr>
          <w:rFonts w:hint="eastAsia"/>
          <w:bCs/>
        </w:rPr>
        <w:t>Ê</w:t>
      </w:r>
      <w:r w:rsidRPr="00D11F54">
        <w:rPr>
          <w:bCs/>
        </w:rPr>
        <w:t>NCIA DE PRETENS</w:t>
      </w:r>
      <w:r w:rsidRPr="00D11F54">
        <w:rPr>
          <w:rFonts w:hint="eastAsia"/>
          <w:bCs/>
        </w:rPr>
        <w:t>Ã</w:t>
      </w:r>
      <w:r w:rsidRPr="00D11F54">
        <w:rPr>
          <w:bCs/>
        </w:rPr>
        <w:t>O REIPERSECUT</w:t>
      </w:r>
      <w:r w:rsidRPr="00D11F54">
        <w:rPr>
          <w:rFonts w:hint="eastAsia"/>
          <w:bCs/>
        </w:rPr>
        <w:t>Ó</w:t>
      </w:r>
      <w:r w:rsidRPr="00D11F54">
        <w:rPr>
          <w:bCs/>
        </w:rPr>
        <w:t>RIA.</w:t>
      </w:r>
    </w:p>
    <w:p w14:paraId="55C22C8E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I. CASO EM EXAME</w:t>
      </w:r>
    </w:p>
    <w:p w14:paraId="3E8C0800" w14:textId="192EDB1D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Agravo de instrumento interposto contra decis</w:t>
      </w:r>
      <w:r w:rsidRPr="00D11F54">
        <w:rPr>
          <w:rFonts w:hint="eastAsia"/>
          <w:bCs/>
        </w:rPr>
        <w:t>ã</w:t>
      </w:r>
      <w:r w:rsidRPr="00D11F54">
        <w:rPr>
          <w:bCs/>
        </w:rPr>
        <w:t>o que, reputando preclusa a mat</w:t>
      </w:r>
      <w:r w:rsidRPr="00D11F54">
        <w:rPr>
          <w:rFonts w:hint="eastAsia"/>
          <w:bCs/>
        </w:rPr>
        <w:t>é</w:t>
      </w:r>
      <w:r w:rsidRPr="00D11F54">
        <w:rPr>
          <w:bCs/>
        </w:rPr>
        <w:t>ria, manteve a restri</w:t>
      </w:r>
      <w:r w:rsidRPr="00D11F54">
        <w:rPr>
          <w:rFonts w:hint="eastAsia"/>
          <w:bCs/>
        </w:rPr>
        <w:t>çã</w:t>
      </w:r>
      <w:r w:rsidRPr="00D11F54">
        <w:rPr>
          <w:bCs/>
        </w:rPr>
        <w:t>o de transfer</w:t>
      </w:r>
      <w:r w:rsidRPr="00D11F54">
        <w:rPr>
          <w:rFonts w:hint="eastAsia"/>
          <w:bCs/>
        </w:rPr>
        <w:t>ê</w:t>
      </w:r>
      <w:r w:rsidRPr="00D11F54">
        <w:rPr>
          <w:bCs/>
        </w:rPr>
        <w:t xml:space="preserve">ncia </w:t>
      </w:r>
      <w:r w:rsidR="00EA670D">
        <w:rPr>
          <w:bCs/>
        </w:rPr>
        <w:t xml:space="preserve">de </w:t>
      </w:r>
      <w:r w:rsidRPr="00D11F54">
        <w:rPr>
          <w:bCs/>
        </w:rPr>
        <w:t>ve</w:t>
      </w:r>
      <w:r w:rsidRPr="00D11F54">
        <w:rPr>
          <w:rFonts w:hint="eastAsia"/>
          <w:bCs/>
        </w:rPr>
        <w:t>í</w:t>
      </w:r>
      <w:r w:rsidRPr="00D11F54">
        <w:rPr>
          <w:bCs/>
        </w:rPr>
        <w:t>culo automotor objeto de suposta fraude. O agravante sustenta a desnecessidade da medida, dada a altera</w:t>
      </w:r>
      <w:r w:rsidRPr="00D11F54">
        <w:rPr>
          <w:rFonts w:hint="eastAsia"/>
          <w:bCs/>
        </w:rPr>
        <w:t>çã</w:t>
      </w:r>
      <w:r w:rsidRPr="00D11F54">
        <w:rPr>
          <w:bCs/>
        </w:rPr>
        <w:t>o do cen</w:t>
      </w:r>
      <w:r w:rsidRPr="00D11F54">
        <w:rPr>
          <w:rFonts w:hint="eastAsia"/>
          <w:bCs/>
        </w:rPr>
        <w:t>á</w:t>
      </w:r>
      <w:r w:rsidRPr="00D11F54">
        <w:rPr>
          <w:bCs/>
        </w:rPr>
        <w:t>rio processual ap</w:t>
      </w:r>
      <w:r w:rsidRPr="00D11F54">
        <w:rPr>
          <w:rFonts w:hint="eastAsia"/>
          <w:bCs/>
        </w:rPr>
        <w:t>ó</w:t>
      </w:r>
      <w:r w:rsidRPr="00D11F54">
        <w:rPr>
          <w:bCs/>
        </w:rPr>
        <w:t>s o contradit</w:t>
      </w:r>
      <w:r w:rsidRPr="00D11F54">
        <w:rPr>
          <w:rFonts w:hint="eastAsia"/>
          <w:bCs/>
        </w:rPr>
        <w:t>ó</w:t>
      </w:r>
      <w:r w:rsidRPr="00D11F54">
        <w:rPr>
          <w:bCs/>
        </w:rPr>
        <w:t>rio.</w:t>
      </w:r>
    </w:p>
    <w:p w14:paraId="114C2E47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II. QUEST</w:t>
      </w:r>
      <w:r w:rsidRPr="00D11F54">
        <w:rPr>
          <w:rFonts w:hint="eastAsia"/>
          <w:bCs/>
        </w:rPr>
        <w:t>Ã</w:t>
      </w:r>
      <w:r w:rsidRPr="00D11F54">
        <w:rPr>
          <w:bCs/>
        </w:rPr>
        <w:t>O EM DISCUSS</w:t>
      </w:r>
      <w:r w:rsidRPr="00D11F54">
        <w:rPr>
          <w:rFonts w:hint="eastAsia"/>
          <w:bCs/>
        </w:rPr>
        <w:t>Ã</w:t>
      </w:r>
      <w:r w:rsidRPr="00D11F54">
        <w:rPr>
          <w:bCs/>
        </w:rPr>
        <w:t>O</w:t>
      </w:r>
    </w:p>
    <w:p w14:paraId="3C8DEBC3" w14:textId="041FEA4E" w:rsidR="00D11F54" w:rsidRPr="00D11F54" w:rsidRDefault="00EA670D" w:rsidP="00AE0ABE">
      <w:pPr>
        <w:ind w:firstLine="0"/>
        <w:rPr>
          <w:bCs/>
        </w:rPr>
      </w:pPr>
      <w:r>
        <w:rPr>
          <w:bCs/>
        </w:rPr>
        <w:t xml:space="preserve">Subsistência </w:t>
      </w:r>
      <w:r w:rsidR="000B5C57">
        <w:rPr>
          <w:bCs/>
        </w:rPr>
        <w:t xml:space="preserve">dos requisitos para manutenção de medida </w:t>
      </w:r>
      <w:r w:rsidR="00BC3B94">
        <w:rPr>
          <w:bCs/>
        </w:rPr>
        <w:t>cautelar de bloqueio de transferência do veículo quando, estabilizada a lide, nenhuma das partes manifesta interesse na restituição do bem em espécie</w:t>
      </w:r>
      <w:r w:rsidR="00AE0ABE">
        <w:rPr>
          <w:bCs/>
        </w:rPr>
        <w:t>, convertendo-se as pretensões em perdas e danos.</w:t>
      </w:r>
    </w:p>
    <w:p w14:paraId="734C05E1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III. RAZ</w:t>
      </w:r>
      <w:r w:rsidRPr="00D11F54">
        <w:rPr>
          <w:rFonts w:hint="eastAsia"/>
          <w:bCs/>
        </w:rPr>
        <w:t>Õ</w:t>
      </w:r>
      <w:r w:rsidRPr="00D11F54">
        <w:rPr>
          <w:bCs/>
        </w:rPr>
        <w:t>ES DE DECIDIR</w:t>
      </w:r>
    </w:p>
    <w:p w14:paraId="36DD2007" w14:textId="2780E04D" w:rsidR="00417400" w:rsidRDefault="00BE0FBD" w:rsidP="00D11F54">
      <w:pPr>
        <w:ind w:firstLine="0"/>
        <w:rPr>
          <w:bCs/>
        </w:rPr>
      </w:pPr>
      <w:r>
        <w:rPr>
          <w:bCs/>
        </w:rPr>
        <w:t xml:space="preserve">II.I. </w:t>
      </w:r>
      <w:r w:rsidR="0054025C" w:rsidRPr="00D11F54">
        <w:rPr>
          <w:bCs/>
        </w:rPr>
        <w:t>A tutela de urg</w:t>
      </w:r>
      <w:r w:rsidR="0054025C" w:rsidRPr="00D11F54">
        <w:rPr>
          <w:rFonts w:hint="eastAsia"/>
          <w:bCs/>
        </w:rPr>
        <w:t>ê</w:t>
      </w:r>
      <w:r w:rsidR="0054025C" w:rsidRPr="00D11F54">
        <w:rPr>
          <w:bCs/>
        </w:rPr>
        <w:t xml:space="preserve">ncia submete-se </w:t>
      </w:r>
      <w:r w:rsidR="0054025C" w:rsidRPr="00D11F54">
        <w:rPr>
          <w:rFonts w:hint="eastAsia"/>
          <w:bCs/>
        </w:rPr>
        <w:t>à</w:t>
      </w:r>
      <w:r w:rsidR="0054025C" w:rsidRPr="00D11F54">
        <w:rPr>
          <w:bCs/>
        </w:rPr>
        <w:t xml:space="preserve"> cl</w:t>
      </w:r>
      <w:r w:rsidR="0054025C" w:rsidRPr="00D11F54">
        <w:rPr>
          <w:rFonts w:hint="eastAsia"/>
          <w:bCs/>
        </w:rPr>
        <w:t>á</w:t>
      </w:r>
      <w:r w:rsidR="0054025C" w:rsidRPr="00D11F54">
        <w:rPr>
          <w:bCs/>
        </w:rPr>
        <w:t xml:space="preserve">usula </w:t>
      </w:r>
      <w:r w:rsidR="0054025C" w:rsidRPr="00417400">
        <w:rPr>
          <w:bCs/>
          <w:i/>
          <w:iCs/>
        </w:rPr>
        <w:t>rebus sic stantibus</w:t>
      </w:r>
      <w:r w:rsidR="0054025C" w:rsidRPr="00D11F54">
        <w:rPr>
          <w:bCs/>
        </w:rPr>
        <w:t>, podendo ser revista a qualquer tempo</w:t>
      </w:r>
      <w:r>
        <w:rPr>
          <w:bCs/>
        </w:rPr>
        <w:t>.</w:t>
      </w:r>
    </w:p>
    <w:p w14:paraId="1859A3C2" w14:textId="13A3A501" w:rsidR="00D11F54" w:rsidRPr="00D11F54" w:rsidRDefault="00BE0FBD" w:rsidP="00D11F54">
      <w:pPr>
        <w:ind w:firstLine="0"/>
        <w:rPr>
          <w:bCs/>
        </w:rPr>
      </w:pPr>
      <w:r>
        <w:rPr>
          <w:bCs/>
        </w:rPr>
        <w:t xml:space="preserve">II.II. </w:t>
      </w:r>
      <w:r w:rsidR="0054025C" w:rsidRPr="00D11F54">
        <w:rPr>
          <w:bCs/>
        </w:rPr>
        <w:t>inexistindo disputa sobre a posse ou propriedade f</w:t>
      </w:r>
      <w:r w:rsidR="0054025C" w:rsidRPr="00D11F54">
        <w:rPr>
          <w:rFonts w:hint="eastAsia"/>
          <w:bCs/>
        </w:rPr>
        <w:t>í</w:t>
      </w:r>
      <w:r w:rsidR="0054025C" w:rsidRPr="00D11F54">
        <w:rPr>
          <w:bCs/>
        </w:rPr>
        <w:t>sica d</w:t>
      </w:r>
      <w:r>
        <w:rPr>
          <w:bCs/>
        </w:rPr>
        <w:t>o</w:t>
      </w:r>
      <w:r w:rsidR="0054025C" w:rsidRPr="00D11F54">
        <w:rPr>
          <w:bCs/>
        </w:rPr>
        <w:t xml:space="preserve"> bem, a restri</w:t>
      </w:r>
      <w:r w:rsidR="0054025C" w:rsidRPr="00D11F54">
        <w:rPr>
          <w:rFonts w:hint="eastAsia"/>
          <w:bCs/>
        </w:rPr>
        <w:t>çã</w:t>
      </w:r>
      <w:r w:rsidR="0054025C" w:rsidRPr="00D11F54">
        <w:rPr>
          <w:bCs/>
        </w:rPr>
        <w:t>o de transfer</w:t>
      </w:r>
      <w:r w:rsidR="0054025C" w:rsidRPr="00D11F54">
        <w:rPr>
          <w:rFonts w:hint="eastAsia"/>
          <w:bCs/>
        </w:rPr>
        <w:t>ê</w:t>
      </w:r>
      <w:r w:rsidR="0054025C" w:rsidRPr="00D11F54">
        <w:rPr>
          <w:bCs/>
        </w:rPr>
        <w:t>ncia torna-se medida desproporcional e desnecess</w:t>
      </w:r>
      <w:r w:rsidR="0054025C" w:rsidRPr="00D11F54">
        <w:rPr>
          <w:rFonts w:hint="eastAsia"/>
          <w:bCs/>
        </w:rPr>
        <w:t>á</w:t>
      </w:r>
      <w:r w:rsidR="0054025C" w:rsidRPr="00D11F54">
        <w:rPr>
          <w:bCs/>
        </w:rPr>
        <w:t xml:space="preserve">ria para assegurar o resultado </w:t>
      </w:r>
      <w:r w:rsidR="0054025C" w:rsidRPr="00D11F54">
        <w:rPr>
          <w:rFonts w:hint="eastAsia"/>
          <w:bCs/>
        </w:rPr>
        <w:t>ú</w:t>
      </w:r>
      <w:r w:rsidR="0054025C" w:rsidRPr="00D11F54">
        <w:rPr>
          <w:bCs/>
        </w:rPr>
        <w:t>til do processo.</w:t>
      </w:r>
    </w:p>
    <w:p w14:paraId="15C67F2B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IV. SOLU</w:t>
      </w:r>
      <w:r w:rsidRPr="00D11F54">
        <w:rPr>
          <w:rFonts w:hint="eastAsia"/>
          <w:bCs/>
        </w:rPr>
        <w:t>ÇÃ</w:t>
      </w:r>
      <w:r w:rsidRPr="00D11F54">
        <w:rPr>
          <w:bCs/>
        </w:rPr>
        <w:t>O DO CASO</w:t>
      </w:r>
    </w:p>
    <w:p w14:paraId="651F7A15" w14:textId="65454744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Recurso conhecido e provido</w:t>
      </w:r>
      <w:r w:rsidR="00D427EB">
        <w:rPr>
          <w:bCs/>
        </w:rPr>
        <w:t>.</w:t>
      </w:r>
    </w:p>
    <w:p w14:paraId="1D7C0A5E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V. LEGISLA</w:t>
      </w:r>
      <w:r w:rsidRPr="00D11F54">
        <w:rPr>
          <w:rFonts w:hint="eastAsia"/>
          <w:bCs/>
        </w:rPr>
        <w:t>ÇÃ</w:t>
      </w:r>
      <w:r w:rsidRPr="00D11F54">
        <w:rPr>
          <w:bCs/>
        </w:rPr>
        <w:t>O E JURISPRUD</w:t>
      </w:r>
      <w:r w:rsidRPr="00D11F54">
        <w:rPr>
          <w:rFonts w:hint="eastAsia"/>
          <w:bCs/>
        </w:rPr>
        <w:t>Ê</w:t>
      </w:r>
      <w:r w:rsidRPr="00D11F54">
        <w:rPr>
          <w:bCs/>
        </w:rPr>
        <w:t>NCIA UTILIZADAS</w:t>
      </w:r>
    </w:p>
    <w:p w14:paraId="7772942F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V.I. LEGISLA</w:t>
      </w:r>
      <w:r w:rsidRPr="00D11F54">
        <w:rPr>
          <w:rFonts w:hint="eastAsia"/>
          <w:bCs/>
        </w:rPr>
        <w:t>ÇÃ</w:t>
      </w:r>
      <w:r w:rsidRPr="00D11F54">
        <w:rPr>
          <w:bCs/>
        </w:rPr>
        <w:t>O</w:t>
      </w:r>
    </w:p>
    <w:p w14:paraId="57C78608" w14:textId="77777777" w:rsidR="00D11F54" w:rsidRPr="00D11F54" w:rsidRDefault="0054025C" w:rsidP="00D11F54">
      <w:pPr>
        <w:ind w:firstLine="0"/>
        <w:rPr>
          <w:bCs/>
        </w:rPr>
      </w:pPr>
      <w:r w:rsidRPr="00D11F54">
        <w:rPr>
          <w:bCs/>
        </w:rPr>
        <w:t>CPC: art. 296; art. 300.</w:t>
      </w:r>
    </w:p>
    <w:p w14:paraId="1CBA1BBC" w14:textId="64A14F89" w:rsidR="0054025C" w:rsidRPr="00D11F54" w:rsidRDefault="0054025C" w:rsidP="00372AAB">
      <w:pPr>
        <w:ind w:firstLine="0"/>
        <w:rPr>
          <w:bCs/>
        </w:rPr>
      </w:pPr>
      <w:proofErr w:type="spellStart"/>
      <w:r w:rsidRPr="00D11F54">
        <w:rPr>
          <w:bCs/>
        </w:rPr>
        <w:t>V.II</w:t>
      </w:r>
      <w:proofErr w:type="spellEnd"/>
      <w:r w:rsidRPr="00D11F54">
        <w:rPr>
          <w:bCs/>
        </w:rPr>
        <w:t>. JURISPRUD</w:t>
      </w:r>
      <w:r w:rsidRPr="00D11F54">
        <w:rPr>
          <w:rFonts w:hint="eastAsia"/>
          <w:bCs/>
        </w:rPr>
        <w:t>Ê</w:t>
      </w:r>
      <w:r w:rsidRPr="00D11F54">
        <w:rPr>
          <w:bCs/>
        </w:rPr>
        <w:t>NCIA</w:t>
      </w:r>
    </w:p>
    <w:p w14:paraId="74C5FB23" w14:textId="046A2665" w:rsidR="0054025C" w:rsidRPr="00D11F54" w:rsidRDefault="00D11F54" w:rsidP="00372AAB">
      <w:pPr>
        <w:ind w:firstLine="0"/>
        <w:rPr>
          <w:bCs/>
        </w:rPr>
      </w:pPr>
      <w:proofErr w:type="spellStart"/>
      <w:r w:rsidRPr="00D11F54">
        <w:rPr>
          <w:bCs/>
        </w:rPr>
        <w:t>TJPR</w:t>
      </w:r>
      <w:proofErr w:type="spellEnd"/>
      <w:r w:rsidRPr="00D11F54">
        <w:rPr>
          <w:bCs/>
        </w:rPr>
        <w:t>. 19ª Câmara Cível. Relator: Desembargador Substituto Osvaldo Canela Junior. 0118486-83.2024.8.16.0000. Curitiba. Data de julgamento: 30-6-2025</w:t>
      </w:r>
      <w:r w:rsidRPr="00D11F54">
        <w:rPr>
          <w:bCs/>
        </w:rPr>
        <w:t>.</w:t>
      </w:r>
    </w:p>
    <w:p w14:paraId="44B462E5" w14:textId="77777777" w:rsidR="0054025C" w:rsidRDefault="0054025C" w:rsidP="00372AAB">
      <w:pPr>
        <w:ind w:firstLine="0"/>
        <w:rPr>
          <w:b/>
        </w:rPr>
      </w:pPr>
    </w:p>
    <w:p w14:paraId="67FAF965" w14:textId="77777777" w:rsidR="002A6D00" w:rsidRDefault="00AA28DF" w:rsidP="002A6D00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0508D963" w14:textId="27DB736C" w:rsidR="002A6D00" w:rsidRDefault="00164D37" w:rsidP="000B1E4C">
      <w:pPr>
        <w:pStyle w:val="PargrafodaLista"/>
        <w:ind w:left="0"/>
        <w:contextualSpacing w:val="0"/>
      </w:pPr>
      <w:r>
        <w:t xml:space="preserve">Cuida-se </w:t>
      </w:r>
      <w:r w:rsidR="00A73822">
        <w:t xml:space="preserve">de agravo de instrumento interposto por </w:t>
      </w:r>
      <w:r w:rsidR="00981B9B">
        <w:t xml:space="preserve">Francisco João </w:t>
      </w:r>
      <w:proofErr w:type="spellStart"/>
      <w:r w:rsidR="00981B9B">
        <w:t>Demiciano</w:t>
      </w:r>
      <w:proofErr w:type="spellEnd"/>
      <w:r w:rsidR="00981B9B">
        <w:t xml:space="preserve"> </w:t>
      </w:r>
      <w:r w:rsidR="00887BDC">
        <w:t xml:space="preserve">em face de Banco Votorantim S. A., Edgar Oliva e HD Comércio de Veículos Ltda., tendo como objeto decisão proferida pelo juízo da 21ª Vara Cível de Curitiba, que indeferiu pedido de revogação </w:t>
      </w:r>
      <w:r w:rsidR="000B1E4C">
        <w:t xml:space="preserve">de bloqueio de transferência do veículo objeto da lite, </w:t>
      </w:r>
      <w:r w:rsidR="00981B9B">
        <w:t>sob o fundamento de preclusão temporal em relação à decisão liminar primitiva (</w:t>
      </w:r>
      <w:r w:rsidR="000B1E4C">
        <w:t xml:space="preserve">evento </w:t>
      </w:r>
      <w:r w:rsidR="00981B9B">
        <w:t>154.1</w:t>
      </w:r>
      <w:r w:rsidR="000B1E4C">
        <w:t xml:space="preserve"> – autos de origem</w:t>
      </w:r>
      <w:r w:rsidR="00981B9B">
        <w:t>).</w:t>
      </w:r>
    </w:p>
    <w:p w14:paraId="6FE7947F" w14:textId="0B8A0321" w:rsidR="002A6D00" w:rsidRDefault="00981B9B" w:rsidP="002A6D00">
      <w:pPr>
        <w:pStyle w:val="PargrafodaLista"/>
        <w:ind w:left="0"/>
        <w:contextualSpacing w:val="0"/>
      </w:pPr>
      <w:r>
        <w:t>Em suas razões recursais, o agravante sustenta, em síntese, que o cenário fático se alterou substancialmente após a contestação. Argumenta que não há perigo de dano reverso ou risco ao resultado útil do processo, uma vez que as partes adversas não reivindicam o bem, pugnando apenas por valores pecuniários</w:t>
      </w:r>
      <w:r w:rsidR="000B1E4C">
        <w:t xml:space="preserve"> (evento 1.1).</w:t>
      </w:r>
    </w:p>
    <w:p w14:paraId="6B617470" w14:textId="39E16859" w:rsidR="00981B9B" w:rsidRPr="002A6D00" w:rsidRDefault="00981B9B" w:rsidP="002A6D00">
      <w:pPr>
        <w:pStyle w:val="PargrafodaLista"/>
        <w:ind w:left="0"/>
        <w:contextualSpacing w:val="0"/>
        <w:rPr>
          <w:b/>
        </w:rPr>
      </w:pPr>
      <w:r>
        <w:t>Em contrarrazões, a agravada HD Comércio de Veículos Ltda. e o Banco Votorantim S.A. pugnaram pelo desprovimento do recurso, defendendo a manutenção da restrição como forma de garantia de eventual execução futura</w:t>
      </w:r>
      <w:r w:rsidR="008F75C9">
        <w:t xml:space="preserve"> (eventos 15.1 e 16.1).</w:t>
      </w:r>
    </w:p>
    <w:p w14:paraId="1769E6BE" w14:textId="10F40942" w:rsidR="00AA28DF" w:rsidRDefault="002A6D00" w:rsidP="00877419">
      <w:pPr>
        <w:pStyle w:val="PargrafodaLista"/>
        <w:ind w:left="0"/>
        <w:contextualSpacing w:val="0"/>
      </w:pPr>
      <w:r>
        <w:t>É o necessário relato.</w:t>
      </w:r>
    </w:p>
    <w:p w14:paraId="00364636" w14:textId="77777777" w:rsidR="002A6D00" w:rsidRDefault="002A6D00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271CA412" w14:textId="77777777" w:rsidR="00206721" w:rsidRDefault="00AA28DF" w:rsidP="00206721">
      <w:pPr>
        <w:pStyle w:val="PargrafodaLista"/>
        <w:ind w:left="0"/>
        <w:contextualSpacing w:val="0"/>
      </w:pPr>
      <w:r>
        <w:t>II.I – DO JUÍZO DE ADMISSIBILIDADE</w:t>
      </w:r>
    </w:p>
    <w:p w14:paraId="2659DCA6" w14:textId="7D7A74D7" w:rsidR="00206721" w:rsidRDefault="00206721" w:rsidP="00206721">
      <w:pPr>
        <w:pStyle w:val="PargrafodaLista"/>
        <w:ind w:left="0"/>
        <w:contextualSpacing w:val="0"/>
      </w:pPr>
      <w:r>
        <w:t>Satisfeitos os pressupostos de admissibilidade recursal, con</w:t>
      </w:r>
      <w:r w:rsidR="00B86DC5">
        <w:t>hece-se do agravo interposto.</w:t>
      </w:r>
    </w:p>
    <w:p w14:paraId="279C8B86" w14:textId="77777777" w:rsidR="00B86DC5" w:rsidRDefault="00B86DC5" w:rsidP="00206721">
      <w:pPr>
        <w:pStyle w:val="PargrafodaLista"/>
        <w:ind w:left="0"/>
        <w:contextualSpacing w:val="0"/>
      </w:pPr>
    </w:p>
    <w:p w14:paraId="393A0C25" w14:textId="6591A961" w:rsidR="00FB38E1" w:rsidRDefault="00B86DC5" w:rsidP="00F473C2">
      <w:pPr>
        <w:pStyle w:val="PargrafodaLista"/>
        <w:ind w:left="0"/>
        <w:contextualSpacing w:val="0"/>
      </w:pPr>
      <w:r>
        <w:t>II.II – D</w:t>
      </w:r>
      <w:r w:rsidR="00E07C97">
        <w:t xml:space="preserve">A TUTELA DE </w:t>
      </w:r>
      <w:r w:rsidR="006072D2">
        <w:t>URGÊNCIA</w:t>
      </w:r>
    </w:p>
    <w:p w14:paraId="4C41C8E9" w14:textId="77777777" w:rsidR="00FC4B52" w:rsidRDefault="00F473C2" w:rsidP="00ED3B0F">
      <w:pPr>
        <w:pStyle w:val="PargrafodaLista"/>
        <w:ind w:left="0"/>
        <w:contextualSpacing w:val="0"/>
      </w:pPr>
      <w:r>
        <w:t xml:space="preserve">Cinge-se a controvérsia recursal </w:t>
      </w:r>
      <w:r w:rsidR="003575C7">
        <w:t xml:space="preserve">ao reexame de decisão que indeferiu pedido de revogação de tutela cautelar, consistente no bloqueio </w:t>
      </w:r>
      <w:r w:rsidR="00ED3B0F">
        <w:t>de transferência do veículo Toyota Corolla, objeto do litígio entre as partes.</w:t>
      </w:r>
    </w:p>
    <w:p w14:paraId="26DE0ECE" w14:textId="511FCE7F" w:rsidR="00ED3B0F" w:rsidRDefault="00ED3B0F" w:rsidP="00ED3B0F">
      <w:pPr>
        <w:pStyle w:val="PargrafodaLista"/>
        <w:ind w:left="0"/>
        <w:contextualSpacing w:val="0"/>
      </w:pPr>
      <w:r>
        <w:t>Sustenta o agravante que</w:t>
      </w:r>
      <w:r w:rsidR="00E91974">
        <w:t>, no atual estágio da demanda, a medida tornou-se desnecessária, pois nenhum dos adversos postularam pelo veículo em si, mas tão somente pelo valor equivalente.</w:t>
      </w:r>
    </w:p>
    <w:p w14:paraId="39F10D74" w14:textId="55EE2630" w:rsidR="00FC4B52" w:rsidRDefault="00FC4B52" w:rsidP="00ED3B0F">
      <w:pPr>
        <w:pStyle w:val="PargrafodaLista"/>
        <w:ind w:left="0"/>
        <w:contextualSpacing w:val="0"/>
      </w:pPr>
      <w:r>
        <w:t>Pois bem.</w:t>
      </w:r>
    </w:p>
    <w:p w14:paraId="71CE6545" w14:textId="77777777" w:rsidR="00FC4B52" w:rsidRDefault="00FB38E1" w:rsidP="00FC4B52">
      <w:pPr>
        <w:pStyle w:val="PargrafodaLista"/>
        <w:ind w:left="0"/>
        <w:contextualSpacing w:val="0"/>
        <w:rPr>
          <w:bCs/>
        </w:rPr>
      </w:pPr>
      <w:r w:rsidRPr="00ED3B0F">
        <w:rPr>
          <w:bCs/>
        </w:rPr>
        <w:t>Quando a tutela de urg</w:t>
      </w:r>
      <w:r w:rsidRPr="00ED3B0F">
        <w:rPr>
          <w:rFonts w:hint="eastAsia"/>
          <w:bCs/>
        </w:rPr>
        <w:t>ê</w:t>
      </w:r>
      <w:r w:rsidRPr="00ED3B0F">
        <w:rPr>
          <w:bCs/>
        </w:rPr>
        <w:t>ncia foi originalmente apreciada, a cogni</w:t>
      </w:r>
      <w:r w:rsidRPr="00ED3B0F">
        <w:rPr>
          <w:rFonts w:hint="eastAsia"/>
          <w:bCs/>
        </w:rPr>
        <w:t>çã</w:t>
      </w:r>
      <w:r w:rsidRPr="00ED3B0F">
        <w:rPr>
          <w:bCs/>
        </w:rPr>
        <w:t>o sum</w:t>
      </w:r>
      <w:r w:rsidRPr="00ED3B0F">
        <w:rPr>
          <w:rFonts w:hint="eastAsia"/>
          <w:bCs/>
        </w:rPr>
        <w:t>á</w:t>
      </w:r>
      <w:r w:rsidRPr="00ED3B0F">
        <w:rPr>
          <w:bCs/>
        </w:rPr>
        <w:t>ria indicava a exist</w:t>
      </w:r>
      <w:r w:rsidRPr="00ED3B0F">
        <w:rPr>
          <w:rFonts w:hint="eastAsia"/>
          <w:bCs/>
        </w:rPr>
        <w:t>ê</w:t>
      </w:r>
      <w:r w:rsidRPr="00ED3B0F">
        <w:rPr>
          <w:bCs/>
        </w:rPr>
        <w:t>ncia de um lit</w:t>
      </w:r>
      <w:r w:rsidRPr="00ED3B0F">
        <w:rPr>
          <w:rFonts w:hint="eastAsia"/>
          <w:bCs/>
        </w:rPr>
        <w:t>í</w:t>
      </w:r>
      <w:r w:rsidRPr="00ED3B0F">
        <w:rPr>
          <w:bCs/>
        </w:rPr>
        <w:t>gio latente sobre a titularidade e propriedade do ve</w:t>
      </w:r>
      <w:r w:rsidRPr="00ED3B0F">
        <w:rPr>
          <w:rFonts w:hint="eastAsia"/>
          <w:bCs/>
        </w:rPr>
        <w:t>í</w:t>
      </w:r>
      <w:r w:rsidRPr="00ED3B0F">
        <w:rPr>
          <w:bCs/>
        </w:rPr>
        <w:t>culo, justificando a cautela</w:t>
      </w:r>
      <w:r w:rsidR="00FC4B52">
        <w:rPr>
          <w:bCs/>
        </w:rPr>
        <w:t xml:space="preserve"> </w:t>
      </w:r>
      <w:r w:rsidRPr="00ED3B0F">
        <w:rPr>
          <w:bCs/>
        </w:rPr>
        <w:t>em impedir a aliena</w:t>
      </w:r>
      <w:r w:rsidRPr="00ED3B0F">
        <w:rPr>
          <w:rFonts w:hint="eastAsia"/>
          <w:bCs/>
        </w:rPr>
        <w:t>çã</w:t>
      </w:r>
      <w:r w:rsidRPr="00ED3B0F">
        <w:rPr>
          <w:bCs/>
        </w:rPr>
        <w:t>o do bem a terceiros para evitar preju</w:t>
      </w:r>
      <w:r w:rsidRPr="00ED3B0F">
        <w:rPr>
          <w:rFonts w:hint="eastAsia"/>
          <w:bCs/>
        </w:rPr>
        <w:t>í</w:t>
      </w:r>
      <w:r w:rsidRPr="00ED3B0F">
        <w:rPr>
          <w:bCs/>
        </w:rPr>
        <w:t>zos de dif</w:t>
      </w:r>
      <w:r w:rsidRPr="00ED3B0F">
        <w:rPr>
          <w:rFonts w:hint="eastAsia"/>
          <w:bCs/>
        </w:rPr>
        <w:t>í</w:t>
      </w:r>
      <w:r w:rsidRPr="00ED3B0F">
        <w:rPr>
          <w:bCs/>
        </w:rPr>
        <w:t>cil repara</w:t>
      </w:r>
      <w:r w:rsidRPr="00ED3B0F">
        <w:rPr>
          <w:rFonts w:hint="eastAsia"/>
          <w:bCs/>
        </w:rPr>
        <w:t>çã</w:t>
      </w:r>
      <w:r w:rsidRPr="00ED3B0F">
        <w:rPr>
          <w:bCs/>
        </w:rPr>
        <w:t>o</w:t>
      </w:r>
      <w:r w:rsidR="00FC4B52">
        <w:rPr>
          <w:bCs/>
        </w:rPr>
        <w:t xml:space="preserve"> (evento 16.1 – autos de origem).</w:t>
      </w:r>
    </w:p>
    <w:p w14:paraId="7273C65D" w14:textId="7376745B" w:rsidR="00FB38E1" w:rsidRDefault="00FB38E1" w:rsidP="00463D01">
      <w:pPr>
        <w:pStyle w:val="PargrafodaLista"/>
        <w:ind w:left="0"/>
        <w:contextualSpacing w:val="0"/>
        <w:rPr>
          <w:bCs/>
        </w:rPr>
      </w:pPr>
      <w:r w:rsidRPr="00FC4B52">
        <w:rPr>
          <w:bCs/>
        </w:rPr>
        <w:t>Todavia, encerrada a fase postulat</w:t>
      </w:r>
      <w:r w:rsidRPr="00FC4B52">
        <w:rPr>
          <w:rFonts w:hint="eastAsia"/>
          <w:bCs/>
        </w:rPr>
        <w:t>ó</w:t>
      </w:r>
      <w:r w:rsidRPr="00FC4B52">
        <w:rPr>
          <w:bCs/>
        </w:rPr>
        <w:t>ria, o cen</w:t>
      </w:r>
      <w:r w:rsidRPr="00FC4B52">
        <w:rPr>
          <w:rFonts w:hint="eastAsia"/>
          <w:bCs/>
        </w:rPr>
        <w:t>á</w:t>
      </w:r>
      <w:r w:rsidRPr="00FC4B52">
        <w:rPr>
          <w:bCs/>
        </w:rPr>
        <w:t>rio delineou-se de forma diversa, esvaziando o receio de dano que fundamentava a medida constritiva.</w:t>
      </w:r>
    </w:p>
    <w:p w14:paraId="6150789B" w14:textId="7E4DFB16" w:rsidR="005172BA" w:rsidRDefault="00463D01" w:rsidP="005172BA">
      <w:pPr>
        <w:pStyle w:val="PargrafodaLista"/>
        <w:ind w:left="0"/>
        <w:contextualSpacing w:val="0"/>
        <w:rPr>
          <w:bCs/>
        </w:rPr>
      </w:pPr>
      <w:r>
        <w:rPr>
          <w:bCs/>
        </w:rPr>
        <w:t>Edgar Oliveira, citado, manteve inerte, sendo decretada sua revelia. O Banco Votorantim S. A., instituição financeira que anotou a alienação fiduciária, limitou sua defesa à arguição da regularidade da operação de crédito</w:t>
      </w:r>
      <w:r w:rsidR="00747CC8">
        <w:rPr>
          <w:bCs/>
        </w:rPr>
        <w:t>, decorrente de negócio jurídico bancário válido</w:t>
      </w:r>
      <w:r w:rsidR="006A4159">
        <w:rPr>
          <w:bCs/>
        </w:rPr>
        <w:t xml:space="preserve"> (evento 47.1 – autos de origem)</w:t>
      </w:r>
      <w:r w:rsidR="00747CC8">
        <w:rPr>
          <w:bCs/>
        </w:rPr>
        <w:t xml:space="preserve">. </w:t>
      </w:r>
      <w:r w:rsidR="003B0D62">
        <w:rPr>
          <w:bCs/>
        </w:rPr>
        <w:t>Por fim</w:t>
      </w:r>
      <w:r w:rsidR="002401B9">
        <w:rPr>
          <w:bCs/>
        </w:rPr>
        <w:t xml:space="preserve">, </w:t>
      </w:r>
      <w:r w:rsidR="00F4042B">
        <w:rPr>
          <w:bCs/>
        </w:rPr>
        <w:t xml:space="preserve">embora </w:t>
      </w:r>
      <w:r w:rsidR="002401B9">
        <w:rPr>
          <w:bCs/>
        </w:rPr>
        <w:t xml:space="preserve">a </w:t>
      </w:r>
      <w:r w:rsidR="00FB38E1" w:rsidRPr="002401B9">
        <w:rPr>
          <w:bCs/>
        </w:rPr>
        <w:t>HD Com</w:t>
      </w:r>
      <w:r w:rsidR="00FB38E1" w:rsidRPr="002401B9">
        <w:rPr>
          <w:rFonts w:hint="eastAsia"/>
          <w:bCs/>
        </w:rPr>
        <w:t>é</w:t>
      </w:r>
      <w:r w:rsidR="00FB38E1" w:rsidRPr="002401B9">
        <w:rPr>
          <w:bCs/>
        </w:rPr>
        <w:t>rcio de Ve</w:t>
      </w:r>
      <w:r w:rsidR="00FB38E1" w:rsidRPr="002401B9">
        <w:rPr>
          <w:rFonts w:hint="eastAsia"/>
          <w:bCs/>
        </w:rPr>
        <w:t>í</w:t>
      </w:r>
      <w:r w:rsidR="00FB38E1" w:rsidRPr="002401B9">
        <w:rPr>
          <w:bCs/>
        </w:rPr>
        <w:t>culos Ltda.</w:t>
      </w:r>
      <w:r w:rsidR="00F4042B">
        <w:rPr>
          <w:bCs/>
        </w:rPr>
        <w:t xml:space="preserve"> tenha sustentado que o ve</w:t>
      </w:r>
      <w:r w:rsidR="00AE159E">
        <w:rPr>
          <w:bCs/>
        </w:rPr>
        <w:t xml:space="preserve">ículo era de sua propriedade e que o agravante </w:t>
      </w:r>
      <w:r w:rsidR="00604A16">
        <w:rPr>
          <w:bCs/>
        </w:rPr>
        <w:t xml:space="preserve">o retomou de maneira indevida, postulou apenas pelo equivalente em dinheiro (evento </w:t>
      </w:r>
      <w:r w:rsidR="00041110">
        <w:rPr>
          <w:bCs/>
        </w:rPr>
        <w:t>127.1 – autos de origem).</w:t>
      </w:r>
      <w:r w:rsidR="00D427EB">
        <w:rPr>
          <w:bCs/>
        </w:rPr>
        <w:t xml:space="preserve"> Tal cenário, que modificou o contexto postulatório incialmente cogitado, permite a revisão da medida (CPC, art. 296).</w:t>
      </w:r>
    </w:p>
    <w:p w14:paraId="0E9C417A" w14:textId="163CB87B" w:rsidR="005D67A1" w:rsidRDefault="005172BA" w:rsidP="005D67A1">
      <w:pPr>
        <w:pStyle w:val="PargrafodaLista"/>
        <w:ind w:left="0"/>
        <w:contextualSpacing w:val="0"/>
        <w:rPr>
          <w:bCs/>
        </w:rPr>
      </w:pPr>
      <w:r>
        <w:rPr>
          <w:bCs/>
        </w:rPr>
        <w:t>S</w:t>
      </w:r>
      <w:r w:rsidR="00FB38E1" w:rsidRPr="005172BA">
        <w:rPr>
          <w:bCs/>
        </w:rPr>
        <w:t>e a pr</w:t>
      </w:r>
      <w:r w:rsidR="00FB38E1" w:rsidRPr="005172BA">
        <w:rPr>
          <w:rFonts w:hint="eastAsia"/>
          <w:bCs/>
        </w:rPr>
        <w:t>ó</w:t>
      </w:r>
      <w:r w:rsidR="00FB38E1" w:rsidRPr="005172BA">
        <w:rPr>
          <w:bCs/>
        </w:rPr>
        <w:t>pria suposta propriet</w:t>
      </w:r>
      <w:r w:rsidR="00FB38E1" w:rsidRPr="005172BA">
        <w:rPr>
          <w:rFonts w:hint="eastAsia"/>
          <w:bCs/>
        </w:rPr>
        <w:t>á</w:t>
      </w:r>
      <w:r w:rsidR="00FB38E1" w:rsidRPr="005172BA">
        <w:rPr>
          <w:bCs/>
        </w:rPr>
        <w:t>ria lesada converteu sua pretens</w:t>
      </w:r>
      <w:r w:rsidR="00FB38E1" w:rsidRPr="005172BA">
        <w:rPr>
          <w:rFonts w:hint="eastAsia"/>
          <w:bCs/>
        </w:rPr>
        <w:t>ã</w:t>
      </w:r>
      <w:r w:rsidR="00FB38E1" w:rsidRPr="005172BA">
        <w:rPr>
          <w:bCs/>
        </w:rPr>
        <w:t>o em indeniza</w:t>
      </w:r>
      <w:r w:rsidR="00FB38E1" w:rsidRPr="005172BA">
        <w:rPr>
          <w:rFonts w:hint="eastAsia"/>
          <w:bCs/>
        </w:rPr>
        <w:t>çã</w:t>
      </w:r>
      <w:r w:rsidR="00FB38E1" w:rsidRPr="005172BA">
        <w:rPr>
          <w:bCs/>
        </w:rPr>
        <w:t>o pecuni</w:t>
      </w:r>
      <w:r w:rsidR="00FB38E1" w:rsidRPr="005172BA">
        <w:rPr>
          <w:rFonts w:hint="eastAsia"/>
          <w:bCs/>
        </w:rPr>
        <w:t>á</w:t>
      </w:r>
      <w:r w:rsidR="00FB38E1" w:rsidRPr="005172BA">
        <w:rPr>
          <w:bCs/>
        </w:rPr>
        <w:t>ria, desaparece</w:t>
      </w:r>
      <w:r w:rsidR="005D67A1">
        <w:rPr>
          <w:bCs/>
        </w:rPr>
        <w:t xml:space="preserve"> a necessidade de manutenção cautelar do bloqueio do veículo sob a justificativa de garantir uma futura restituição.</w:t>
      </w:r>
      <w:r w:rsidR="000533F0">
        <w:rPr>
          <w:bCs/>
        </w:rPr>
        <w:t xml:space="preserve"> </w:t>
      </w:r>
      <w:r w:rsidR="00DE2A60">
        <w:rPr>
          <w:bCs/>
        </w:rPr>
        <w:t>As medidas cautelares regem-se pelo conteúdo normativo dos princípios da necessidade e adequação.</w:t>
      </w:r>
      <w:r w:rsidR="00D86F72">
        <w:rPr>
          <w:bCs/>
        </w:rPr>
        <w:t xml:space="preserve"> Insubsistente a necessidade, a medida </w:t>
      </w:r>
      <w:r w:rsidR="00092738">
        <w:rPr>
          <w:bCs/>
        </w:rPr>
        <w:t>deve ser re</w:t>
      </w:r>
      <w:r w:rsidR="00C201EE">
        <w:rPr>
          <w:bCs/>
        </w:rPr>
        <w:t>vogada.</w:t>
      </w:r>
    </w:p>
    <w:p w14:paraId="3ECEAD6A" w14:textId="77777777" w:rsidR="00197721" w:rsidRDefault="00EC3E12" w:rsidP="00197721">
      <w:pPr>
        <w:pStyle w:val="PargrafodaLista"/>
        <w:ind w:left="0"/>
        <w:contextualSpacing w:val="0"/>
        <w:rPr>
          <w:bCs/>
        </w:rPr>
      </w:pPr>
      <w:r>
        <w:rPr>
          <w:bCs/>
        </w:rPr>
        <w:t>Sobre o tema:</w:t>
      </w:r>
    </w:p>
    <w:p w14:paraId="20F3DE21" w14:textId="77777777" w:rsidR="00C201EE" w:rsidRDefault="00C201EE" w:rsidP="00C201EE">
      <w:pPr>
        <w:pStyle w:val="PargrafodaLista"/>
        <w:ind w:left="2268" w:firstLine="0"/>
        <w:contextualSpacing w:val="0"/>
        <w:rPr>
          <w:bCs/>
          <w:sz w:val="20"/>
          <w:szCs w:val="18"/>
        </w:rPr>
      </w:pPr>
    </w:p>
    <w:p w14:paraId="7EED7B08" w14:textId="0395B2AA" w:rsidR="00C201EE" w:rsidRDefault="00C201EE" w:rsidP="00C201EE">
      <w:pPr>
        <w:pStyle w:val="PargrafodaLista"/>
        <w:ind w:left="2268" w:firstLine="0"/>
        <w:contextualSpacing w:val="0"/>
        <w:rPr>
          <w:bCs/>
          <w:sz w:val="20"/>
          <w:szCs w:val="18"/>
        </w:rPr>
      </w:pPr>
      <w:r w:rsidRPr="00C201EE">
        <w:rPr>
          <w:bCs/>
          <w:sz w:val="20"/>
          <w:szCs w:val="18"/>
        </w:rPr>
        <w:t>DIREITO PROCESSUAL CIVIL. AGRAVO DE INSTRUMENTO. TUTELA DE URGÊNCIA. CAUTELAR. BLOQUEIO DE ATIVOS. ARRESTO. INDISPONIBILIDADE. JUÍZO CRIMINAL. NECESSIDADE. ADEQUAÇÃO. RESERVA DE VALORES.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I. CASO EM EXAME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Agravo de instrumento interposto contra decisão negativa de medidas cautelares de arresto, bloqueio de ativos bancários e indisponibilidade de cotas sociais e deferiu medida diversa, consistente na reserva de valores perante o juízo criminal, onde os demandados são processados pela prática de crimes contra o sistema financeiro, e houve bloqueio do respectivo patrimônio.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II. QUESTÃO EM DISCUSSÃO</w:t>
      </w:r>
      <w:r>
        <w:rPr>
          <w:bCs/>
          <w:sz w:val="20"/>
          <w:szCs w:val="18"/>
        </w:rPr>
        <w:t xml:space="preserve"> </w:t>
      </w:r>
      <w:r w:rsidRPr="00C201EE">
        <w:rPr>
          <w:b/>
          <w:sz w:val="20"/>
          <w:szCs w:val="18"/>
        </w:rPr>
        <w:t>Avaliação da necessidade e adequação da medida aplicada, em cotejo com as cautelares postuladas pelos agravantes em sede de tutela de urgência.</w:t>
      </w:r>
      <w:r>
        <w:rPr>
          <w:b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III. RAZÕES DE DECIDIR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III.I</w:t>
      </w:r>
      <w:proofErr w:type="spellEnd"/>
      <w:r w:rsidRPr="00C201EE">
        <w:rPr>
          <w:bCs/>
          <w:sz w:val="20"/>
          <w:szCs w:val="18"/>
        </w:rPr>
        <w:t xml:space="preserve">. A tutela de urgência de natureza cautelar pode ser efetiva mediante qualquer medida idônea para a asseguração do direito, não estando o julgador </w:t>
      </w:r>
      <w:proofErr w:type="gramStart"/>
      <w:r w:rsidRPr="00C201EE">
        <w:rPr>
          <w:bCs/>
          <w:sz w:val="20"/>
          <w:szCs w:val="18"/>
        </w:rPr>
        <w:t>adstrito</w:t>
      </w:r>
      <w:proofErr w:type="gramEnd"/>
      <w:r w:rsidRPr="00C201EE">
        <w:rPr>
          <w:bCs/>
          <w:sz w:val="20"/>
          <w:szCs w:val="18"/>
        </w:rPr>
        <w:t xml:space="preserve"> àquelas requeridas pela parte.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/>
          <w:sz w:val="20"/>
          <w:szCs w:val="18"/>
        </w:rPr>
        <w:t>III.II</w:t>
      </w:r>
      <w:proofErr w:type="spellEnd"/>
      <w:r w:rsidRPr="00C201EE">
        <w:rPr>
          <w:b/>
          <w:sz w:val="20"/>
          <w:szCs w:val="18"/>
        </w:rPr>
        <w:t>. Havendo bloqueio patrimonial em processo criminal, a expedição de ofício, requisitando a reserva de valores, é suficiente e adequada, como medida cautelar, para garantia do resultado útil do processo no âmbito cível.</w:t>
      </w:r>
      <w:r>
        <w:rPr>
          <w:b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IV. SOLUÇÃO DO CASO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Recurso conhecido e desprovido.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V. JURISPRUDÊNCIA E LEGISLAÇÃO UTILIZADAS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V.I. Jurisprudência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TJPR</w:t>
      </w:r>
      <w:proofErr w:type="spellEnd"/>
      <w:r w:rsidRPr="00C201EE">
        <w:rPr>
          <w:bCs/>
          <w:sz w:val="20"/>
          <w:szCs w:val="18"/>
        </w:rPr>
        <w:t>. 4ª Câmara Cível. Relator: Desembargador Luiz Taro Oyama. 0116129-67.2023.8.16.0000. Santo Antônio da Platina. Data de julgamento: 22-09-2024;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TJPR</w:t>
      </w:r>
      <w:proofErr w:type="spellEnd"/>
      <w:r w:rsidRPr="00C201EE">
        <w:rPr>
          <w:bCs/>
          <w:sz w:val="20"/>
          <w:szCs w:val="18"/>
        </w:rPr>
        <w:t xml:space="preserve">. 10ª Câmara Cível. Relator: Desembargador Albino </w:t>
      </w:r>
      <w:proofErr w:type="spellStart"/>
      <w:r w:rsidRPr="00C201EE">
        <w:rPr>
          <w:bCs/>
          <w:sz w:val="20"/>
          <w:szCs w:val="18"/>
        </w:rPr>
        <w:t>Jacomel</w:t>
      </w:r>
      <w:proofErr w:type="spellEnd"/>
      <w:r w:rsidRPr="00C201EE"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Guerios</w:t>
      </w:r>
      <w:proofErr w:type="spellEnd"/>
      <w:r w:rsidRPr="00C201EE">
        <w:rPr>
          <w:bCs/>
          <w:sz w:val="20"/>
          <w:szCs w:val="18"/>
        </w:rPr>
        <w:t>. 0023558-14.2022.8.16.0000. Guarapuava. Data de julgamento: 27-11-2023;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TJPR</w:t>
      </w:r>
      <w:proofErr w:type="spellEnd"/>
      <w:r w:rsidRPr="00C201EE">
        <w:rPr>
          <w:bCs/>
          <w:sz w:val="20"/>
          <w:szCs w:val="18"/>
        </w:rPr>
        <w:t xml:space="preserve">. 9ª Câmara Cível. Relator: Desembargador </w:t>
      </w:r>
      <w:proofErr w:type="spellStart"/>
      <w:r w:rsidRPr="00C201EE">
        <w:rPr>
          <w:bCs/>
          <w:sz w:val="20"/>
          <w:szCs w:val="18"/>
        </w:rPr>
        <w:t>Luis</w:t>
      </w:r>
      <w:proofErr w:type="spellEnd"/>
      <w:r w:rsidRPr="00C201EE">
        <w:rPr>
          <w:bCs/>
          <w:sz w:val="20"/>
          <w:szCs w:val="18"/>
        </w:rPr>
        <w:t xml:space="preserve"> Sergio </w:t>
      </w:r>
      <w:proofErr w:type="spellStart"/>
      <w:r w:rsidRPr="00C201EE">
        <w:rPr>
          <w:bCs/>
          <w:sz w:val="20"/>
          <w:szCs w:val="18"/>
        </w:rPr>
        <w:t>Sweich</w:t>
      </w:r>
      <w:proofErr w:type="spellEnd"/>
      <w:r w:rsidRPr="00C201EE">
        <w:rPr>
          <w:bCs/>
          <w:sz w:val="20"/>
          <w:szCs w:val="18"/>
        </w:rPr>
        <w:t>. 0075351-21.2024.8.16.0000. Curitiba. Data de Julgamento: 30-01-2025;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TJPR</w:t>
      </w:r>
      <w:proofErr w:type="spellEnd"/>
      <w:r w:rsidRPr="00C201EE">
        <w:rPr>
          <w:bCs/>
          <w:sz w:val="20"/>
          <w:szCs w:val="18"/>
        </w:rPr>
        <w:t>. 8ª Câmara Cível. Relator: Desembargador Luciano Carrasco Falavinha Souza. 0038275-60.2024.8.16.0000. Curitiba. Data de julgamento: 07-10-2024.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V.II</w:t>
      </w:r>
      <w:proofErr w:type="spellEnd"/>
      <w:r w:rsidRPr="00C201EE">
        <w:rPr>
          <w:bCs/>
          <w:sz w:val="20"/>
          <w:szCs w:val="18"/>
        </w:rPr>
        <w:t>. Legislação</w:t>
      </w:r>
      <w:r>
        <w:rPr>
          <w:bCs/>
          <w:sz w:val="20"/>
          <w:szCs w:val="18"/>
        </w:rPr>
        <w:t xml:space="preserve"> </w:t>
      </w:r>
      <w:proofErr w:type="spellStart"/>
      <w:r w:rsidRPr="00C201EE">
        <w:rPr>
          <w:bCs/>
          <w:sz w:val="20"/>
          <w:szCs w:val="18"/>
        </w:rPr>
        <w:t>LINDB</w:t>
      </w:r>
      <w:proofErr w:type="spellEnd"/>
      <w:r w:rsidRPr="00C201EE">
        <w:rPr>
          <w:bCs/>
          <w:sz w:val="20"/>
          <w:szCs w:val="18"/>
        </w:rPr>
        <w:t>: art. 20, parágrafo único.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Código de Processo Civil: art. 300; art. 301.</w:t>
      </w:r>
      <w:r>
        <w:rPr>
          <w:bCs/>
          <w:sz w:val="20"/>
          <w:szCs w:val="18"/>
        </w:rPr>
        <w:t xml:space="preserve"> </w:t>
      </w:r>
      <w:r w:rsidRPr="00C201EE">
        <w:rPr>
          <w:bCs/>
          <w:sz w:val="20"/>
          <w:szCs w:val="18"/>
        </w:rPr>
        <w:t>(</w:t>
      </w:r>
      <w:proofErr w:type="spellStart"/>
      <w:r w:rsidRPr="00C201EE">
        <w:rPr>
          <w:bCs/>
          <w:sz w:val="20"/>
          <w:szCs w:val="18"/>
        </w:rPr>
        <w:t>TJPR</w:t>
      </w:r>
      <w:proofErr w:type="spellEnd"/>
      <w:r>
        <w:rPr>
          <w:bCs/>
          <w:sz w:val="20"/>
          <w:szCs w:val="18"/>
        </w:rPr>
        <w:t>. 19ª Câmara Cível. Relator: Desembargador Substituto Osvaldo Canela Junior.</w:t>
      </w:r>
      <w:r w:rsidRPr="00C201EE">
        <w:rPr>
          <w:bCs/>
          <w:sz w:val="20"/>
          <w:szCs w:val="18"/>
        </w:rPr>
        <w:t xml:space="preserve"> 0118486-83.2024.8.16.0000</w:t>
      </w:r>
      <w:r>
        <w:rPr>
          <w:bCs/>
          <w:sz w:val="20"/>
          <w:szCs w:val="18"/>
        </w:rPr>
        <w:t>.</w:t>
      </w:r>
      <w:r w:rsidRPr="00C201EE">
        <w:rPr>
          <w:bCs/>
          <w:sz w:val="20"/>
          <w:szCs w:val="18"/>
        </w:rPr>
        <w:t xml:space="preserve"> Curitiba</w:t>
      </w:r>
      <w:r>
        <w:rPr>
          <w:bCs/>
          <w:sz w:val="20"/>
          <w:szCs w:val="18"/>
        </w:rPr>
        <w:t>. Data de julgamento: 30-6-2025).</w:t>
      </w:r>
    </w:p>
    <w:p w14:paraId="2F82DF40" w14:textId="70A4F69C" w:rsidR="00197721" w:rsidRPr="00C201EE" w:rsidRDefault="00197721" w:rsidP="00C201EE">
      <w:pPr>
        <w:pStyle w:val="PargrafodaLista"/>
        <w:ind w:left="2268" w:firstLine="0"/>
        <w:contextualSpacing w:val="0"/>
        <w:rPr>
          <w:bCs/>
          <w:sz w:val="20"/>
          <w:szCs w:val="18"/>
        </w:rPr>
      </w:pPr>
    </w:p>
    <w:p w14:paraId="666E0E5F" w14:textId="61A7994E" w:rsidR="006411DB" w:rsidRDefault="00FB38E1" w:rsidP="006411DB">
      <w:pPr>
        <w:pStyle w:val="PargrafodaLista"/>
        <w:ind w:left="0"/>
        <w:contextualSpacing w:val="0"/>
        <w:rPr>
          <w:bCs/>
        </w:rPr>
      </w:pPr>
      <w:r w:rsidRPr="00197721">
        <w:rPr>
          <w:bCs/>
        </w:rPr>
        <w:t>Manter o bloqueio apenas penaliza o autor, impedindo-o de dispor do bem ou regularizar sua situa</w:t>
      </w:r>
      <w:r w:rsidRPr="00197721">
        <w:rPr>
          <w:rFonts w:hint="eastAsia"/>
          <w:bCs/>
        </w:rPr>
        <w:t>çã</w:t>
      </w:r>
      <w:r w:rsidRPr="00197721">
        <w:rPr>
          <w:bCs/>
        </w:rPr>
        <w:t>o documental, sem que isso traga qualquer benef</w:t>
      </w:r>
      <w:r w:rsidRPr="00197721">
        <w:rPr>
          <w:rFonts w:hint="eastAsia"/>
          <w:bCs/>
        </w:rPr>
        <w:t>í</w:t>
      </w:r>
      <w:r w:rsidRPr="00197721">
        <w:rPr>
          <w:bCs/>
        </w:rPr>
        <w:t>cio pr</w:t>
      </w:r>
      <w:r w:rsidRPr="00197721">
        <w:rPr>
          <w:rFonts w:hint="eastAsia"/>
          <w:bCs/>
        </w:rPr>
        <w:t>á</w:t>
      </w:r>
      <w:r w:rsidRPr="00197721">
        <w:rPr>
          <w:bCs/>
        </w:rPr>
        <w:t xml:space="preserve">tico ao resultado </w:t>
      </w:r>
      <w:r w:rsidRPr="00197721">
        <w:rPr>
          <w:rFonts w:hint="eastAsia"/>
          <w:bCs/>
        </w:rPr>
        <w:t>ú</w:t>
      </w:r>
      <w:r w:rsidRPr="00197721">
        <w:rPr>
          <w:bCs/>
        </w:rPr>
        <w:t>til do processo</w:t>
      </w:r>
      <w:r w:rsidR="00265745">
        <w:rPr>
          <w:bCs/>
        </w:rPr>
        <w:t xml:space="preserve"> (CPC, art. 300)</w:t>
      </w:r>
      <w:r w:rsidR="003024D0">
        <w:rPr>
          <w:bCs/>
        </w:rPr>
        <w:t xml:space="preserve">. </w:t>
      </w:r>
      <w:r w:rsidRPr="00197721">
        <w:rPr>
          <w:bCs/>
        </w:rPr>
        <w:t>A garantia de eventual condena</w:t>
      </w:r>
      <w:r w:rsidRPr="00197721">
        <w:rPr>
          <w:rFonts w:hint="eastAsia"/>
          <w:bCs/>
        </w:rPr>
        <w:t>çã</w:t>
      </w:r>
      <w:r w:rsidRPr="00197721">
        <w:rPr>
          <w:bCs/>
        </w:rPr>
        <w:t xml:space="preserve">o do autor ao pagamento de valores </w:t>
      </w:r>
      <w:r w:rsidRPr="00197721">
        <w:rPr>
          <w:rFonts w:hint="eastAsia"/>
          <w:bCs/>
        </w:rPr>
        <w:t>à</w:t>
      </w:r>
      <w:r w:rsidRPr="00197721">
        <w:rPr>
          <w:bCs/>
        </w:rPr>
        <w:t xml:space="preserve"> r</w:t>
      </w:r>
      <w:r w:rsidRPr="00197721">
        <w:rPr>
          <w:rFonts w:hint="eastAsia"/>
          <w:bCs/>
        </w:rPr>
        <w:t>é</w:t>
      </w:r>
      <w:r w:rsidRPr="00197721">
        <w:rPr>
          <w:bCs/>
        </w:rPr>
        <w:t xml:space="preserve"> HD Com</w:t>
      </w:r>
      <w:r w:rsidRPr="00197721">
        <w:rPr>
          <w:rFonts w:hint="eastAsia"/>
          <w:bCs/>
        </w:rPr>
        <w:t>é</w:t>
      </w:r>
      <w:r w:rsidRPr="00197721">
        <w:rPr>
          <w:bCs/>
        </w:rPr>
        <w:t>rcio de Ve</w:t>
      </w:r>
      <w:r w:rsidRPr="00197721">
        <w:rPr>
          <w:rFonts w:hint="eastAsia"/>
          <w:bCs/>
        </w:rPr>
        <w:t>í</w:t>
      </w:r>
      <w:r w:rsidRPr="00197721">
        <w:rPr>
          <w:bCs/>
        </w:rPr>
        <w:t>culos Ltda. deve ser buscada pelos meios executivos t</w:t>
      </w:r>
      <w:r w:rsidRPr="00197721">
        <w:rPr>
          <w:rFonts w:hint="eastAsia"/>
          <w:bCs/>
        </w:rPr>
        <w:t>í</w:t>
      </w:r>
      <w:r w:rsidRPr="00197721">
        <w:rPr>
          <w:bCs/>
        </w:rPr>
        <w:t>picos, se e quando houver t</w:t>
      </w:r>
      <w:r w:rsidRPr="00197721">
        <w:rPr>
          <w:rFonts w:hint="eastAsia"/>
          <w:bCs/>
        </w:rPr>
        <w:t>í</w:t>
      </w:r>
      <w:r w:rsidRPr="00197721">
        <w:rPr>
          <w:bCs/>
        </w:rPr>
        <w:t>tulo executivo judicial, e n</w:t>
      </w:r>
      <w:r w:rsidRPr="00197721">
        <w:rPr>
          <w:rFonts w:hint="eastAsia"/>
          <w:bCs/>
        </w:rPr>
        <w:t>ã</w:t>
      </w:r>
      <w:r w:rsidRPr="00197721">
        <w:rPr>
          <w:bCs/>
        </w:rPr>
        <w:t>o mediante a imobiliza</w:t>
      </w:r>
      <w:r w:rsidRPr="00197721">
        <w:rPr>
          <w:rFonts w:hint="eastAsia"/>
          <w:bCs/>
        </w:rPr>
        <w:t>çã</w:t>
      </w:r>
      <w:r w:rsidRPr="00197721">
        <w:rPr>
          <w:bCs/>
        </w:rPr>
        <w:t>o antecipada de um bem espec</w:t>
      </w:r>
      <w:r w:rsidRPr="00197721">
        <w:rPr>
          <w:rFonts w:hint="eastAsia"/>
          <w:bCs/>
        </w:rPr>
        <w:t>í</w:t>
      </w:r>
      <w:r w:rsidRPr="00197721">
        <w:rPr>
          <w:bCs/>
        </w:rPr>
        <w:t>fico que a pr</w:t>
      </w:r>
      <w:r w:rsidRPr="00197721">
        <w:rPr>
          <w:rFonts w:hint="eastAsia"/>
          <w:bCs/>
        </w:rPr>
        <w:t>ó</w:t>
      </w:r>
      <w:r w:rsidRPr="00197721">
        <w:rPr>
          <w:bCs/>
        </w:rPr>
        <w:t>pria credora n</w:t>
      </w:r>
      <w:r w:rsidRPr="00197721">
        <w:rPr>
          <w:rFonts w:hint="eastAsia"/>
          <w:bCs/>
        </w:rPr>
        <w:t>ã</w:t>
      </w:r>
      <w:r w:rsidRPr="00197721">
        <w:rPr>
          <w:bCs/>
        </w:rPr>
        <w:t>o deseja reaver.</w:t>
      </w:r>
    </w:p>
    <w:p w14:paraId="143794CD" w14:textId="2D1AA57E" w:rsidR="003C16D5" w:rsidRDefault="00FB38E1" w:rsidP="006411DB">
      <w:pPr>
        <w:pStyle w:val="PargrafodaLista"/>
        <w:ind w:left="0"/>
        <w:contextualSpacing w:val="0"/>
        <w:rPr>
          <w:bCs/>
        </w:rPr>
      </w:pPr>
      <w:r w:rsidRPr="006411DB">
        <w:rPr>
          <w:bCs/>
        </w:rPr>
        <w:t>Portanto, imp</w:t>
      </w:r>
      <w:r w:rsidRPr="006411DB">
        <w:rPr>
          <w:rFonts w:hint="eastAsia"/>
          <w:bCs/>
        </w:rPr>
        <w:t>õ</w:t>
      </w:r>
      <w:r w:rsidRPr="006411DB">
        <w:rPr>
          <w:bCs/>
        </w:rPr>
        <w:t>e-se a reforma da decis</w:t>
      </w:r>
      <w:r w:rsidRPr="006411DB">
        <w:rPr>
          <w:rFonts w:hint="eastAsia"/>
          <w:bCs/>
        </w:rPr>
        <w:t>ã</w:t>
      </w:r>
      <w:r w:rsidRPr="006411DB">
        <w:rPr>
          <w:bCs/>
        </w:rPr>
        <w:t>o agravada para determinar o levantamento da restri</w:t>
      </w:r>
      <w:r w:rsidRPr="006411DB">
        <w:rPr>
          <w:rFonts w:hint="eastAsia"/>
          <w:bCs/>
        </w:rPr>
        <w:t>çã</w:t>
      </w:r>
      <w:r w:rsidRPr="006411DB">
        <w:rPr>
          <w:bCs/>
        </w:rPr>
        <w:t>o de transfer</w:t>
      </w:r>
      <w:r w:rsidRPr="006411DB">
        <w:rPr>
          <w:rFonts w:hint="eastAsia"/>
          <w:bCs/>
        </w:rPr>
        <w:t>ê</w:t>
      </w:r>
      <w:r w:rsidRPr="006411DB">
        <w:rPr>
          <w:bCs/>
        </w:rPr>
        <w:t>ncia.</w:t>
      </w:r>
    </w:p>
    <w:p w14:paraId="67980465" w14:textId="77777777" w:rsidR="006411DB" w:rsidRDefault="006411DB" w:rsidP="00877419">
      <w:pPr>
        <w:pStyle w:val="PargrafodaLista"/>
        <w:ind w:left="0"/>
        <w:contextualSpacing w:val="0"/>
        <w:rPr>
          <w:bCs/>
        </w:rPr>
      </w:pPr>
    </w:p>
    <w:p w14:paraId="4F9B449E" w14:textId="572C049A" w:rsidR="00AA28DF" w:rsidRPr="00C01BE4" w:rsidRDefault="006411DB" w:rsidP="00877419">
      <w:pPr>
        <w:pStyle w:val="PargrafodaLista"/>
        <w:ind w:left="0"/>
        <w:contextualSpacing w:val="0"/>
        <w:rPr>
          <w:bCs/>
        </w:rPr>
      </w:pPr>
      <w:r>
        <w:rPr>
          <w:bCs/>
        </w:rPr>
        <w:t xml:space="preserve">II.III – </w:t>
      </w:r>
      <w:r w:rsidR="00AA28DF" w:rsidRPr="00C01BE4">
        <w:rPr>
          <w:bCs/>
        </w:rPr>
        <w:t>DA CONCLUSÃO</w:t>
      </w:r>
    </w:p>
    <w:p w14:paraId="12A4456E" w14:textId="3813F952" w:rsidR="00AA28DF" w:rsidRDefault="00AA28DF" w:rsidP="00877419">
      <w:pPr>
        <w:pStyle w:val="PargrafodaLista"/>
        <w:ind w:left="0"/>
        <w:contextualSpacing w:val="0"/>
      </w:pPr>
      <w:r w:rsidRPr="00C01BE4">
        <w:rPr>
          <w:bCs/>
        </w:rPr>
        <w:t>Pela conjugação das premissas deduzida</w:t>
      </w:r>
      <w:r>
        <w:t>s, a conclusão a ser adota</w:t>
      </w:r>
      <w:r w:rsidR="00DC37B4">
        <w:t>da</w:t>
      </w:r>
      <w:r>
        <w:t xml:space="preserve"> consiste</w:t>
      </w:r>
      <w:r w:rsidR="006411DB">
        <w:t xml:space="preserve"> em conhecer e dar provimento ao recurso.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5BADE138" w14:textId="29B90B9D" w:rsidR="00924DEA" w:rsidRPr="0054025C" w:rsidRDefault="00877419" w:rsidP="0054025C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372AAB">
        <w:rPr>
          <w:b/>
        </w:rPr>
        <w:t xml:space="preserve">– </w:t>
      </w:r>
      <w:r>
        <w:rPr>
          <w:b/>
        </w:rPr>
        <w:t>DECISÃO</w:t>
      </w:r>
    </w:p>
    <w:sectPr w:rsidR="00924DEA" w:rsidRPr="00540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41110"/>
    <w:rsid w:val="000533F0"/>
    <w:rsid w:val="000763BE"/>
    <w:rsid w:val="00092738"/>
    <w:rsid w:val="000B1E4C"/>
    <w:rsid w:val="000B5C57"/>
    <w:rsid w:val="00142EAC"/>
    <w:rsid w:val="00146748"/>
    <w:rsid w:val="00164D37"/>
    <w:rsid w:val="00165C47"/>
    <w:rsid w:val="00197721"/>
    <w:rsid w:val="001B5E9A"/>
    <w:rsid w:val="001C2D4C"/>
    <w:rsid w:val="00206721"/>
    <w:rsid w:val="002401B9"/>
    <w:rsid w:val="00265745"/>
    <w:rsid w:val="002A6D00"/>
    <w:rsid w:val="002F2227"/>
    <w:rsid w:val="002F7550"/>
    <w:rsid w:val="003024D0"/>
    <w:rsid w:val="003062B5"/>
    <w:rsid w:val="003575C7"/>
    <w:rsid w:val="00372AAB"/>
    <w:rsid w:val="003B0D62"/>
    <w:rsid w:val="003B2A4E"/>
    <w:rsid w:val="003C16D5"/>
    <w:rsid w:val="003C566C"/>
    <w:rsid w:val="003E5175"/>
    <w:rsid w:val="00417400"/>
    <w:rsid w:val="00463D01"/>
    <w:rsid w:val="005172BA"/>
    <w:rsid w:val="0054025C"/>
    <w:rsid w:val="005B4039"/>
    <w:rsid w:val="005D67A1"/>
    <w:rsid w:val="00604A16"/>
    <w:rsid w:val="006072D2"/>
    <w:rsid w:val="006411DB"/>
    <w:rsid w:val="00672942"/>
    <w:rsid w:val="006A4159"/>
    <w:rsid w:val="00747CC8"/>
    <w:rsid w:val="00786CDC"/>
    <w:rsid w:val="00794062"/>
    <w:rsid w:val="00797EF6"/>
    <w:rsid w:val="007A5562"/>
    <w:rsid w:val="00877419"/>
    <w:rsid w:val="00887BDC"/>
    <w:rsid w:val="008B4721"/>
    <w:rsid w:val="008C686E"/>
    <w:rsid w:val="008F75C9"/>
    <w:rsid w:val="00901515"/>
    <w:rsid w:val="00924DEA"/>
    <w:rsid w:val="00973737"/>
    <w:rsid w:val="00981B9B"/>
    <w:rsid w:val="009D0D3E"/>
    <w:rsid w:val="009D0DF3"/>
    <w:rsid w:val="00A73822"/>
    <w:rsid w:val="00AA28DF"/>
    <w:rsid w:val="00AE0ABE"/>
    <w:rsid w:val="00AE159E"/>
    <w:rsid w:val="00AE47D1"/>
    <w:rsid w:val="00B86DC5"/>
    <w:rsid w:val="00BC3B94"/>
    <w:rsid w:val="00BC64BE"/>
    <w:rsid w:val="00BE0FBD"/>
    <w:rsid w:val="00C01BE4"/>
    <w:rsid w:val="00C144BF"/>
    <w:rsid w:val="00C201EE"/>
    <w:rsid w:val="00C30467"/>
    <w:rsid w:val="00C769FB"/>
    <w:rsid w:val="00C77FDD"/>
    <w:rsid w:val="00D11F54"/>
    <w:rsid w:val="00D37894"/>
    <w:rsid w:val="00D427EB"/>
    <w:rsid w:val="00D86F72"/>
    <w:rsid w:val="00DA3A04"/>
    <w:rsid w:val="00DC37B4"/>
    <w:rsid w:val="00DE2A60"/>
    <w:rsid w:val="00E07C97"/>
    <w:rsid w:val="00E81729"/>
    <w:rsid w:val="00E91974"/>
    <w:rsid w:val="00EA17E9"/>
    <w:rsid w:val="00EA3C6B"/>
    <w:rsid w:val="00EA670D"/>
    <w:rsid w:val="00EC283C"/>
    <w:rsid w:val="00EC3E12"/>
    <w:rsid w:val="00ED3B0F"/>
    <w:rsid w:val="00F4042B"/>
    <w:rsid w:val="00F473C2"/>
    <w:rsid w:val="00F727C7"/>
    <w:rsid w:val="00FB38E1"/>
    <w:rsid w:val="00FC4B52"/>
    <w:rsid w:val="00FE0C12"/>
    <w:rsid w:val="00FE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11FE1A-DF0B-4563-82F9-A54BBF30FCC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1426</Words>
  <Characters>5980</Characters>
  <Application>Microsoft Office Word</Application>
  <DocSecurity>0</DocSecurity>
  <Lines>747</Lines>
  <Paragraphs>411</Paragraphs>
  <ScaleCrop>false</ScaleCrop>
  <Company>Tribunal de Justiça do Estado do Paraná</Company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74</cp:revision>
  <cp:lastPrinted>2025-07-11T18:35:00Z</cp:lastPrinted>
  <dcterms:created xsi:type="dcterms:W3CDTF">2026-01-22T13:39:00Z</dcterms:created>
  <dcterms:modified xsi:type="dcterms:W3CDTF">2026-01-23T18:41:00Z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