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0DAE" w:rsidRDefault="00921164" w:rsidP="00921164">
      <w:pPr>
        <w:ind w:firstLine="0"/>
        <w:rPr>
          <w:b/>
        </w:rPr>
      </w:pPr>
      <w:r>
        <w:rPr>
          <w:b/>
        </w:rPr>
        <w:t>PENAL. PROCESSUAL PENAL. RECURSO DE APELAÇÃO.</w:t>
      </w:r>
      <w:r w:rsidR="001D0DAE">
        <w:rPr>
          <w:b/>
        </w:rPr>
        <w:t xml:space="preserve"> </w:t>
      </w:r>
      <w:r>
        <w:rPr>
          <w:b/>
        </w:rPr>
        <w:t>FURTO QUALIFICADO. ART. 155, § 4º, I DO CÓDIGO PENAL.</w:t>
      </w:r>
      <w:r w:rsidR="001D0DAE">
        <w:rPr>
          <w:b/>
        </w:rPr>
        <w:t xml:space="preserve"> </w:t>
      </w:r>
      <w:r>
        <w:rPr>
          <w:b/>
        </w:rPr>
        <w:t>DOSIMETRIA.</w:t>
      </w:r>
      <w:r w:rsidR="001D0DAE">
        <w:rPr>
          <w:b/>
        </w:rPr>
        <w:t xml:space="preserve"> </w:t>
      </w:r>
      <w:r>
        <w:rPr>
          <w:b/>
        </w:rPr>
        <w:t xml:space="preserve">CONFISSÃO ESPONTÂNEA. PRÁTICA DELITIVA RECONHECIDA PELO RÉU NO INTERROGATÓRIO JUDICIAL. INCIDÊNCIA DA ATENUANTE DO ART. 65, </w:t>
      </w:r>
      <w:proofErr w:type="spellStart"/>
      <w:r>
        <w:rPr>
          <w:b/>
        </w:rPr>
        <w:t>III</w:t>
      </w:r>
      <w:proofErr w:type="spellEnd"/>
      <w:r>
        <w:rPr>
          <w:b/>
        </w:rPr>
        <w:t>, ‘</w:t>
      </w:r>
      <w:r w:rsidR="001D0DAE">
        <w:rPr>
          <w:b/>
        </w:rPr>
        <w:t>D’ DO CP. ATENUANTE INOMINADA. MANIFESTAÇÃO DE VONTADE DE REPARAR OS PREJUÍZOS. JUSTIFICATIVA INIDÔNEA. EFEITO GENÉRICO DA CONDENAÇÃO. CONTINUIDADE DELITIVA. INAPLICABILIDADE. AUSÊNCIA VÍNCULO SUBJETIVO DE CONTINUIDADE. MERA REITERAÇÃO DELITIVA. RECURSO CONHECIDO E PARCIALMENTE PROVIDO.</w:t>
      </w:r>
    </w:p>
    <w:p w:rsidR="00921164" w:rsidRDefault="001D0DAE" w:rsidP="00921164">
      <w:pPr>
        <w:ind w:firstLine="0"/>
        <w:rPr>
          <w:b/>
        </w:rPr>
      </w:pPr>
      <w:r>
        <w:rPr>
          <w:b/>
        </w:rPr>
        <w:t xml:space="preserve">1. Tendo o réu confessado, formal e integralmente, a prática delitiva, aplica-se a atenuante prevista no artigo 65, inciso </w:t>
      </w:r>
      <w:proofErr w:type="spellStart"/>
      <w:r>
        <w:rPr>
          <w:b/>
        </w:rPr>
        <w:t>III</w:t>
      </w:r>
      <w:proofErr w:type="spellEnd"/>
      <w:r>
        <w:rPr>
          <w:b/>
        </w:rPr>
        <w:t>, alínea ‘d’, do Código Penal.</w:t>
      </w:r>
    </w:p>
    <w:p w:rsidR="001D0DAE" w:rsidRDefault="001D0DAE" w:rsidP="00921164">
      <w:pPr>
        <w:ind w:firstLine="0"/>
        <w:rPr>
          <w:b/>
        </w:rPr>
      </w:pPr>
      <w:r>
        <w:rPr>
          <w:b/>
        </w:rPr>
        <w:t xml:space="preserve">2. A </w:t>
      </w:r>
      <w:r w:rsidR="00EF3E91">
        <w:rPr>
          <w:b/>
        </w:rPr>
        <w:t xml:space="preserve">obrigação de </w:t>
      </w:r>
      <w:r>
        <w:rPr>
          <w:b/>
        </w:rPr>
        <w:t>reparação do dano constitui efeito da condenação, de modo que a mera manifestação de vontade de fazê-lo não justifica atenuação da pena com base no artigo 66 do Código Penal.</w:t>
      </w:r>
    </w:p>
    <w:p w:rsidR="001D0DAE" w:rsidRDefault="001D0DAE" w:rsidP="001D0DAE">
      <w:pPr>
        <w:spacing w:before="240"/>
        <w:ind w:firstLine="0"/>
        <w:rPr>
          <w:rFonts w:eastAsia="Times New Roman" w:cs="Times New Roman"/>
          <w:b/>
          <w:szCs w:val="24"/>
          <w:lang w:eastAsia="pt-BR"/>
        </w:rPr>
      </w:pPr>
      <w:r>
        <w:rPr>
          <w:rFonts w:eastAsia="Times New Roman" w:cs="Times New Roman"/>
          <w:b/>
          <w:szCs w:val="24"/>
          <w:lang w:eastAsia="pt-BR"/>
        </w:rPr>
        <w:t xml:space="preserve">3. </w:t>
      </w:r>
      <w:r>
        <w:rPr>
          <w:rFonts w:eastAsia="Times New Roman" w:cs="Times New Roman"/>
          <w:b/>
          <w:szCs w:val="24"/>
          <w:lang w:eastAsia="pt-BR"/>
        </w:rPr>
        <w:t>Habitualidade delitiva</w:t>
      </w:r>
      <w:r>
        <w:rPr>
          <w:rFonts w:eastAsia="Times New Roman" w:cs="Times New Roman"/>
          <w:b/>
          <w:szCs w:val="24"/>
          <w:lang w:eastAsia="pt-BR"/>
        </w:rPr>
        <w:t>,</w:t>
      </w:r>
      <w:r>
        <w:rPr>
          <w:rFonts w:eastAsia="Times New Roman" w:cs="Times New Roman"/>
          <w:b/>
          <w:szCs w:val="24"/>
          <w:lang w:eastAsia="pt-BR"/>
        </w:rPr>
        <w:t xml:space="preserve"> sem o preenchimento dos requisitos inscritos no artigo 71 do Código Penal </w:t>
      </w:r>
      <w:r>
        <w:rPr>
          <w:rFonts w:eastAsia="Times New Roman" w:cs="Times New Roman"/>
          <w:b/>
          <w:szCs w:val="24"/>
          <w:lang w:eastAsia="pt-BR"/>
        </w:rPr>
        <w:t xml:space="preserve">e efetivo vínculo subjetivo de continuidade entre as infrações, </w:t>
      </w:r>
      <w:r>
        <w:rPr>
          <w:rFonts w:eastAsia="Times New Roman" w:cs="Times New Roman"/>
          <w:b/>
          <w:szCs w:val="24"/>
          <w:lang w:eastAsia="pt-BR"/>
        </w:rPr>
        <w:t>não permite a aplicação da continuidade em detrimento da regra de cúmulo material prevista no artigo 69 do mesmo diploma.</w:t>
      </w:r>
    </w:p>
    <w:p w:rsidR="001D0DAE" w:rsidRDefault="001D0DAE" w:rsidP="00921164">
      <w:pPr>
        <w:ind w:firstLine="0"/>
        <w:rPr>
          <w:b/>
        </w:rPr>
      </w:pPr>
      <w:r>
        <w:rPr>
          <w:b/>
        </w:rPr>
        <w:t>4. Recurso conhecido e parcialmente provido.</w:t>
      </w:r>
    </w:p>
    <w:p w:rsidR="001D0DAE" w:rsidRPr="00921164" w:rsidRDefault="001D0DAE" w:rsidP="00921164">
      <w:pPr>
        <w:ind w:firstLine="0"/>
        <w:rPr>
          <w:b/>
        </w:rPr>
      </w:pPr>
    </w:p>
    <w:p w:rsidR="00AA28DF" w:rsidRDefault="00AA28DF" w:rsidP="00AA28DF">
      <w:pPr>
        <w:pStyle w:val="PargrafodaLista"/>
        <w:ind w:left="0"/>
        <w:contextualSpacing w:val="0"/>
        <w:rPr>
          <w:b/>
        </w:rPr>
      </w:pPr>
      <w:r>
        <w:rPr>
          <w:b/>
        </w:rPr>
        <w:t>I – RELATÓRIO</w:t>
      </w:r>
    </w:p>
    <w:p w:rsidR="00453F07" w:rsidRDefault="00AA28DF" w:rsidP="00AA28DF">
      <w:pPr>
        <w:pStyle w:val="PargrafodaLista"/>
        <w:ind w:left="0"/>
        <w:contextualSpacing w:val="0"/>
      </w:pPr>
      <w:r>
        <w:t xml:space="preserve">Cuida-se de </w:t>
      </w:r>
      <w:r w:rsidR="00453F07">
        <w:t>recurso de apelação interposto por Luiz Gustavo Longo da Silva em face do Ministério Público do Estado do Paraná, tendo como objeto sentença proferida pelo juízo da 1ª Vara Criminal de Arapongas, que julgou procedente pretensão punitiva estatal para condená-lo, pela prática do crime previsto no artigo 155, § 4º, inciso I do Código Penal</w:t>
      </w:r>
      <w:r w:rsidR="00921164">
        <w:t>, por duas vezes</w:t>
      </w:r>
      <w:r w:rsidR="00453F07">
        <w:t>, às penas de 7 (sete) anos de reclusão em regime inicial fechado e 40 (quarenta) dias-multa (evento 182.1 – autos de origem).</w:t>
      </w:r>
    </w:p>
    <w:p w:rsidR="00453F07" w:rsidRDefault="00453F07" w:rsidP="00AA28DF">
      <w:pPr>
        <w:pStyle w:val="PargrafodaLista"/>
        <w:ind w:left="0"/>
        <w:contextualSpacing w:val="0"/>
      </w:pPr>
      <w:r>
        <w:lastRenderedPageBreak/>
        <w:t>Eis, em síntese, as razões de inconformismo:</w:t>
      </w:r>
      <w:r w:rsidR="00921164">
        <w:t xml:space="preserve"> a) tendo o réu confessado a prática do crime, sua pena deve ser atenuada; b) a manifestação expressa da intenção de reparar o dano enseja aplicação da atenuante inominada; c) aplica, em detrimento do cúmulo material, a continuidade delitiva entre os fatos (evento 213.1 – autos de origem).</w:t>
      </w:r>
    </w:p>
    <w:p w:rsidR="00921164" w:rsidRDefault="00921164" w:rsidP="00AA28DF">
      <w:pPr>
        <w:pStyle w:val="PargrafodaLista"/>
        <w:ind w:left="0"/>
        <w:contextualSpacing w:val="0"/>
      </w:pPr>
      <w:r>
        <w:t>Nas contrarrazões, o Ministério Público sustentou que: a) confessado formalmente os crimes no interrogatório judicial, o apelante faz jus à atenuante correspondente; b) a obrigação de reparar os danos causados pela infração penal constitui efeito genérico da condenação, razão pela qual a expressão voluntária neste sentido não justifica atenuação de pena; c) inexiste vínculo subjetivo de continuidade, configurando-se mera reiteração criminosa (evento 216.1 – autos de origem).</w:t>
      </w:r>
    </w:p>
    <w:p w:rsidR="00453F07" w:rsidRDefault="00921164" w:rsidP="00AA28DF">
      <w:pPr>
        <w:pStyle w:val="PargrafodaLista"/>
        <w:ind w:left="0"/>
        <w:contextualSpacing w:val="0"/>
      </w:pPr>
      <w:r>
        <w:t>Opinou a Procuradoria-Geral de Justiça pelo conhecimento e parcial provimento do recurso, mediante aplicação da atenuante da confissão espontânea (evento 13.1).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921164" w:rsidRDefault="00921164" w:rsidP="00877419">
      <w:pPr>
        <w:pStyle w:val="PargrafodaLista"/>
        <w:ind w:left="0"/>
        <w:contextualSpacing w:val="0"/>
      </w:pPr>
      <w:r>
        <w:t>Satisfeitos os pressupostos de admissibilidade recursal, conhece-se da apelação interposta.</w:t>
      </w:r>
    </w:p>
    <w:p w:rsidR="00921164" w:rsidRDefault="00921164" w:rsidP="00877419">
      <w:pPr>
        <w:pStyle w:val="PargrafodaLista"/>
        <w:ind w:left="0"/>
        <w:contextualSpacing w:val="0"/>
      </w:pPr>
    </w:p>
    <w:p w:rsidR="00921164" w:rsidRDefault="00921164" w:rsidP="00877419">
      <w:pPr>
        <w:pStyle w:val="PargrafodaLista"/>
        <w:ind w:left="0"/>
        <w:contextualSpacing w:val="0"/>
      </w:pPr>
      <w:proofErr w:type="spellStart"/>
      <w:r>
        <w:t>II.II</w:t>
      </w:r>
      <w:proofErr w:type="spellEnd"/>
      <w:r>
        <w:t xml:space="preserve"> – DA CONFISSÃO ESPONTÂNEA</w:t>
      </w:r>
    </w:p>
    <w:p w:rsidR="001D0DAE" w:rsidRDefault="001D0DAE" w:rsidP="00877419">
      <w:pPr>
        <w:pStyle w:val="PargrafodaLista"/>
        <w:ind w:left="0"/>
        <w:contextualSpacing w:val="0"/>
      </w:pPr>
      <w:r>
        <w:t>Em seu interrogatório judicial, o recorrente confessou integralmente a prática dos furtos que lhe foram imputados na denúncia (evento 145.1 – autos de origem).</w:t>
      </w:r>
    </w:p>
    <w:p w:rsidR="001D0DAE" w:rsidRDefault="001D0DAE" w:rsidP="00877419">
      <w:pPr>
        <w:pStyle w:val="PargrafodaLista"/>
        <w:ind w:left="0"/>
        <w:contextualSpacing w:val="0"/>
      </w:pPr>
      <w:r>
        <w:t xml:space="preserve">A confissão, entrementes, foi expressamente referenciada na sentença </w:t>
      </w:r>
      <w:r w:rsidR="00EF03C5">
        <w:t xml:space="preserve">(evento 182.1, págs. 5-6 – </w:t>
      </w:r>
      <w:proofErr w:type="gramStart"/>
      <w:r w:rsidR="00EF03C5">
        <w:t>autos</w:t>
      </w:r>
      <w:proofErr w:type="gramEnd"/>
      <w:r w:rsidR="00EF03C5">
        <w:t xml:space="preserve"> de origem).</w:t>
      </w:r>
    </w:p>
    <w:p w:rsidR="00EF03C5" w:rsidRDefault="00EF03C5" w:rsidP="00877419">
      <w:pPr>
        <w:pStyle w:val="PargrafodaLista"/>
        <w:ind w:left="0"/>
        <w:contextualSpacing w:val="0"/>
      </w:pPr>
      <w:r>
        <w:t>Sobre o tema:</w:t>
      </w:r>
    </w:p>
    <w:p w:rsidR="00EF03C5" w:rsidRDefault="00EF03C5" w:rsidP="00877419">
      <w:pPr>
        <w:pStyle w:val="PargrafodaLista"/>
        <w:ind w:left="0"/>
        <w:contextualSpacing w:val="0"/>
      </w:pPr>
    </w:p>
    <w:p w:rsidR="00EF03C5" w:rsidRDefault="00EF03C5" w:rsidP="00EF03C5">
      <w:pPr>
        <w:pStyle w:val="PargrafodaLista"/>
        <w:spacing w:before="600" w:after="600"/>
        <w:ind w:left="2268" w:firstLine="0"/>
        <w:rPr>
          <w:sz w:val="20"/>
        </w:rPr>
      </w:pPr>
      <w:r w:rsidRPr="00EF03C5">
        <w:rPr>
          <w:sz w:val="20"/>
        </w:rPr>
        <w:lastRenderedPageBreak/>
        <w:t xml:space="preserve">APELAÇÃO CRIMINAL. ROUBO MAJORADO (ART. 157, § 2º, </w:t>
      </w:r>
      <w:proofErr w:type="spellStart"/>
      <w:r w:rsidRPr="00EF03C5">
        <w:rPr>
          <w:sz w:val="20"/>
        </w:rPr>
        <w:t>INCS</w:t>
      </w:r>
      <w:proofErr w:type="spellEnd"/>
      <w:r w:rsidRPr="00EF03C5">
        <w:rPr>
          <w:sz w:val="20"/>
        </w:rPr>
        <w:t xml:space="preserve">. II E V, E § 2º-A, INC. I, DO CÓDIGO </w:t>
      </w:r>
      <w:r w:rsidRPr="00EF03C5">
        <w:rPr>
          <w:sz w:val="20"/>
        </w:rPr>
        <w:t xml:space="preserve">PENAL). SENTENÇA CONDENATÓRIA. [...] </w:t>
      </w:r>
      <w:r w:rsidRPr="00EF03C5">
        <w:rPr>
          <w:sz w:val="20"/>
        </w:rPr>
        <w:t xml:space="preserve">INSURGÊNCIA RESTRITA À DOSIMETRIA PENAL. AUTORIA E MATERIALIDADE DELITIVAS COMPROVADAS E NÃO QUESTIONADAS. 2.1. PENA-BASE. SEM INSURGÊNCIA. 2.2. PENA PROVISÓRIA. </w:t>
      </w:r>
      <w:r w:rsidRPr="00EF03C5">
        <w:rPr>
          <w:b/>
          <w:sz w:val="20"/>
        </w:rPr>
        <w:t>PLEITO PELA APLICAÇÃO DA CIRCUNSTÂNCIA ATENUANTE DA CONFISSÃO ESPONTÂNEA. RÉU QUE CONFESSOU O CRIME EM SEU INTERROGATÓRIO JUDICIAL E AUXILIOU NA FORMAÇÃO DO CONVENCIMENTO DO JULGADOR. INCIDÊNCIA DA CIRCUNSTÂNCIA ATENUANTE IMPOSITIVA.</w:t>
      </w:r>
      <w:r w:rsidRPr="00EF03C5">
        <w:rPr>
          <w:sz w:val="20"/>
        </w:rPr>
        <w:t xml:space="preserve"> IMPOSSIBILIDADE, CONTUDO, DE REDUÇÃO DA PENA AQUÉM DO MÍNIMO LEGAL. INTELIGÊNCIA DA SÚMULA 231 DO SUPERIOR TRIBUNAL DE JUSTIÇA. PRECEDENTES. PENA PROVISÓRIA MANTIDA NO MÍNIMO LEGAL. 2.3. PENA DEFINITIVA. INCIDÊNCIA DAS CAUSAS ESPECIAIS DE AUMENTO REFERENTES AO CONCURSO DE AGENTES E ARMA DE FOGO. AUTORIA DELITIVA DOS DEMAIS APELANTES AMPLAMENTE COMPROVADA. MAJORANTES COMPROVADAS PELO ROBUSTO ARCABOUÇO PROBATÓRIO. MANUTENÇÃO. RECURSO CONHECIDO E PARCIALMENTE PROVIDO, APENAS PARA RECONHECER A CIRCUNSTÂNCIA ATENUANTE DA CONFISSÃO ESPONTÂNEA, SEM REDUZIR A PENA.</w:t>
      </w:r>
      <w:r>
        <w:rPr>
          <w:sz w:val="20"/>
        </w:rPr>
        <w:t xml:space="preserve"> </w:t>
      </w:r>
      <w:r w:rsidRPr="00EF03C5">
        <w:rPr>
          <w:sz w:val="20"/>
        </w:rPr>
        <w:t>(</w:t>
      </w:r>
      <w:proofErr w:type="spellStart"/>
      <w:r w:rsidRPr="00EF03C5">
        <w:rPr>
          <w:sz w:val="20"/>
        </w:rPr>
        <w:t>TJPR</w:t>
      </w:r>
      <w:proofErr w:type="spellEnd"/>
      <w:r>
        <w:rPr>
          <w:sz w:val="20"/>
        </w:rPr>
        <w:t>. 3ª Câmara Criminal. Relator: Desembargador Paulo Roberto Vasconcelos. Data de Julgamento: 11-07-2022).</w:t>
      </w:r>
    </w:p>
    <w:p w:rsidR="00EF03C5" w:rsidRDefault="00EF03C5" w:rsidP="00877419">
      <w:pPr>
        <w:pStyle w:val="PargrafodaLista"/>
        <w:ind w:left="0"/>
        <w:contextualSpacing w:val="0"/>
      </w:pPr>
    </w:p>
    <w:p w:rsidR="002523A7" w:rsidRDefault="00EF03C5" w:rsidP="00877419">
      <w:pPr>
        <w:pStyle w:val="PargrafodaLista"/>
        <w:ind w:left="0"/>
        <w:contextualSpacing w:val="0"/>
      </w:pPr>
      <w:r>
        <w:t xml:space="preserve">Nessas condições, ausente atenuação pela circunstância legal em questão na composição quantitativa da pena, a sentença deve ser reformada, como pretendido pela defesa, nos termos do artigo 65, inciso </w:t>
      </w:r>
      <w:proofErr w:type="spellStart"/>
      <w:r>
        <w:t>III</w:t>
      </w:r>
      <w:proofErr w:type="spellEnd"/>
      <w:r>
        <w:t>, alínea ‘d’, do Código Penal.</w:t>
      </w:r>
    </w:p>
    <w:p w:rsidR="002523A7" w:rsidRDefault="002523A7" w:rsidP="00877419">
      <w:pPr>
        <w:pStyle w:val="PargrafodaLista"/>
        <w:ind w:left="0"/>
        <w:contextualSpacing w:val="0"/>
      </w:pPr>
      <w:r>
        <w:t>Assim, procede-se à compensação entre a agravante da reincidência e a atenuante da confissão espontânea, de modo que a pena intermediária do primeiro fato resulta em 3 (três) anos e 15 (quinze) dias-multa. Para o segundo fato, sob a mesma fórmula, mantém-se a pena na segunda fase em 3 (três) anos e 15 (quinze) dias-multa.</w:t>
      </w:r>
    </w:p>
    <w:p w:rsidR="002523A7" w:rsidRDefault="002523A7" w:rsidP="00877419">
      <w:pPr>
        <w:pStyle w:val="PargrafodaLista"/>
        <w:ind w:left="0"/>
        <w:contextualSpacing w:val="0"/>
      </w:pPr>
      <w:r>
        <w:t>Ausentes majorantes ou minorantes e mantido o critério de concurso material, previsto no artigo 69 do Código Penal, a pena definitiva, somada, resulta em 6 (seis) anos de reclusão e 30 (trinta) dias-multa, preservando-se o valor atribuído a cada dia da pena pecuniária e o regime inicial fechado.</w:t>
      </w:r>
    </w:p>
    <w:p w:rsidR="00EF03C5" w:rsidRDefault="00EF03C5" w:rsidP="00877419">
      <w:pPr>
        <w:pStyle w:val="PargrafodaLista"/>
        <w:ind w:left="0"/>
        <w:contextualSpacing w:val="0"/>
      </w:pPr>
    </w:p>
    <w:p w:rsidR="00921164" w:rsidRDefault="00921164" w:rsidP="00877419">
      <w:pPr>
        <w:pStyle w:val="PargrafodaLista"/>
        <w:ind w:left="0"/>
        <w:contextualSpacing w:val="0"/>
      </w:pPr>
      <w:proofErr w:type="spellStart"/>
      <w:r>
        <w:t>II.III</w:t>
      </w:r>
      <w:proofErr w:type="spellEnd"/>
      <w:r>
        <w:t xml:space="preserve"> – DA ATENUANTE INOMINADA</w:t>
      </w:r>
    </w:p>
    <w:p w:rsidR="00921164" w:rsidRDefault="002523A7" w:rsidP="00877419">
      <w:pPr>
        <w:pStyle w:val="PargrafodaLista"/>
        <w:ind w:left="0"/>
        <w:contextualSpacing w:val="0"/>
      </w:pPr>
      <w:r>
        <w:t>Ainda na segunda fase, a defesa postula a aplicação da atenuante inominada, prevista no artigo 66 do Código Penal, sob o argumento de que a manifestação expressa de predisposição em reparar o dano deve ser levada em conta na fixação da pena.</w:t>
      </w:r>
    </w:p>
    <w:p w:rsidR="002523A7" w:rsidRDefault="002523A7" w:rsidP="00877419">
      <w:pPr>
        <w:pStyle w:val="PargrafodaLista"/>
        <w:ind w:left="0"/>
        <w:contextualSpacing w:val="0"/>
      </w:pPr>
      <w:r>
        <w:t xml:space="preserve">A despeito de tal pretensão, a disciplina legal das circunstâncias atenuantes prevê, de maneira expressa, possiblidade de abrandamento da pena na hipótese em que o agente, logo após o crime, evita ou minora as consequências ou, antes do julgamento, repara o dano (CP, art. 65, </w:t>
      </w:r>
      <w:proofErr w:type="spellStart"/>
      <w:r>
        <w:t>III</w:t>
      </w:r>
      <w:proofErr w:type="spellEnd"/>
      <w:r>
        <w:t>, ‘c’).</w:t>
      </w:r>
    </w:p>
    <w:p w:rsidR="00EF3E91" w:rsidRDefault="002523A7" w:rsidP="00877419">
      <w:pPr>
        <w:pStyle w:val="PargrafodaLista"/>
        <w:ind w:left="0"/>
        <w:contextualSpacing w:val="0"/>
      </w:pPr>
      <w:r>
        <w:t>Adema</w:t>
      </w:r>
      <w:r w:rsidR="00EF3E91">
        <w:t>is, a obrigação de reparação do dano constitui efeito da sentença penal condenatória, consoante expressa previsão do artigo 91, inciso I, do Código Penal.</w:t>
      </w:r>
    </w:p>
    <w:p w:rsidR="00EF3E91" w:rsidRDefault="00EF3E91" w:rsidP="00877419">
      <w:pPr>
        <w:pStyle w:val="PargrafodaLista"/>
        <w:ind w:left="0"/>
        <w:contextualSpacing w:val="0"/>
      </w:pPr>
      <w:r>
        <w:t>Assim, conquanto louvável a assunção da responsabilidade civil pelos prejuízos causados às vítimas dos furtos, a mera manifestação da pretensão reparatória não possui eficácia de atenuante penal.</w:t>
      </w:r>
    </w:p>
    <w:p w:rsidR="00EF3E91" w:rsidRDefault="00EF3E91" w:rsidP="00877419">
      <w:pPr>
        <w:pStyle w:val="PargrafodaLista"/>
        <w:ind w:left="0"/>
        <w:contextualSpacing w:val="0"/>
      </w:pPr>
      <w:r>
        <w:t>Ausente, pois, reparação do dano em momento anterior ao julgamento, hipótese estabelecida em lei, não se cogita a aplicação da atenuante pretendida.</w:t>
      </w:r>
    </w:p>
    <w:p w:rsidR="00EF3E91" w:rsidRDefault="00EF3E91" w:rsidP="00877419">
      <w:pPr>
        <w:pStyle w:val="PargrafodaLista"/>
        <w:ind w:left="0"/>
        <w:contextualSpacing w:val="0"/>
      </w:pPr>
    </w:p>
    <w:p w:rsidR="00921164" w:rsidRDefault="00921164" w:rsidP="00877419">
      <w:pPr>
        <w:pStyle w:val="PargrafodaLista"/>
        <w:ind w:left="0"/>
        <w:contextualSpacing w:val="0"/>
      </w:pPr>
      <w:proofErr w:type="spellStart"/>
      <w:r>
        <w:t>II.IV</w:t>
      </w:r>
      <w:proofErr w:type="spellEnd"/>
      <w:r>
        <w:t xml:space="preserve"> – DA CONTINUIDADE DELITIVA</w:t>
      </w:r>
    </w:p>
    <w:p w:rsidR="00921164" w:rsidRDefault="00DA3F32" w:rsidP="00877419">
      <w:pPr>
        <w:pStyle w:val="PargrafodaLista"/>
        <w:ind w:left="0"/>
        <w:contextualSpacing w:val="0"/>
      </w:pPr>
      <w:r>
        <w:t>O recorrente Luiz Gustavo Longo da Silva foi denunciado pelo Ministério Público do Estado do Paraná pela prática de dois furtos qualificados, datas próximas, cometidos contra vítimas distintas (evento 69.1 – autos de origem).</w:t>
      </w:r>
    </w:p>
    <w:p w:rsidR="00DA3F32" w:rsidRDefault="00DA3F32" w:rsidP="00877419">
      <w:pPr>
        <w:pStyle w:val="PargrafodaLista"/>
        <w:ind w:left="0"/>
        <w:contextualSpacing w:val="0"/>
      </w:pPr>
      <w:r>
        <w:t>A esse respeito, a defesa técnica pretende ver aplicada a regra do artigo 71 do Código Penal, para que a segunda infração seja havida como continuação do primeiro, aplicando-se a pena de apenas um crime, aumenta pela fração correspondente ao número de crimes cometidos.</w:t>
      </w:r>
    </w:p>
    <w:p w:rsidR="00DA3F32" w:rsidRDefault="00DA3F32" w:rsidP="00DA3F32">
      <w:pPr>
        <w:spacing w:before="240"/>
        <w:rPr>
          <w:rFonts w:eastAsia="Times New Roman" w:cs="Times New Roman"/>
          <w:bCs/>
          <w:szCs w:val="24"/>
          <w:lang w:eastAsia="pt-BR"/>
        </w:rPr>
      </w:pPr>
      <w:r>
        <w:rPr>
          <w:rFonts w:eastAsia="Times New Roman" w:cs="Times New Roman"/>
          <w:bCs/>
          <w:szCs w:val="24"/>
          <w:lang w:eastAsia="pt-BR"/>
        </w:rPr>
        <w:t>Ocorre que, c</w:t>
      </w:r>
      <w:r>
        <w:rPr>
          <w:rFonts w:eastAsia="Times New Roman" w:cs="Times New Roman"/>
          <w:bCs/>
          <w:szCs w:val="24"/>
          <w:lang w:eastAsia="pt-BR"/>
        </w:rPr>
        <w:t xml:space="preserve">omo consagração do modelo finalista de ação (teoria </w:t>
      </w:r>
      <w:proofErr w:type="spellStart"/>
      <w:r>
        <w:rPr>
          <w:rFonts w:eastAsia="Times New Roman" w:cs="Times New Roman"/>
          <w:bCs/>
          <w:szCs w:val="24"/>
          <w:lang w:eastAsia="pt-BR"/>
        </w:rPr>
        <w:t>objetio</w:t>
      </w:r>
      <w:proofErr w:type="spellEnd"/>
      <w:r>
        <w:rPr>
          <w:rFonts w:eastAsia="Times New Roman" w:cs="Times New Roman"/>
          <w:bCs/>
          <w:szCs w:val="24"/>
          <w:lang w:eastAsia="pt-BR"/>
        </w:rPr>
        <w:t>-subjetiva), orientativo do modelo de imputação do Código Penal pátrio, o Superior Tribunal de Justiça interpreta o artigo 71 do Código Penal no sentido de que a continuidade pressupõe, também, a presença de elemento subjetivo decorrente de unicidade de desígnios entre os eventos.</w:t>
      </w:r>
    </w:p>
    <w:p w:rsidR="00DA3F32" w:rsidRDefault="00DA3F32" w:rsidP="00DA3F32">
      <w:pPr>
        <w:spacing w:before="240"/>
        <w:rPr>
          <w:rFonts w:eastAsia="Times New Roman" w:cs="Times New Roman"/>
          <w:bCs/>
          <w:szCs w:val="24"/>
          <w:lang w:eastAsia="pt-BR"/>
        </w:rPr>
      </w:pPr>
      <w:r>
        <w:rPr>
          <w:rFonts w:eastAsia="Times New Roman" w:cs="Times New Roman"/>
          <w:bCs/>
          <w:szCs w:val="24"/>
          <w:lang w:eastAsia="pt-BR"/>
        </w:rPr>
        <w:t>Neste sentido:</w:t>
      </w:r>
    </w:p>
    <w:p w:rsidR="00DA3F32" w:rsidRDefault="00DA3F32" w:rsidP="00DA3F32">
      <w:pPr>
        <w:spacing w:before="600" w:after="600"/>
        <w:ind w:left="2268" w:firstLine="0"/>
        <w:rPr>
          <w:rFonts w:eastAsia="Times New Roman" w:cs="Times New Roman"/>
          <w:bCs/>
          <w:sz w:val="20"/>
          <w:szCs w:val="24"/>
          <w:lang w:eastAsia="pt-BR"/>
        </w:rPr>
      </w:pPr>
      <w:r w:rsidRPr="00A20CAA">
        <w:rPr>
          <w:rFonts w:eastAsia="Times New Roman" w:cs="Times New Roman"/>
          <w:bCs/>
          <w:sz w:val="20"/>
          <w:szCs w:val="24"/>
          <w:lang w:eastAsia="pt-BR"/>
        </w:rPr>
        <w:t xml:space="preserve">RECURSO ESPECIAL. PENAL. ESTUPRO DE VULNERÁVEL E ESTUPRO. </w:t>
      </w:r>
      <w:proofErr w:type="spellStart"/>
      <w:r w:rsidRPr="00A20CAA">
        <w:rPr>
          <w:rFonts w:eastAsia="Times New Roman" w:cs="Times New Roman"/>
          <w:bCs/>
          <w:sz w:val="20"/>
          <w:szCs w:val="24"/>
          <w:lang w:eastAsia="pt-BR"/>
        </w:rPr>
        <w:t>ARTS</w:t>
      </w:r>
      <w:proofErr w:type="spellEnd"/>
      <w:r w:rsidRPr="00A20CAA">
        <w:rPr>
          <w:rFonts w:eastAsia="Times New Roman" w:cs="Times New Roman"/>
          <w:bCs/>
          <w:sz w:val="20"/>
          <w:szCs w:val="24"/>
          <w:lang w:eastAsia="pt-BR"/>
        </w:rPr>
        <w:t xml:space="preserve">. </w:t>
      </w:r>
      <w:proofErr w:type="spellStart"/>
      <w:r w:rsidRPr="00A20CAA">
        <w:rPr>
          <w:rFonts w:eastAsia="Times New Roman" w:cs="Times New Roman"/>
          <w:bCs/>
          <w:sz w:val="20"/>
          <w:szCs w:val="24"/>
          <w:lang w:eastAsia="pt-BR"/>
        </w:rPr>
        <w:t>217-A</w:t>
      </w:r>
      <w:proofErr w:type="spellEnd"/>
      <w:r w:rsidRPr="00A20CAA">
        <w:rPr>
          <w:rFonts w:eastAsia="Times New Roman" w:cs="Times New Roman"/>
          <w:bCs/>
          <w:sz w:val="20"/>
          <w:szCs w:val="24"/>
          <w:lang w:eastAsia="pt-BR"/>
        </w:rPr>
        <w:t xml:space="preserve"> E 213, AMBOS C/C O 226, II, TODOS DO CP. CONTINUIDADE DELITIVA. CRIMES DA MESMA ESPÉCIE. REQUISITOS OBJETIVOS E SUBJETIVOS. LAPSO TEMPORAL. PERÍODO SUPERIOR A 2 ANOS.</w:t>
      </w:r>
      <w:r>
        <w:rPr>
          <w:rFonts w:eastAsia="Times New Roman" w:cs="Times New Roman"/>
          <w:bCs/>
          <w:sz w:val="20"/>
          <w:szCs w:val="24"/>
          <w:lang w:eastAsia="pt-BR"/>
        </w:rPr>
        <w:t xml:space="preserve"> </w:t>
      </w:r>
      <w:r w:rsidRPr="00DA3F32">
        <w:rPr>
          <w:rFonts w:eastAsia="Times New Roman" w:cs="Times New Roman"/>
          <w:b/>
          <w:bCs/>
          <w:sz w:val="20"/>
          <w:szCs w:val="24"/>
          <w:lang w:eastAsia="pt-BR"/>
        </w:rPr>
        <w:t>1. A jurisprudência do Superior Tribunal de Justiça compreende que, para a caracterização da continuidade delitiva, é imprescindível o preenchimento de requisitos de ordem objetiva (mesmas condições de tempo, lugar e forma de execução) e subjetiva (unidade de desígnios ou vínculo subjetivo entre os eventos), nos termos do art. 71 do Código Penal. Exige-se, ainda, que os delitos sejam da mesma espécie. Para tanto, não é necessário que os fatos sejam capitulados no mesmo tipo penal, sendo suficiente que tutelem o mesmo bem jurídico e sejam perpetrados pelo mesmo modo de execução. [...]</w:t>
      </w:r>
      <w:r>
        <w:rPr>
          <w:rFonts w:eastAsia="Times New Roman" w:cs="Times New Roman"/>
          <w:bCs/>
          <w:sz w:val="20"/>
          <w:szCs w:val="24"/>
          <w:lang w:eastAsia="pt-BR"/>
        </w:rPr>
        <w:t xml:space="preserve">. </w:t>
      </w:r>
      <w:r w:rsidRPr="00A20CAA">
        <w:rPr>
          <w:rFonts w:eastAsia="Times New Roman" w:cs="Times New Roman"/>
          <w:bCs/>
          <w:sz w:val="20"/>
          <w:szCs w:val="24"/>
          <w:lang w:eastAsia="pt-BR"/>
        </w:rPr>
        <w:t>6. Recurso especial provido para afastar a continuidade delitiva, restabelecendo a condenação nos termos da sentença.</w:t>
      </w:r>
      <w:r>
        <w:rPr>
          <w:rFonts w:eastAsia="Times New Roman" w:cs="Times New Roman"/>
          <w:bCs/>
          <w:sz w:val="20"/>
          <w:szCs w:val="24"/>
          <w:lang w:eastAsia="pt-BR"/>
        </w:rPr>
        <w:t xml:space="preserve"> (STJ. Sexta Turma. Relator: Ministro Sebastião Reis Júnior. </w:t>
      </w:r>
      <w:proofErr w:type="spellStart"/>
      <w:r w:rsidRPr="00A20CAA">
        <w:rPr>
          <w:rFonts w:eastAsia="Times New Roman" w:cs="Times New Roman"/>
          <w:bCs/>
          <w:sz w:val="20"/>
          <w:szCs w:val="24"/>
          <w:lang w:eastAsia="pt-BR"/>
        </w:rPr>
        <w:t>REsp</w:t>
      </w:r>
      <w:proofErr w:type="spellEnd"/>
      <w:r w:rsidRPr="00A20CAA">
        <w:rPr>
          <w:rFonts w:eastAsia="Times New Roman" w:cs="Times New Roman"/>
          <w:bCs/>
          <w:sz w:val="20"/>
          <w:szCs w:val="24"/>
          <w:lang w:eastAsia="pt-BR"/>
        </w:rPr>
        <w:t xml:space="preserve"> n. 1.767.902/RJ</w:t>
      </w:r>
      <w:r>
        <w:rPr>
          <w:rFonts w:eastAsia="Times New Roman" w:cs="Times New Roman"/>
          <w:bCs/>
          <w:sz w:val="20"/>
          <w:szCs w:val="24"/>
          <w:lang w:eastAsia="pt-BR"/>
        </w:rPr>
        <w:t>. Data de Julgamento: 13-12-2018. Data de Publicação: 04-02-2019).</w:t>
      </w:r>
    </w:p>
    <w:p w:rsidR="00DA3F32" w:rsidRDefault="00DA3F32" w:rsidP="00DA3F32">
      <w:pPr>
        <w:spacing w:before="240"/>
        <w:rPr>
          <w:rFonts w:eastAsia="Times New Roman" w:cs="Times New Roman"/>
          <w:bCs/>
          <w:szCs w:val="24"/>
          <w:lang w:eastAsia="pt-BR"/>
        </w:rPr>
      </w:pPr>
      <w:r>
        <w:rPr>
          <w:rFonts w:eastAsia="Times New Roman" w:cs="Times New Roman"/>
          <w:bCs/>
          <w:szCs w:val="24"/>
          <w:lang w:eastAsia="pt-BR"/>
        </w:rPr>
        <w:t>Sobre a temática, eis o posicionamento do Supremo Tribunal Federal:</w:t>
      </w:r>
    </w:p>
    <w:p w:rsidR="000D45C8" w:rsidRDefault="00DA3F32" w:rsidP="00DA3F32">
      <w:pPr>
        <w:spacing w:before="600" w:after="600"/>
        <w:ind w:left="2268" w:firstLine="0"/>
        <w:rPr>
          <w:rFonts w:eastAsia="Times New Roman" w:cs="Times New Roman"/>
          <w:bCs/>
          <w:sz w:val="20"/>
          <w:szCs w:val="20"/>
          <w:lang w:eastAsia="pt-BR"/>
        </w:rPr>
      </w:pPr>
      <w:r w:rsidRPr="00A20CAA">
        <w:rPr>
          <w:rFonts w:eastAsia="Times New Roman" w:cs="Times New Roman"/>
          <w:bCs/>
          <w:sz w:val="20"/>
          <w:szCs w:val="24"/>
          <w:lang w:eastAsia="pt-BR"/>
        </w:rPr>
        <w:t xml:space="preserve">AGRAVO REGIMENTAL EM EMBARGOS DE DECLARAÇÃO EM RECURSO ORDINÁRIO EM HABEAS CORPUS. MATÉRIA CRIMINAL. ESTUPRO DE VULNERÁVEL. DOSIMETRIA. CIRCUNSTÂNCIAS JUDICIAIS. AUSÊNCIA DE ILEGALIDADE MANIFESTA. REEXAME DE FATOS E PROVAS. IMPOSSIBILIDADE NA VIA ESTREITA DO HABEAS CORPUS. CONTINUIDADE DELITIVA. TEORIA MISTA. UNIDADE DE DESÍGNIOS. AGRAVO REGIMENTAL DESPROVIDO. 1. A revisão da dosimetria da pena não é possível se para tanto for necessário o reexame de fatos e provas, inviável por meio de habeas corpus, ausente qualquer ilegalidade aferível de plano quanto </w:t>
      </w:r>
      <w:r w:rsidRPr="00A20CAA">
        <w:rPr>
          <w:rFonts w:eastAsia="Times New Roman" w:cs="Times New Roman"/>
          <w:bCs/>
          <w:sz w:val="20"/>
          <w:szCs w:val="20"/>
          <w:lang w:eastAsia="pt-BR"/>
        </w:rPr>
        <w:t xml:space="preserve">ao particular. Jurisprudência do Supremo Tribunal Federal. </w:t>
      </w:r>
      <w:r w:rsidRPr="000D45C8">
        <w:rPr>
          <w:rFonts w:eastAsia="Times New Roman" w:cs="Times New Roman"/>
          <w:b/>
          <w:bCs/>
          <w:sz w:val="20"/>
          <w:szCs w:val="20"/>
          <w:lang w:eastAsia="pt-BR"/>
        </w:rPr>
        <w:t xml:space="preserve">2. A unidade de desígnios é </w:t>
      </w:r>
      <w:proofErr w:type="gramStart"/>
      <w:r w:rsidRPr="000D45C8">
        <w:rPr>
          <w:rFonts w:eastAsia="Times New Roman" w:cs="Times New Roman"/>
          <w:b/>
          <w:bCs/>
          <w:sz w:val="20"/>
          <w:szCs w:val="20"/>
          <w:lang w:eastAsia="pt-BR"/>
        </w:rPr>
        <w:t>requisito</w:t>
      </w:r>
      <w:proofErr w:type="gramEnd"/>
      <w:r w:rsidRPr="000D45C8">
        <w:rPr>
          <w:rFonts w:eastAsia="Times New Roman" w:cs="Times New Roman"/>
          <w:b/>
          <w:bCs/>
          <w:sz w:val="20"/>
          <w:szCs w:val="20"/>
          <w:lang w:eastAsia="pt-BR"/>
        </w:rPr>
        <w:t xml:space="preserve"> para a caracterização da continuidade delitiva, uma vez que foi adotada por este Tribunal a teoria mista (objetivo-subjetiva).</w:t>
      </w:r>
      <w:r w:rsidRPr="00A20CAA">
        <w:rPr>
          <w:rFonts w:eastAsia="Times New Roman" w:cs="Times New Roman"/>
          <w:bCs/>
          <w:sz w:val="20"/>
          <w:szCs w:val="20"/>
          <w:lang w:eastAsia="pt-BR"/>
        </w:rPr>
        <w:t xml:space="preserve"> Precedentes. 3. Agravo regimental desprovido. (</w:t>
      </w:r>
      <w:r w:rsidR="000D45C8">
        <w:rPr>
          <w:rFonts w:eastAsia="Times New Roman" w:cs="Times New Roman"/>
          <w:bCs/>
          <w:sz w:val="20"/>
          <w:szCs w:val="20"/>
          <w:lang w:eastAsia="pt-BR"/>
        </w:rPr>
        <w:t xml:space="preserve">STF. Segunda Turma. Relator: Ministro Edson </w:t>
      </w:r>
      <w:proofErr w:type="spellStart"/>
      <w:r w:rsidR="000D45C8">
        <w:rPr>
          <w:rFonts w:eastAsia="Times New Roman" w:cs="Times New Roman"/>
          <w:bCs/>
          <w:sz w:val="20"/>
          <w:szCs w:val="20"/>
          <w:lang w:eastAsia="pt-BR"/>
        </w:rPr>
        <w:t>Fachin</w:t>
      </w:r>
      <w:proofErr w:type="spellEnd"/>
      <w:r w:rsidR="000D45C8">
        <w:rPr>
          <w:rFonts w:eastAsia="Times New Roman" w:cs="Times New Roman"/>
          <w:bCs/>
          <w:sz w:val="20"/>
          <w:szCs w:val="20"/>
          <w:lang w:eastAsia="pt-BR"/>
        </w:rPr>
        <w:t xml:space="preserve">. </w:t>
      </w:r>
      <w:proofErr w:type="spellStart"/>
      <w:r w:rsidRPr="00A20CAA">
        <w:rPr>
          <w:rFonts w:eastAsia="Times New Roman" w:cs="Times New Roman"/>
          <w:bCs/>
          <w:sz w:val="20"/>
          <w:szCs w:val="20"/>
          <w:lang w:eastAsia="pt-BR"/>
        </w:rPr>
        <w:t>RHC</w:t>
      </w:r>
      <w:proofErr w:type="spellEnd"/>
      <w:r w:rsidRPr="00A20CAA">
        <w:rPr>
          <w:rFonts w:eastAsia="Times New Roman" w:cs="Times New Roman"/>
          <w:bCs/>
          <w:sz w:val="20"/>
          <w:szCs w:val="20"/>
          <w:lang w:eastAsia="pt-BR"/>
        </w:rPr>
        <w:t xml:space="preserve"> 150666 ED-</w:t>
      </w:r>
      <w:proofErr w:type="spellStart"/>
      <w:r w:rsidRPr="00A20CAA">
        <w:rPr>
          <w:rFonts w:eastAsia="Times New Roman" w:cs="Times New Roman"/>
          <w:bCs/>
          <w:sz w:val="20"/>
          <w:szCs w:val="20"/>
          <w:lang w:eastAsia="pt-BR"/>
        </w:rPr>
        <w:t>AgR</w:t>
      </w:r>
      <w:r w:rsidR="000D45C8">
        <w:rPr>
          <w:rFonts w:eastAsia="Times New Roman" w:cs="Times New Roman"/>
          <w:bCs/>
          <w:sz w:val="20"/>
          <w:szCs w:val="20"/>
          <w:lang w:eastAsia="pt-BR"/>
        </w:rPr>
        <w:t>.</w:t>
      </w:r>
      <w:proofErr w:type="spellEnd"/>
      <w:r w:rsidR="000D45C8">
        <w:rPr>
          <w:rFonts w:eastAsia="Times New Roman" w:cs="Times New Roman"/>
          <w:bCs/>
          <w:sz w:val="20"/>
          <w:szCs w:val="20"/>
          <w:lang w:eastAsia="pt-BR"/>
        </w:rPr>
        <w:t xml:space="preserve"> Data de Julgamento: 28-06-2019. Data de Publicação: 01-08-2019).</w:t>
      </w:r>
    </w:p>
    <w:p w:rsidR="001D0DAE" w:rsidRDefault="001D0DAE" w:rsidP="001D0DAE">
      <w:pPr>
        <w:pStyle w:val="PargrafodaLista"/>
        <w:ind w:left="0"/>
        <w:contextualSpacing w:val="0"/>
      </w:pPr>
      <w:r>
        <w:t xml:space="preserve">A propósito, o item 59 da Exposição de Motivos do Código Penal declara expressa finalidade de oposição ao crescimento da criminalidade profissional, organizada e violenta, cujas ações se repetem contra vítimas diferentes. A extensão da continuidade delitiva ao </w:t>
      </w:r>
      <w:r w:rsidRPr="006954DA">
        <w:t>habitué</w:t>
      </w:r>
      <w:r w:rsidR="000D45C8">
        <w:t xml:space="preserve"> </w:t>
      </w:r>
      <w:r>
        <w:t xml:space="preserve">tornaria mais brando o tratamento penal </w:t>
      </w:r>
      <w:r>
        <w:lastRenderedPageBreak/>
        <w:t>dispensado ao criminoso profissional do que aos criminosos ocasionais, plasmando regra absolutamente distinta da teleologia da norma.</w:t>
      </w:r>
    </w:p>
    <w:p w:rsidR="001D0DAE" w:rsidRDefault="001D0DAE" w:rsidP="001D0DAE">
      <w:pPr>
        <w:pStyle w:val="PargrafodaLista"/>
        <w:ind w:left="0"/>
      </w:pPr>
      <w:r>
        <w:t>Veja-se:</w:t>
      </w:r>
    </w:p>
    <w:p w:rsidR="001D0DAE" w:rsidRPr="006954DA" w:rsidRDefault="001D0DAE" w:rsidP="001D0DAE">
      <w:pPr>
        <w:pStyle w:val="PargrafodaLista"/>
        <w:spacing w:before="600" w:after="600"/>
        <w:ind w:left="2268" w:firstLine="0"/>
        <w:contextualSpacing w:val="0"/>
        <w:rPr>
          <w:b/>
          <w:sz w:val="20"/>
        </w:rPr>
      </w:pPr>
      <w:r>
        <w:rPr>
          <w:sz w:val="20"/>
        </w:rPr>
        <w:t xml:space="preserve">59. O critério da teoria puramente objetiva não se revelou na prática maiores inconvenientes, a despeito das objeções formuladas pelos partidários da teoria objetivo-subjetiva. </w:t>
      </w:r>
      <w:r w:rsidRPr="006954DA">
        <w:rPr>
          <w:b/>
          <w:sz w:val="20"/>
        </w:rPr>
        <w:t>O projeto optou pelo critério que mais adequadamente se opõe ao crescimento da criminalidade profissional, organizada e violenta, cujas ações se repetem contra vítimas diferentes, em condições de tempo, lugar, modos de execução e circunstâncias outras, marcadas por evidente semelhança.</w:t>
      </w:r>
      <w:r>
        <w:rPr>
          <w:sz w:val="20"/>
        </w:rPr>
        <w:t xml:space="preserve"> Estender-lhe o conceito de crime continuado importa em beneficiá-la, pois o delinquente profissional tornar-se-ia passível de tratamento penal menos grave que o dispensado a criminosos ocasionais. De resto, com a extinção, no Projeto, da medida de segurança para o imputável, urge reforçar o sistema, destinado penas mais longas aos que estariam sujeitos à imposição de medida de segurança detentiva e que serão beneficiados pela abolição da medida. </w:t>
      </w:r>
      <w:r w:rsidRPr="006954DA">
        <w:rPr>
          <w:b/>
          <w:sz w:val="20"/>
        </w:rPr>
        <w:t>A Política Criminal atua, neste passo, em sentido inverso, a fim de evitar a libertação prematura de determinadas categorias de agentes, dotados de acentuada periculosidade.</w:t>
      </w:r>
    </w:p>
    <w:p w:rsidR="000D45C8" w:rsidRDefault="001D0DAE" w:rsidP="001D0DAE">
      <w:pPr>
        <w:pStyle w:val="PargrafodaLista"/>
        <w:ind w:left="0"/>
        <w:contextualSpacing w:val="0"/>
      </w:pPr>
      <w:r>
        <w:t>Assim, mediante hermenêutica teleológica, a unificação das penas sob mediante concurso material exsurge adequada ao propósito político-criminal explicitado na Exposição de Motivos do Código Penal, de recrud</w:t>
      </w:r>
      <w:r w:rsidR="000D45C8">
        <w:t>escimento do tratamento penal dado aos casos de mera reiteração, como é o caso dos autos.</w:t>
      </w:r>
    </w:p>
    <w:p w:rsidR="001D0DAE" w:rsidRPr="00ED4A5F" w:rsidRDefault="000D45C8" w:rsidP="001D0DAE">
      <w:pPr>
        <w:spacing w:before="240"/>
        <w:rPr>
          <w:rFonts w:eastAsia="Times New Roman" w:cs="Times New Roman"/>
          <w:bCs/>
          <w:szCs w:val="24"/>
          <w:lang w:eastAsia="pt-BR"/>
        </w:rPr>
      </w:pPr>
      <w:r>
        <w:rPr>
          <w:rFonts w:eastAsia="Times New Roman" w:cs="Times New Roman"/>
          <w:bCs/>
          <w:szCs w:val="24"/>
          <w:lang w:eastAsia="pt-BR"/>
        </w:rPr>
        <w:t>Improcede, pois, o repto recursal.</w:t>
      </w:r>
    </w:p>
    <w:p w:rsidR="001D0DAE" w:rsidRDefault="001D0DAE" w:rsidP="00877419">
      <w:pPr>
        <w:pStyle w:val="PargrafodaLista"/>
        <w:ind w:left="0"/>
        <w:contextualSpacing w:val="0"/>
      </w:pPr>
    </w:p>
    <w:p w:rsidR="001D0DAE" w:rsidRDefault="001D0DAE" w:rsidP="00877419">
      <w:pPr>
        <w:pStyle w:val="PargrafodaLista"/>
        <w:ind w:left="0"/>
        <w:contextualSpacing w:val="0"/>
      </w:pPr>
    </w:p>
    <w:p w:rsidR="00921164" w:rsidRDefault="00921164" w:rsidP="00877419">
      <w:pPr>
        <w:pStyle w:val="PargrafodaLista"/>
        <w:ind w:left="0"/>
        <w:contextualSpacing w:val="0"/>
      </w:pPr>
      <w:proofErr w:type="spellStart"/>
      <w:r>
        <w:t>II.V</w:t>
      </w:r>
      <w:proofErr w:type="spellEnd"/>
      <w:r>
        <w:t xml:space="preserve"> – DA CONCLUSÃO</w:t>
      </w:r>
    </w:p>
    <w:p w:rsidR="00921164" w:rsidRDefault="00AA28DF" w:rsidP="00877419">
      <w:pPr>
        <w:pStyle w:val="PargrafodaLista"/>
        <w:ind w:left="0"/>
        <w:contextualSpacing w:val="0"/>
      </w:pPr>
      <w:r>
        <w:t>Pela conjugação das premissas deduzidas, a conclusão a ser adota</w:t>
      </w:r>
      <w:r w:rsidR="00DC37B4">
        <w:t>da</w:t>
      </w:r>
      <w:r>
        <w:t xml:space="preserve"> consiste </w:t>
      </w:r>
      <w:r w:rsidR="000D45C8">
        <w:t xml:space="preserve">em conhecer e julgar parcialmente provido o recurso para: a) aplicar a atenuante da confissão espontânea, prevista no artigo 65, inciso </w:t>
      </w:r>
      <w:proofErr w:type="spellStart"/>
      <w:r w:rsidR="000D45C8">
        <w:t>III</w:t>
      </w:r>
      <w:proofErr w:type="spellEnd"/>
      <w:r w:rsidR="000D45C8">
        <w:t>, alínea ‘d’, do Código Penal; b) readequar as penas definitivas para 6 (seis) anos de reclusão em regime inicial fechado e 30 (trinta) dias-multa, no valor 1/30 (um trigésimo) de salário-mínimo cada.</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 DECISÃO</w:t>
      </w:r>
      <w:bookmarkEnd w:id="0"/>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D45C8"/>
    <w:rsid w:val="00165C47"/>
    <w:rsid w:val="001D0DAE"/>
    <w:rsid w:val="002523A7"/>
    <w:rsid w:val="00453F07"/>
    <w:rsid w:val="00672942"/>
    <w:rsid w:val="00877419"/>
    <w:rsid w:val="00921164"/>
    <w:rsid w:val="00AA28DF"/>
    <w:rsid w:val="00AE47D1"/>
    <w:rsid w:val="00DA3F32"/>
    <w:rsid w:val="00DC37B4"/>
    <w:rsid w:val="00EF03C5"/>
    <w:rsid w:val="00EF3E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881AC"/>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6E6BFF-327E-4A32-9D68-431614F382E0}"/>
</file>

<file path=customXml/itemProps2.xml><?xml version="1.0" encoding="utf-8"?>
<ds:datastoreItem xmlns:ds="http://schemas.openxmlformats.org/officeDocument/2006/customXml" ds:itemID="{BB1BEA4B-7264-4112-BCDB-67E1CF3D6EBD}"/>
</file>

<file path=customXml/itemProps3.xml><?xml version="1.0" encoding="utf-8"?>
<ds:datastoreItem xmlns:ds="http://schemas.openxmlformats.org/officeDocument/2006/customXml" ds:itemID="{9E004C8F-AE53-4B1B-A39C-18872B7AE2BA}"/>
</file>

<file path=docProps/app.xml><?xml version="1.0" encoding="utf-8"?>
<Properties xmlns="http://schemas.openxmlformats.org/officeDocument/2006/extended-properties" xmlns:vt="http://schemas.openxmlformats.org/officeDocument/2006/docPropsVTypes">
  <Template>Normal</Template>
  <TotalTime>106</TotalTime>
  <Pages>7</Pages>
  <Words>1826</Words>
  <Characters>9863</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5</cp:revision>
  <dcterms:created xsi:type="dcterms:W3CDTF">2024-02-08T17:42:00Z</dcterms:created>
  <dcterms:modified xsi:type="dcterms:W3CDTF">2024-07-04T17:31:00Z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337200</vt:r8>
  </property>
</Properties>
</file>