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288D9" w14:textId="172E3829" w:rsidR="00AE0FEF" w:rsidRDefault="009814B2" w:rsidP="009814B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PROCESSUAL</w:t>
      </w:r>
      <w:r w:rsidR="00AE0FE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PENAL.</w:t>
      </w:r>
      <w:r w:rsidR="00CC5D4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EMBARGOS DE DECLARAÇÃO NOS EMBARGOS DE DECLARAÇÃO. OMISSÃO. PROVAS.</w:t>
      </w:r>
    </w:p>
    <w:p w14:paraId="36B9BAB3" w14:textId="77777777" w:rsidR="009814B2" w:rsidRPr="009814B2" w:rsidRDefault="009814B2" w:rsidP="009814B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744F2AEA" w14:textId="2A467A26" w:rsidR="00C922A8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opostos contra acórdão</w:t>
      </w:r>
      <w:r w:rsidR="00C922A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que </w:t>
      </w:r>
      <w:r w:rsidR="00C922A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rejeitou embargos de declaração, sob alegação de que pronunciamento anterior, oriundo de recurso de apelação, foi omisso em relação ao exame de prova.</w:t>
      </w:r>
    </w:p>
    <w:p w14:paraId="51F8A548" w14:textId="77777777" w:rsidR="00425F96" w:rsidRPr="009814B2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QUESTÃO EM DISCUSSÃO</w:t>
      </w:r>
    </w:p>
    <w:p w14:paraId="4AE9A794" w14:textId="2F064672" w:rsidR="00425F96" w:rsidRPr="009814B2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Avaliação </w:t>
      </w:r>
      <w:r w:rsidR="00C922A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 eventual acometimento de pronunciamento judicial por omissão.</w:t>
      </w:r>
    </w:p>
    <w:p w14:paraId="00CEAC3D" w14:textId="77777777" w:rsidR="00425F96" w:rsidRPr="009814B2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13B260FA" w14:textId="4357C0E5" w:rsidR="00425F96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 omissão sanável pela via dos embargos consiste na ausência de pronunciamento específico sobre prova ou argumento articulado pela parte e influente para desconstituição da decisão, de modo que o julgador não está obrigado a enfrentar cada uma das alegações deduzidas, quando encontrar fundamento suficiente para a conclusão adotada.</w:t>
      </w:r>
    </w:p>
    <w:p w14:paraId="372A3AE5" w14:textId="77777777" w:rsidR="00425F96" w:rsidRPr="009814B2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6A22360F" w14:textId="77777777" w:rsidR="00425F96" w:rsidRPr="008C6321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C632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Recurso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conhecido e rejeitado</w:t>
      </w:r>
      <w:r w:rsidRPr="008C632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3D80D99B" w14:textId="77777777" w:rsidR="00425F96" w:rsidRPr="008C6321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C632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1328E854" w14:textId="41FFCDB0" w:rsidR="00425F96" w:rsidRPr="00425F96" w:rsidRDefault="00425F96" w:rsidP="00425F96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25F9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Jurisprudência: STF. Tribunal Pleno. Relator: Ministro Dias Toffoli. RE 716378 ED-ED. Data de julgamento: 21-06-2021. Data de publicação: 04-08-2021</w:t>
      </w:r>
      <w:r w:rsidRPr="00425F96">
        <w:rPr>
          <w:rFonts w:ascii="Times New Roman" w:hAnsi="Times New Roman" w:cs="Times New Roman"/>
          <w:b/>
          <w:sz w:val="24"/>
          <w:szCs w:val="24"/>
        </w:rPr>
        <w:t>.</w:t>
      </w:r>
    </w:p>
    <w:p w14:paraId="236589E7" w14:textId="77D6BB9A" w:rsidR="00425F96" w:rsidRPr="00425F96" w:rsidRDefault="00425F96" w:rsidP="00425F9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25F9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Legislação: </w:t>
      </w:r>
      <w:r w:rsidRPr="00425F9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CPP, art. 619.</w:t>
      </w:r>
    </w:p>
    <w:p w14:paraId="1624D6D3" w14:textId="77777777" w:rsidR="003B44F2" w:rsidRPr="00B400E7" w:rsidRDefault="003B44F2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702E0484" w14:textId="29A4324B" w:rsidR="00D74F23" w:rsidRPr="00B400E7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4C40EF27" w14:textId="5324AAEF" w:rsidR="005337B7" w:rsidRDefault="003B44F2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sz w:val="24"/>
          <w:szCs w:val="24"/>
          <w:lang w:eastAsia="pt-BR"/>
        </w:rPr>
        <w:t>Cuida-se de recurso de</w:t>
      </w:r>
      <w:r w:rsidR="00C92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embargos de declaração opostos p</w:t>
      </w:r>
      <w:r w:rsidR="005337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elo Ministério Público do Estado do Paraná em face de Arthur </w:t>
      </w:r>
      <w:proofErr w:type="spellStart"/>
      <w:r w:rsidR="005337B7">
        <w:rPr>
          <w:rFonts w:ascii="Times New Roman" w:eastAsia="Times New Roman" w:hAnsi="Times New Roman" w:cs="Times New Roman"/>
          <w:sz w:val="24"/>
          <w:szCs w:val="24"/>
          <w:lang w:eastAsia="pt-BR"/>
        </w:rPr>
        <w:t>Chaian</w:t>
      </w:r>
      <w:proofErr w:type="spellEnd"/>
      <w:r w:rsidR="005337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Oliveira e João Pedro de Lima Pinto, tendo como objeto acórdão proferido pela 5ª Câmara Criminal do Tribunal de Justiça do Estado do Paraná em embargos de declaração (evento 32.1 – ED).</w:t>
      </w:r>
    </w:p>
    <w:p w14:paraId="05573E5F" w14:textId="38221641" w:rsidR="00C922A8" w:rsidRDefault="005337B7" w:rsidP="00C922A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Eis, em síntese, as razões de inconformismo</w:t>
      </w:r>
      <w:r w:rsidR="00C922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a) no julgamento dos embargos anteriores, não foi solucionada a omissão decorrente do recurso de apelação, </w:t>
      </w:r>
      <w:r w:rsidR="00C643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consistente na ausência de pronunciamento sobre prova relevante para o </w:t>
      </w:r>
      <w:proofErr w:type="spellStart"/>
      <w:r w:rsidR="00C64381">
        <w:rPr>
          <w:rFonts w:ascii="Times New Roman" w:eastAsia="Times New Roman" w:hAnsi="Times New Roman" w:cs="Times New Roman"/>
          <w:sz w:val="24"/>
          <w:szCs w:val="24"/>
          <w:lang w:eastAsia="pt-BR"/>
        </w:rPr>
        <w:t>descortinamento</w:t>
      </w:r>
      <w:proofErr w:type="spellEnd"/>
      <w:r w:rsidR="00C643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fatos;</w:t>
      </w:r>
      <w:r w:rsidR="00C922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64381">
        <w:rPr>
          <w:rFonts w:ascii="Times New Roman" w:eastAsia="Times New Roman" w:hAnsi="Times New Roman" w:cs="Times New Roman"/>
          <w:sz w:val="24"/>
          <w:szCs w:val="24"/>
          <w:lang w:eastAsia="pt-BR"/>
        </w:rPr>
        <w:t>b) tal omissão deve ser apreciada para que haja adequada fundamentação do julgado (evento 1.1).</w:t>
      </w:r>
    </w:p>
    <w:p w14:paraId="501CF82F" w14:textId="4B5181F1" w:rsidR="00C922A8" w:rsidRDefault="00C922A8" w:rsidP="00C922A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Nas contrarrazões, os embargados se manifestaram pelo não conhecimento do recurso (evento 10.1).</w:t>
      </w:r>
    </w:p>
    <w:p w14:paraId="120EB578" w14:textId="2159328F" w:rsidR="00877694" w:rsidRPr="00B400E7" w:rsidRDefault="00877694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sz w:val="24"/>
          <w:szCs w:val="24"/>
          <w:lang w:eastAsia="pt-BR"/>
        </w:rPr>
        <w:t>É o necessário relato.</w:t>
      </w:r>
    </w:p>
    <w:p w14:paraId="2C4E3AC5" w14:textId="77777777" w:rsidR="003B44F2" w:rsidRPr="00B400E7" w:rsidRDefault="003B44F2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3E7BDA" w14:textId="590F2764" w:rsidR="00D74F23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 – VOTO E SUA FUNDAMENTAÇÃO</w:t>
      </w:r>
    </w:p>
    <w:p w14:paraId="3566FB40" w14:textId="1A37DCA1" w:rsidR="00C727D6" w:rsidRPr="00C727D6" w:rsidRDefault="00C727D6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proofErr w:type="spellEnd"/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D30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74151B96" w14:textId="3FD4D21B" w:rsidR="00C727D6" w:rsidRDefault="00BD302E" w:rsidP="00C727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 os pressupostos de admissibilidade recursal, conhecem-se dos embargos de declaração opostos.</w:t>
      </w:r>
    </w:p>
    <w:p w14:paraId="696CC87A" w14:textId="0D53E7B0" w:rsidR="00C727D6" w:rsidRDefault="00C727D6" w:rsidP="00C727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76C865" w14:textId="76BB2728" w:rsidR="005E3E78" w:rsidRDefault="00C727D6" w:rsidP="006207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="00620786">
        <w:rPr>
          <w:rFonts w:ascii="Times New Roman" w:eastAsia="Times New Roman" w:hAnsi="Times New Roman" w:cs="Times New Roman"/>
          <w:sz w:val="24"/>
          <w:szCs w:val="24"/>
          <w:lang w:eastAsia="pt-BR"/>
        </w:rPr>
        <w:t>DA OMISSÃO</w:t>
      </w:r>
    </w:p>
    <w:p w14:paraId="620C4B22" w14:textId="469069D8" w:rsidR="0014209F" w:rsidRDefault="0014209F" w:rsidP="0014209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09F">
        <w:rPr>
          <w:rFonts w:ascii="Times New Roman" w:eastAsia="Times New Roman" w:hAnsi="Times New Roman" w:cs="Times New Roman"/>
          <w:sz w:val="24"/>
          <w:szCs w:val="24"/>
          <w:lang w:eastAsia="pt-BR"/>
        </w:rPr>
        <w:t>Os embargos de declaração, como recurso de integração e esclarecimento, destinam-se a suprir omissões, contradições, obscuridades ou erros materiais existentes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pronunciamento judicial, conforme expressa previsão do artigo</w:t>
      </w:r>
      <w:r w:rsidRPr="001420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619 do Código de Processo Penal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B3AE88" w14:textId="65F98122" w:rsidR="0014209F" w:rsidRDefault="0014209F" w:rsidP="0014209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0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efeito, a omissão sanável pela via dos embargos de declaração traduz-se na ausência de pronunciamento sobre tese ou prova capaz de infirmar a conclusão adotada no julgado. Não se exige, contudo, que o julgador se manifeste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sobre cada elemento de prova disposto nos autos, bastando que sua conclusão derive, logicamente, das premissas decisórias constitutivas da decisão, segundo exame dos argumentos e provas relevantes para a conformação da conclusão jurídica adotada.</w:t>
      </w:r>
    </w:p>
    <w:p w14:paraId="73339C34" w14:textId="77777777" w:rsidR="00425F96" w:rsidRDefault="0014209F" w:rsidP="0014209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09F">
        <w:rPr>
          <w:rFonts w:ascii="Times New Roman" w:eastAsia="Times New Roman" w:hAnsi="Times New Roman" w:cs="Times New Roman"/>
          <w:sz w:val="24"/>
          <w:szCs w:val="24"/>
          <w:lang w:eastAsia="pt-BR"/>
        </w:rPr>
        <w:t>A conclusão negativa sobre a prova não configura, portanto, omissão, mas expressão da análise probatória levada a efeito na proposta de voto.</w:t>
      </w:r>
    </w:p>
    <w:p w14:paraId="7638AA81" w14:textId="70107E34" w:rsidR="00425F96" w:rsidRDefault="0014209F" w:rsidP="0014209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09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sentido</w:t>
      </w:r>
      <w:r w:rsidR="00425F9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CE04603" w14:textId="77777777" w:rsidR="0014209F" w:rsidRDefault="0014209F" w:rsidP="0014209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9361FDD" w14:textId="278334D0" w:rsidR="00425F96" w:rsidRDefault="00425F96" w:rsidP="00425F96">
      <w:pPr>
        <w:spacing w:after="24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25F9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Embargos de declaração em embargos de declaração em recurso extraordinário. Recurso paradigma do Tema nº 545 da Repercussão Geral (extensão da estabilidade excepcional do art. 19 do ADCT a empregados de fundação privada). Empregado da Fundação Padre Anchieta. Inexistência de vícios a serem sanados. Questões devidamente apreciadas no acórdão embargado. Pretensão de rediscussão da causa. Embargos declaratórios dos quais não se conhece. Precedentes. Caráter protelatório. Multa. 1) Não estão configurados, </w:t>
      </w:r>
      <w:r w:rsidRPr="00425F96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in </w:t>
      </w:r>
      <w:proofErr w:type="spellStart"/>
      <w:r w:rsidRPr="00425F96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casu</w:t>
      </w:r>
      <w:proofErr w:type="spellEnd"/>
      <w:r w:rsidRPr="00425F9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os vícios do art. 1.022 do Código de Processo Civil (Lei nº 13.105/15), porquanto não há omissão, contradição, obscuridade ou erro material a serem sanados nesta via procedimental. 2) As questões trazidas nos declaratórios foram apreciadas de forma clara e fundamentada no acórdão embargado, não sendo cabíveis os embargos opostos com a mera pretensão infringente, o que denota seu caráter protelatório, ensejando a aplicação de multa processual. </w:t>
      </w:r>
      <w:r w:rsidRPr="00425F9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3) Na linha da remansosa jurisprudência deste Tribunal, o órgão julgador não está obrigado a responder todas as alegações das partes nem a responder cada um de seus argumentos quando já encontrou motivo suficiente para fundamentar sua decisão. Precedentes.</w:t>
      </w:r>
      <w:r w:rsidRPr="00425F9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4) Não conhecimento dos embargos de declaração, com aplicação da multa prevista no art. 1.026, § 2º, do CPC.</w:t>
      </w:r>
      <w:r w:rsidRPr="00425F9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25F96">
        <w:rPr>
          <w:rFonts w:ascii="Times New Roman" w:eastAsia="Times New Roman" w:hAnsi="Times New Roman" w:cs="Times New Roman"/>
          <w:sz w:val="20"/>
          <w:szCs w:val="20"/>
          <w:lang w:eastAsia="pt-BR"/>
        </w:rPr>
        <w:t>(</w:t>
      </w:r>
      <w:r w:rsidRPr="00425F96">
        <w:rPr>
          <w:rFonts w:ascii="Times New Roman" w:eastAsia="Times New Roman" w:hAnsi="Times New Roman" w:cs="Times New Roman"/>
          <w:sz w:val="20"/>
          <w:szCs w:val="20"/>
          <w:lang w:eastAsia="pt-BR"/>
        </w:rPr>
        <w:t>STF.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Tribunal Pleno. Relator: Ministro Dias Toffoli. </w:t>
      </w:r>
      <w:r w:rsidRPr="00425F96">
        <w:rPr>
          <w:rFonts w:ascii="Times New Roman" w:eastAsia="Times New Roman" w:hAnsi="Times New Roman" w:cs="Times New Roman"/>
          <w:sz w:val="20"/>
          <w:szCs w:val="20"/>
          <w:lang w:eastAsia="pt-BR"/>
        </w:rPr>
        <w:t>RE 716378 ED-ED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. Data de julgamento: 21-06-2021. Data de publicação: 04-08-2021).</w:t>
      </w:r>
    </w:p>
    <w:p w14:paraId="3251C7B5" w14:textId="77777777" w:rsidR="00425F96" w:rsidRDefault="00425F96" w:rsidP="0014209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B31122" w14:textId="3FA4FF59" w:rsidR="00425F96" w:rsidRDefault="0014209F" w:rsidP="00425F9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0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Ademais, a questão da autoria delitiva foi devidamente analisada por ocasião do julgamento dos embargos de declaração anteriores, </w:t>
      </w:r>
      <w:r w:rsidR="00425F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cuja decisão foi concebida mediante fundamentação plena. Não se cogita, portanto, a projeção da matéria para novo recurso semelhante, </w:t>
      </w:r>
      <w:r w:rsidRPr="001420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 pena de se perpetuar indefinidamente </w:t>
      </w:r>
      <w:r w:rsidR="00425F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mesma </w:t>
      </w:r>
      <w:r w:rsidRPr="0014209F">
        <w:rPr>
          <w:rFonts w:ascii="Times New Roman" w:eastAsia="Times New Roman" w:hAnsi="Times New Roman" w:cs="Times New Roman"/>
          <w:sz w:val="24"/>
          <w:szCs w:val="24"/>
          <w:lang w:eastAsia="pt-BR"/>
        </w:rPr>
        <w:t>a discussão</w:t>
      </w:r>
      <w:r w:rsidR="00425F9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28F6092" w14:textId="15738AD2" w:rsidR="0014209F" w:rsidRDefault="00425F96" w:rsidP="006207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Ausente, portanto, propósito de colmatação do acórdão objurgado, o recurso deve ser rejeitado.</w:t>
      </w:r>
    </w:p>
    <w:p w14:paraId="262331BB" w14:textId="77777777" w:rsidR="0014209F" w:rsidRDefault="0014209F" w:rsidP="006207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0114577" w14:textId="7CAC3F44" w:rsidR="00620786" w:rsidRDefault="00620786" w:rsidP="006207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DA CONCLUSÃO</w:t>
      </w:r>
    </w:p>
    <w:p w14:paraId="77041EB1" w14:textId="462FE998" w:rsidR="00ED3EC0" w:rsidRDefault="00ED3EC0" w:rsidP="006207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Pela conjugação das premissas alinhavadas, a conclusão a ser adotada consiste em conhecer e </w:t>
      </w:r>
      <w:r w:rsidR="00F5102A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embargos.</w:t>
      </w:r>
    </w:p>
    <w:p w14:paraId="06439E3A" w14:textId="22721701" w:rsidR="00ED3EC0" w:rsidRDefault="00ED3EC0" w:rsidP="006207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78EA8AC2" w14:textId="77777777" w:rsidR="003B44F2" w:rsidRPr="00B400E7" w:rsidRDefault="003B44F2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D7B7D0" w14:textId="11B9666A" w:rsidR="00D74F23" w:rsidRDefault="005665F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III – </w:t>
      </w:r>
      <w:r w:rsidR="00D74F23" w:rsidRPr="00C8503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DECISÃO</w:t>
      </w:r>
    </w:p>
    <w:sectPr w:rsidR="00D74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0D758B" w14:textId="77777777" w:rsidR="006B640D" w:rsidRDefault="006B640D" w:rsidP="00647C71">
      <w:pPr>
        <w:spacing w:after="0" w:line="240" w:lineRule="auto"/>
      </w:pPr>
      <w:r>
        <w:separator/>
      </w:r>
    </w:p>
  </w:endnote>
  <w:endnote w:type="continuationSeparator" w:id="0">
    <w:p w14:paraId="5752BC7A" w14:textId="77777777" w:rsidR="006B640D" w:rsidRDefault="006B640D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FF278" w14:textId="77777777" w:rsidR="006B640D" w:rsidRDefault="006B640D" w:rsidP="00647C71">
      <w:pPr>
        <w:spacing w:after="0" w:line="240" w:lineRule="auto"/>
      </w:pPr>
      <w:r>
        <w:separator/>
      </w:r>
    </w:p>
  </w:footnote>
  <w:footnote w:type="continuationSeparator" w:id="0">
    <w:p w14:paraId="563366FA" w14:textId="77777777" w:rsidR="006B640D" w:rsidRDefault="006B640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7C57"/>
    <w:rsid w:val="00010D7D"/>
    <w:rsid w:val="000160BD"/>
    <w:rsid w:val="000167D1"/>
    <w:rsid w:val="00020043"/>
    <w:rsid w:val="00022B72"/>
    <w:rsid w:val="00026881"/>
    <w:rsid w:val="000306E0"/>
    <w:rsid w:val="00032A45"/>
    <w:rsid w:val="000374DD"/>
    <w:rsid w:val="0004000E"/>
    <w:rsid w:val="00046137"/>
    <w:rsid w:val="00051782"/>
    <w:rsid w:val="000536CB"/>
    <w:rsid w:val="000574CD"/>
    <w:rsid w:val="000578C0"/>
    <w:rsid w:val="0006301E"/>
    <w:rsid w:val="0006738E"/>
    <w:rsid w:val="00070921"/>
    <w:rsid w:val="00074A6B"/>
    <w:rsid w:val="000753E6"/>
    <w:rsid w:val="00075CD3"/>
    <w:rsid w:val="000771EB"/>
    <w:rsid w:val="00082633"/>
    <w:rsid w:val="000A1580"/>
    <w:rsid w:val="000A1845"/>
    <w:rsid w:val="000A2939"/>
    <w:rsid w:val="000A50E5"/>
    <w:rsid w:val="000B0707"/>
    <w:rsid w:val="000B081D"/>
    <w:rsid w:val="000B0F0C"/>
    <w:rsid w:val="000B1A3F"/>
    <w:rsid w:val="000B5F0E"/>
    <w:rsid w:val="000C15F3"/>
    <w:rsid w:val="000C6FB3"/>
    <w:rsid w:val="000D324F"/>
    <w:rsid w:val="000D49BF"/>
    <w:rsid w:val="000D5CD1"/>
    <w:rsid w:val="000D62A2"/>
    <w:rsid w:val="000E2F5C"/>
    <w:rsid w:val="000E3D0A"/>
    <w:rsid w:val="000F1C40"/>
    <w:rsid w:val="000F2C6A"/>
    <w:rsid w:val="00101E92"/>
    <w:rsid w:val="0012195B"/>
    <w:rsid w:val="0012372F"/>
    <w:rsid w:val="00126C21"/>
    <w:rsid w:val="001302DC"/>
    <w:rsid w:val="0014209F"/>
    <w:rsid w:val="001441FD"/>
    <w:rsid w:val="00144B56"/>
    <w:rsid w:val="001505AA"/>
    <w:rsid w:val="00151BE6"/>
    <w:rsid w:val="001539AF"/>
    <w:rsid w:val="00153CFF"/>
    <w:rsid w:val="00156C0C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C39D3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F44"/>
    <w:rsid w:val="002275AF"/>
    <w:rsid w:val="0023019E"/>
    <w:rsid w:val="002372A2"/>
    <w:rsid w:val="002438A8"/>
    <w:rsid w:val="00250B16"/>
    <w:rsid w:val="00250CAB"/>
    <w:rsid w:val="00251BE7"/>
    <w:rsid w:val="00260675"/>
    <w:rsid w:val="002665C0"/>
    <w:rsid w:val="002703E3"/>
    <w:rsid w:val="0027299B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62E9"/>
    <w:rsid w:val="002D03B9"/>
    <w:rsid w:val="002D2306"/>
    <w:rsid w:val="002D2AC8"/>
    <w:rsid w:val="002D4EB8"/>
    <w:rsid w:val="002D4FAD"/>
    <w:rsid w:val="002D651A"/>
    <w:rsid w:val="002E41AA"/>
    <w:rsid w:val="002E64B7"/>
    <w:rsid w:val="002E7B89"/>
    <w:rsid w:val="002F0485"/>
    <w:rsid w:val="002F35CF"/>
    <w:rsid w:val="002F37D9"/>
    <w:rsid w:val="002F78A8"/>
    <w:rsid w:val="00304E90"/>
    <w:rsid w:val="00305348"/>
    <w:rsid w:val="00305698"/>
    <w:rsid w:val="0032286D"/>
    <w:rsid w:val="00323689"/>
    <w:rsid w:val="00331431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82463"/>
    <w:rsid w:val="003A43F7"/>
    <w:rsid w:val="003B44F2"/>
    <w:rsid w:val="003B513B"/>
    <w:rsid w:val="003C7E9F"/>
    <w:rsid w:val="003E0B11"/>
    <w:rsid w:val="003F517F"/>
    <w:rsid w:val="00406FD8"/>
    <w:rsid w:val="00412E7C"/>
    <w:rsid w:val="00415A21"/>
    <w:rsid w:val="004178DE"/>
    <w:rsid w:val="00425F96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475D"/>
    <w:rsid w:val="0046793C"/>
    <w:rsid w:val="00471D31"/>
    <w:rsid w:val="00481F56"/>
    <w:rsid w:val="0048354C"/>
    <w:rsid w:val="00483D1A"/>
    <w:rsid w:val="00483F6A"/>
    <w:rsid w:val="004848C3"/>
    <w:rsid w:val="00493D6A"/>
    <w:rsid w:val="00497A76"/>
    <w:rsid w:val="004A155F"/>
    <w:rsid w:val="004A2186"/>
    <w:rsid w:val="004A7651"/>
    <w:rsid w:val="004B3805"/>
    <w:rsid w:val="004C0C0E"/>
    <w:rsid w:val="004C3883"/>
    <w:rsid w:val="004C5BD8"/>
    <w:rsid w:val="004C6221"/>
    <w:rsid w:val="004C6EFE"/>
    <w:rsid w:val="004D3620"/>
    <w:rsid w:val="004D7A88"/>
    <w:rsid w:val="004E1BC4"/>
    <w:rsid w:val="004E388C"/>
    <w:rsid w:val="004F0B40"/>
    <w:rsid w:val="004F1087"/>
    <w:rsid w:val="004F3F82"/>
    <w:rsid w:val="00502B69"/>
    <w:rsid w:val="005071BC"/>
    <w:rsid w:val="00515AF4"/>
    <w:rsid w:val="005215A8"/>
    <w:rsid w:val="00527F2B"/>
    <w:rsid w:val="00531EC3"/>
    <w:rsid w:val="005337B7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C4F6A"/>
    <w:rsid w:val="005D1A25"/>
    <w:rsid w:val="005D255C"/>
    <w:rsid w:val="005D3C95"/>
    <w:rsid w:val="005D4C96"/>
    <w:rsid w:val="005D737F"/>
    <w:rsid w:val="005E0749"/>
    <w:rsid w:val="005E2A5E"/>
    <w:rsid w:val="005E3E78"/>
    <w:rsid w:val="005F005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1AEE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6719E"/>
    <w:rsid w:val="00667279"/>
    <w:rsid w:val="006675EA"/>
    <w:rsid w:val="006744B1"/>
    <w:rsid w:val="00680312"/>
    <w:rsid w:val="00684A0B"/>
    <w:rsid w:val="00684EE9"/>
    <w:rsid w:val="00687C34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E0A2B"/>
    <w:rsid w:val="006E2A57"/>
    <w:rsid w:val="006F0765"/>
    <w:rsid w:val="006F2E12"/>
    <w:rsid w:val="006F506E"/>
    <w:rsid w:val="006F602A"/>
    <w:rsid w:val="0071296A"/>
    <w:rsid w:val="00714712"/>
    <w:rsid w:val="00716788"/>
    <w:rsid w:val="007167E9"/>
    <w:rsid w:val="00731D9C"/>
    <w:rsid w:val="00746866"/>
    <w:rsid w:val="00747416"/>
    <w:rsid w:val="00750F91"/>
    <w:rsid w:val="0075231D"/>
    <w:rsid w:val="00754F02"/>
    <w:rsid w:val="00757A34"/>
    <w:rsid w:val="007600A0"/>
    <w:rsid w:val="00762104"/>
    <w:rsid w:val="00763A34"/>
    <w:rsid w:val="007641DC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4062"/>
    <w:rsid w:val="00794F4C"/>
    <w:rsid w:val="007958D6"/>
    <w:rsid w:val="00797963"/>
    <w:rsid w:val="00797E63"/>
    <w:rsid w:val="007A2BB1"/>
    <w:rsid w:val="007A6999"/>
    <w:rsid w:val="007B44ED"/>
    <w:rsid w:val="007B463B"/>
    <w:rsid w:val="007B696B"/>
    <w:rsid w:val="007C1F7F"/>
    <w:rsid w:val="007C263E"/>
    <w:rsid w:val="007C3C5D"/>
    <w:rsid w:val="007C7CFA"/>
    <w:rsid w:val="007C7DEF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6C8D"/>
    <w:rsid w:val="008008BD"/>
    <w:rsid w:val="00803B89"/>
    <w:rsid w:val="0082036F"/>
    <w:rsid w:val="00821DB8"/>
    <w:rsid w:val="0082604B"/>
    <w:rsid w:val="0083227E"/>
    <w:rsid w:val="0083446D"/>
    <w:rsid w:val="00843609"/>
    <w:rsid w:val="00846227"/>
    <w:rsid w:val="0085367E"/>
    <w:rsid w:val="00854F1E"/>
    <w:rsid w:val="00855843"/>
    <w:rsid w:val="00862931"/>
    <w:rsid w:val="00862ADB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A2F16"/>
    <w:rsid w:val="008A363C"/>
    <w:rsid w:val="008B57C8"/>
    <w:rsid w:val="008C2594"/>
    <w:rsid w:val="008D0E03"/>
    <w:rsid w:val="008D21E1"/>
    <w:rsid w:val="008E30EE"/>
    <w:rsid w:val="008E6ECB"/>
    <w:rsid w:val="008E7B18"/>
    <w:rsid w:val="008F791B"/>
    <w:rsid w:val="009115F7"/>
    <w:rsid w:val="0091352F"/>
    <w:rsid w:val="00916955"/>
    <w:rsid w:val="00920F60"/>
    <w:rsid w:val="0092399A"/>
    <w:rsid w:val="00934110"/>
    <w:rsid w:val="009377B3"/>
    <w:rsid w:val="00941715"/>
    <w:rsid w:val="00944BFD"/>
    <w:rsid w:val="009518A8"/>
    <w:rsid w:val="00953A10"/>
    <w:rsid w:val="00956B72"/>
    <w:rsid w:val="00960A02"/>
    <w:rsid w:val="009814B2"/>
    <w:rsid w:val="00987CDE"/>
    <w:rsid w:val="00993B58"/>
    <w:rsid w:val="00996120"/>
    <w:rsid w:val="009A14FE"/>
    <w:rsid w:val="009B0B3A"/>
    <w:rsid w:val="009B0C6D"/>
    <w:rsid w:val="009B216A"/>
    <w:rsid w:val="009B2960"/>
    <w:rsid w:val="009B297F"/>
    <w:rsid w:val="009C1118"/>
    <w:rsid w:val="009C7E28"/>
    <w:rsid w:val="009D3B80"/>
    <w:rsid w:val="009D3FBD"/>
    <w:rsid w:val="009D5071"/>
    <w:rsid w:val="009D51F9"/>
    <w:rsid w:val="009D5D7D"/>
    <w:rsid w:val="009D73E9"/>
    <w:rsid w:val="009E435B"/>
    <w:rsid w:val="009E5F1C"/>
    <w:rsid w:val="009F0509"/>
    <w:rsid w:val="009F2607"/>
    <w:rsid w:val="009F7E37"/>
    <w:rsid w:val="00A01B8C"/>
    <w:rsid w:val="00A0696C"/>
    <w:rsid w:val="00A1339F"/>
    <w:rsid w:val="00A233AA"/>
    <w:rsid w:val="00A35175"/>
    <w:rsid w:val="00A559CE"/>
    <w:rsid w:val="00A6119C"/>
    <w:rsid w:val="00A61BEE"/>
    <w:rsid w:val="00A730B6"/>
    <w:rsid w:val="00A8064C"/>
    <w:rsid w:val="00A82B31"/>
    <w:rsid w:val="00A8725B"/>
    <w:rsid w:val="00A91602"/>
    <w:rsid w:val="00AA12F7"/>
    <w:rsid w:val="00AE0FEF"/>
    <w:rsid w:val="00AE125F"/>
    <w:rsid w:val="00AE29C5"/>
    <w:rsid w:val="00AE36A9"/>
    <w:rsid w:val="00AE4473"/>
    <w:rsid w:val="00AE4AB6"/>
    <w:rsid w:val="00AF4457"/>
    <w:rsid w:val="00AF58A2"/>
    <w:rsid w:val="00AF5D83"/>
    <w:rsid w:val="00B02B99"/>
    <w:rsid w:val="00B04D8D"/>
    <w:rsid w:val="00B06674"/>
    <w:rsid w:val="00B074EB"/>
    <w:rsid w:val="00B11D12"/>
    <w:rsid w:val="00B20524"/>
    <w:rsid w:val="00B22B59"/>
    <w:rsid w:val="00B22EF2"/>
    <w:rsid w:val="00B3324A"/>
    <w:rsid w:val="00B34A84"/>
    <w:rsid w:val="00B400E7"/>
    <w:rsid w:val="00B41453"/>
    <w:rsid w:val="00B46640"/>
    <w:rsid w:val="00B46AF3"/>
    <w:rsid w:val="00B4759A"/>
    <w:rsid w:val="00B54294"/>
    <w:rsid w:val="00B6675D"/>
    <w:rsid w:val="00B70EAC"/>
    <w:rsid w:val="00B7653B"/>
    <w:rsid w:val="00B83B63"/>
    <w:rsid w:val="00B90614"/>
    <w:rsid w:val="00B934AD"/>
    <w:rsid w:val="00B94191"/>
    <w:rsid w:val="00B94949"/>
    <w:rsid w:val="00BA04A0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D302E"/>
    <w:rsid w:val="00BD684A"/>
    <w:rsid w:val="00BF033D"/>
    <w:rsid w:val="00C007C7"/>
    <w:rsid w:val="00C02481"/>
    <w:rsid w:val="00C029A5"/>
    <w:rsid w:val="00C0763E"/>
    <w:rsid w:val="00C112E3"/>
    <w:rsid w:val="00C173E7"/>
    <w:rsid w:val="00C306F2"/>
    <w:rsid w:val="00C31E33"/>
    <w:rsid w:val="00C3291B"/>
    <w:rsid w:val="00C3476D"/>
    <w:rsid w:val="00C41024"/>
    <w:rsid w:val="00C54FEF"/>
    <w:rsid w:val="00C625AB"/>
    <w:rsid w:val="00C64381"/>
    <w:rsid w:val="00C64FA8"/>
    <w:rsid w:val="00C727D6"/>
    <w:rsid w:val="00C74795"/>
    <w:rsid w:val="00C758D5"/>
    <w:rsid w:val="00C764F8"/>
    <w:rsid w:val="00C7769A"/>
    <w:rsid w:val="00C85038"/>
    <w:rsid w:val="00C86FAB"/>
    <w:rsid w:val="00C8735C"/>
    <w:rsid w:val="00C8769D"/>
    <w:rsid w:val="00C922A8"/>
    <w:rsid w:val="00C92849"/>
    <w:rsid w:val="00C97D7A"/>
    <w:rsid w:val="00CA57DF"/>
    <w:rsid w:val="00CB0D85"/>
    <w:rsid w:val="00CB7067"/>
    <w:rsid w:val="00CC2F26"/>
    <w:rsid w:val="00CC5D4B"/>
    <w:rsid w:val="00CC7C6C"/>
    <w:rsid w:val="00CE0AD9"/>
    <w:rsid w:val="00CE54B2"/>
    <w:rsid w:val="00CF18A5"/>
    <w:rsid w:val="00D034E0"/>
    <w:rsid w:val="00D04FB0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548"/>
    <w:rsid w:val="00D44EA3"/>
    <w:rsid w:val="00D47C54"/>
    <w:rsid w:val="00D51523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4BD2"/>
    <w:rsid w:val="00DA5BFF"/>
    <w:rsid w:val="00DA6FF8"/>
    <w:rsid w:val="00DC0E99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3163"/>
    <w:rsid w:val="00E17110"/>
    <w:rsid w:val="00E32EC6"/>
    <w:rsid w:val="00E40C65"/>
    <w:rsid w:val="00E41DC6"/>
    <w:rsid w:val="00E46924"/>
    <w:rsid w:val="00E46F5F"/>
    <w:rsid w:val="00E544D7"/>
    <w:rsid w:val="00E61DDD"/>
    <w:rsid w:val="00E70EA8"/>
    <w:rsid w:val="00E72A00"/>
    <w:rsid w:val="00E73437"/>
    <w:rsid w:val="00E74DCB"/>
    <w:rsid w:val="00E77FEC"/>
    <w:rsid w:val="00E80104"/>
    <w:rsid w:val="00E80A67"/>
    <w:rsid w:val="00E8589C"/>
    <w:rsid w:val="00E86068"/>
    <w:rsid w:val="00E86E75"/>
    <w:rsid w:val="00EA2D26"/>
    <w:rsid w:val="00EA3061"/>
    <w:rsid w:val="00EA4F00"/>
    <w:rsid w:val="00EB4393"/>
    <w:rsid w:val="00EC08E0"/>
    <w:rsid w:val="00EC2C3C"/>
    <w:rsid w:val="00ED366A"/>
    <w:rsid w:val="00ED3EC0"/>
    <w:rsid w:val="00ED3ED7"/>
    <w:rsid w:val="00ED47AD"/>
    <w:rsid w:val="00ED65FE"/>
    <w:rsid w:val="00ED725B"/>
    <w:rsid w:val="00F008F7"/>
    <w:rsid w:val="00F010CE"/>
    <w:rsid w:val="00F017B0"/>
    <w:rsid w:val="00F0477B"/>
    <w:rsid w:val="00F1798B"/>
    <w:rsid w:val="00F205BE"/>
    <w:rsid w:val="00F2142B"/>
    <w:rsid w:val="00F21F1A"/>
    <w:rsid w:val="00F355C7"/>
    <w:rsid w:val="00F4269A"/>
    <w:rsid w:val="00F4476F"/>
    <w:rsid w:val="00F46D67"/>
    <w:rsid w:val="00F50730"/>
    <w:rsid w:val="00F5102A"/>
    <w:rsid w:val="00F56BB2"/>
    <w:rsid w:val="00F60064"/>
    <w:rsid w:val="00F60AB3"/>
    <w:rsid w:val="00F718E9"/>
    <w:rsid w:val="00F933D7"/>
    <w:rsid w:val="00F94657"/>
    <w:rsid w:val="00FA110F"/>
    <w:rsid w:val="00FB1209"/>
    <w:rsid w:val="00FB3400"/>
    <w:rsid w:val="00FB4645"/>
    <w:rsid w:val="00FB646C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0" ma:contentTypeDescription="Crie um novo documento." ma:contentTypeScope="" ma:versionID="3cc68c9615475231b1d84f77667dd3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76F620-B0A9-4B9F-9483-6CC7006C5AB1}"/>
</file>

<file path=customXml/itemProps3.xml><?xml version="1.0" encoding="utf-8"?>
<ds:datastoreItem xmlns:ds="http://schemas.openxmlformats.org/officeDocument/2006/customXml" ds:itemID="{A4AC29BD-2729-4B2A-AD1E-9D721BCFA82C}"/>
</file>

<file path=customXml/itemProps4.xml><?xml version="1.0" encoding="utf-8"?>
<ds:datastoreItem xmlns:ds="http://schemas.openxmlformats.org/officeDocument/2006/customXml" ds:itemID="{8A9F78B0-20F0-465C-AF96-BFD5C813B3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1</Pages>
  <Words>775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23</cp:revision>
  <cp:lastPrinted>2023-02-01T16:46:00Z</cp:lastPrinted>
  <dcterms:created xsi:type="dcterms:W3CDTF">2023-06-15T19:39:00Z</dcterms:created>
  <dcterms:modified xsi:type="dcterms:W3CDTF">2024-11-13T19:49:00Z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337400</vt:r8>
  </property>
</Properties>
</file>