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55DE" w:rsidRDefault="004D55DE" w:rsidP="004D55DE">
      <w:pPr>
        <w:pStyle w:val="PargrafodaLista"/>
        <w:ind w:left="0" w:firstLine="0"/>
        <w:contextualSpacing w:val="0"/>
        <w:rPr>
          <w:b/>
          <w:szCs w:val="24"/>
        </w:rPr>
      </w:pPr>
      <w:r w:rsidRPr="00113294">
        <w:rPr>
          <w:b/>
          <w:szCs w:val="24"/>
        </w:rPr>
        <w:t>PENAL. PROC</w:t>
      </w:r>
      <w:r>
        <w:rPr>
          <w:b/>
          <w:szCs w:val="24"/>
        </w:rPr>
        <w:t xml:space="preserve">ESSUAL PENAL. REVISÃO CRIMINAL. </w:t>
      </w:r>
      <w:r w:rsidR="00DB39FC">
        <w:rPr>
          <w:b/>
          <w:szCs w:val="24"/>
        </w:rPr>
        <w:t xml:space="preserve">CRIMES DE TRÁFICO E ASSOCIAÇÃO PARA O TRÁFICO DE SUBSTÂNCIA ENTORPECENTE. </w:t>
      </w:r>
      <w:proofErr w:type="spellStart"/>
      <w:r w:rsidR="00DB39FC">
        <w:rPr>
          <w:b/>
          <w:szCs w:val="24"/>
        </w:rPr>
        <w:t>ARTS</w:t>
      </w:r>
      <w:proofErr w:type="spellEnd"/>
      <w:r w:rsidR="00DB39FC">
        <w:rPr>
          <w:b/>
          <w:szCs w:val="24"/>
        </w:rPr>
        <w:t xml:space="preserve">. 33 E 35 DA LEI 11.343 DE 2006. </w:t>
      </w:r>
      <w:r>
        <w:rPr>
          <w:b/>
          <w:szCs w:val="24"/>
        </w:rPr>
        <w:t>INEQUÍVOCA PRETENSÃO DE REEXAME DE FATOS E PROVAS. AUSÊNCIA DE CONTRARIEDADE À EVIDÊNCIA DOS AUTOS. ELEMENTOS DE PROVA INDICATIVOS DA OCORRÊNCIA DELITIVA. PRECEDENTES. REVISÃO CRIMINAL NÃO ADMITIDA.</w:t>
      </w:r>
    </w:p>
    <w:p w:rsidR="004D55DE" w:rsidRDefault="004D55DE" w:rsidP="004D55DE">
      <w:pPr>
        <w:ind w:firstLine="0"/>
        <w:rPr>
          <w:b/>
          <w:szCs w:val="24"/>
        </w:rPr>
      </w:pPr>
      <w:r w:rsidRPr="00113294">
        <w:rPr>
          <w:b/>
          <w:szCs w:val="24"/>
        </w:rPr>
        <w:t xml:space="preserve">1. </w:t>
      </w:r>
      <w:r>
        <w:rPr>
          <w:b/>
          <w:szCs w:val="24"/>
        </w:rPr>
        <w:t>A pretensão de revisão do conjunto fático-probatório, travestida de contrariedade da condenação em relação à prova dos autos, não configura admissão da ação de revisão criminal. Inteligência do artigo 621, inciso I, do Código de Processo Penal.</w:t>
      </w:r>
    </w:p>
    <w:p w:rsidR="004D55DE" w:rsidRPr="00166B00" w:rsidRDefault="004D55DE" w:rsidP="004D55DE">
      <w:pPr>
        <w:ind w:firstLine="0"/>
        <w:rPr>
          <w:b/>
          <w:szCs w:val="24"/>
        </w:rPr>
      </w:pPr>
      <w:r w:rsidRPr="00113294">
        <w:rPr>
          <w:b/>
          <w:szCs w:val="24"/>
        </w:rPr>
        <w:t>2. Revisão criminal não admitida.</w:t>
      </w:r>
    </w:p>
    <w:p w:rsidR="00AA28DF" w:rsidRDefault="00AA28DF" w:rsidP="00AA28DF">
      <w:pPr>
        <w:pStyle w:val="PargrafodaLista"/>
        <w:ind w:left="0"/>
        <w:contextualSpacing w:val="0"/>
        <w:rPr>
          <w:b/>
        </w:rPr>
      </w:pPr>
    </w:p>
    <w:p w:rsidR="00AA28DF" w:rsidRDefault="00AA28DF" w:rsidP="00AA28DF">
      <w:pPr>
        <w:pStyle w:val="PargrafodaLista"/>
        <w:ind w:left="0"/>
        <w:contextualSpacing w:val="0"/>
        <w:rPr>
          <w:b/>
        </w:rPr>
      </w:pPr>
      <w:r>
        <w:rPr>
          <w:b/>
        </w:rPr>
        <w:t>I – RELATÓRIO</w:t>
      </w:r>
    </w:p>
    <w:p w:rsidR="004D55DE" w:rsidRDefault="00AA28DF" w:rsidP="00AA28DF">
      <w:pPr>
        <w:pStyle w:val="PargrafodaLista"/>
        <w:ind w:left="0"/>
        <w:contextualSpacing w:val="0"/>
      </w:pPr>
      <w:r>
        <w:t>Cuida-se de</w:t>
      </w:r>
      <w:r w:rsidR="004D55DE">
        <w:t xml:space="preserve"> revisão criminal ajuizada por Marcelo Augusto da Silva, tendo por objeto sentença proferida pelo juízo da 2ª Vara Criminal de Arapongas, confirmada por acórdão 4ª Câmara Criminal do Tribunal de Justiça do Estado do Paraná, que o condenou, pela prática dos crimes previstos nos artigos 33 e 35 da Lei 11.343 de 2006 às penas de 10 (dez) anos e 1 (um) mês de reclusão e 1.534 (mil quinhentos e trinta e quatro) dias-multa, em regime inicial fechado (evento 863.1 – autos de origem).</w:t>
      </w:r>
    </w:p>
    <w:p w:rsidR="004D55DE" w:rsidRDefault="004D55DE" w:rsidP="004D55DE">
      <w:pPr>
        <w:pStyle w:val="PargrafodaLista"/>
        <w:ind w:left="0"/>
        <w:contextualSpacing w:val="0"/>
      </w:pPr>
      <w:r>
        <w:t xml:space="preserve">Argumenta o requerente, em apertada síntese, que a condenação é contrária à prova dos autos, </w:t>
      </w:r>
      <w:r>
        <w:t>vez que a ausência de apreensão de substâncias entorpecentes impossibilitaria a configuração da materialidade do crime de tráfico (evento 1.1).</w:t>
      </w:r>
    </w:p>
    <w:p w:rsidR="004D55DE" w:rsidRDefault="004D55DE" w:rsidP="004D55DE">
      <w:pPr>
        <w:pStyle w:val="PargrafodaLista"/>
        <w:ind w:left="0"/>
        <w:contextualSpacing w:val="0"/>
      </w:pPr>
      <w:r>
        <w:t>Indeferiu-se o pedido liminar de declaração absolutória, ante a necessidade de ultimação do procedimento o recursal como pressuposto jurídico à concepção do pronunciamento pretendido (evento 10.1).</w:t>
      </w:r>
    </w:p>
    <w:p w:rsidR="004D55DE" w:rsidRDefault="004D55DE" w:rsidP="004D55DE">
      <w:pPr>
        <w:pStyle w:val="PargrafodaLista"/>
        <w:ind w:left="0"/>
        <w:contextualSpacing w:val="0"/>
      </w:pPr>
      <w:r>
        <w:t xml:space="preserve">Opinou a Procuradoria-Geral de Justiça </w:t>
      </w:r>
      <w:r>
        <w:t xml:space="preserve">pelo conhecido e integral desprovimento da revisão criminal </w:t>
      </w:r>
      <w:r>
        <w:t xml:space="preserve">(evento </w:t>
      </w:r>
      <w:r>
        <w:t>16</w:t>
      </w:r>
      <w:r>
        <w:t>.1).</w:t>
      </w:r>
    </w:p>
    <w:p w:rsidR="004D55DE" w:rsidRDefault="004D55DE" w:rsidP="004D55DE">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bookmarkStart w:id="0" w:name="_GoBack"/>
      <w:r w:rsidRPr="00AA28DF">
        <w:rPr>
          <w:b/>
        </w:rPr>
        <w:t>II – VOTO E SUA FUNDAMENTAÇÃO</w:t>
      </w:r>
    </w:p>
    <w:p w:rsidR="004D55DE" w:rsidRDefault="004D55DE" w:rsidP="004D55DE">
      <w:pPr>
        <w:pStyle w:val="PargrafodaLista"/>
        <w:ind w:left="0"/>
        <w:contextualSpacing w:val="0"/>
      </w:pPr>
      <w:proofErr w:type="spellStart"/>
      <w:r>
        <w:t>II.I</w:t>
      </w:r>
      <w:proofErr w:type="spellEnd"/>
      <w:r>
        <w:t xml:space="preserve"> – DO JUÍZO DE ADMISSIBILIDADE</w:t>
      </w:r>
    </w:p>
    <w:p w:rsidR="004D55DE" w:rsidRDefault="004D55DE" w:rsidP="004D55DE">
      <w:pPr>
        <w:pStyle w:val="PargrafodaLista"/>
        <w:ind w:left="0"/>
        <w:contextualSpacing w:val="0"/>
      </w:pPr>
      <w:r>
        <w:t>Cinge-se o objeto da demanda à arguição de contrariedade do acórdão proferido ao conteúdo das provas angariadas no d</w:t>
      </w:r>
      <w:r w:rsidR="00DB39FC">
        <w:t>ecorrer da instrução processual, sob argumento de que a ausência de laudo definitivo de droga impediria a configuração da materialidade delitiva.</w:t>
      </w:r>
    </w:p>
    <w:p w:rsidR="004D55DE" w:rsidRDefault="004D55DE" w:rsidP="004D55DE">
      <w:pPr>
        <w:pStyle w:val="PargrafodaLista"/>
        <w:ind w:left="0"/>
        <w:contextualSpacing w:val="0"/>
      </w:pPr>
      <w:r>
        <w:t>O pleito, conduto, contém in</w:t>
      </w:r>
      <w:r w:rsidR="00DB39FC">
        <w:t>equívoca pretensão de reexame da condenação</w:t>
      </w:r>
      <w:r>
        <w:t>, motivado por inconformismo com a solução jurídica adotada no julgamento de recurso de apelação</w:t>
      </w:r>
      <w:r w:rsidR="00DB39FC">
        <w:t>. Tal</w:t>
      </w:r>
      <w:r>
        <w:t xml:space="preserve"> hipótese não se coaduna com aquelas previstas no artigo 621 do Código de Processo Penal, cuja interpretação deve ser restritiva em homenagem à imutabilidade da coisa julgada, corolário do princípio da segurança jurídica.</w:t>
      </w:r>
    </w:p>
    <w:p w:rsidR="004D55DE" w:rsidRDefault="004D55DE" w:rsidP="004D55DE">
      <w:pPr>
        <w:pStyle w:val="PargrafodaLista"/>
        <w:ind w:left="0"/>
        <w:contextualSpacing w:val="0"/>
      </w:pPr>
      <w:r>
        <w:t>A esse respeito:</w:t>
      </w:r>
    </w:p>
    <w:p w:rsidR="004D55DE" w:rsidRDefault="004D55DE" w:rsidP="004D55DE">
      <w:pPr>
        <w:pStyle w:val="PargrafodaLista"/>
        <w:spacing w:before="600" w:after="600"/>
        <w:ind w:left="2268" w:firstLine="0"/>
        <w:contextualSpacing w:val="0"/>
        <w:rPr>
          <w:sz w:val="20"/>
        </w:rPr>
      </w:pPr>
      <w:r w:rsidRPr="00D32C94">
        <w:rPr>
          <w:sz w:val="20"/>
        </w:rPr>
        <w:t>REVISÃO CRIMINAL. MATÉRIA PENAL. HIPÓTESES DE CABIMENTO TAXATIVAS. PRETENSÃO DE REAVALIAÇÃO DE ASPECTOS DISCRICIONÁRIOS DA DOSIMETRIA DA PENA. EVENTUAL CONTROVÉRSIA RAZOÁVEL ACERCA DA VALORAÇÃO DE PROVAS E/OU DO DIREITO. INADEQUAÇÃO DA MEDIDA. REVISÃO CRIMINAL NÃO CONHECIDA. 1. Preliminarmente, o Tribunal Pleno, por maioria, rejeitou questão de ordem suscitada no que toca à eventual incompatibilidade, no caso concreto, de que o Relator do acórdão impugnado, proferido na Ação Penal 935/AM, funcione, nestes autos, como Revisor. 2. A revisão criminal, instrumento processual posto à disposição do condenado, tem como finalidade precípua conciliar, de um lado, a exigência de juridicidade da prestação jurisdicional e, de outro, a necessária segurança jurídica decorrente dos pronunciamentos emanados do Estado-Juiz, mediante observância de hipóteses de cabimento taxativamente previstas no ordenamento jurídico e que traduzam situações efetivamente graves que, em tese, possam autorizar a excepcional desconstituição da coisa julgada material. 3. Assim, a revisão criminal, que não tem feitio recursal, não se presta a, fora de sua destinação normativa, submeter a matéria subjacente ao crivo do Tribunal Pleno por razões derivadas exclusivamente do inconformismo defensivo ou de razões afetas ao suposto desacerto da razoável valoração da prova e/ou do direito. 4. No caso específico de ações penais originárias de competência de órgão fracionário desta Suprema Corte, a medida revisional também não funciona como ferramenta processual apta a inaugurar a jurisdição do colegiado maior como forma de contornar o não preenchimento dos requisitos impostos pela jurisprudência do STF ao cabimento dos embargos infringentes. 5. Segundo a firme jurisprudência desta Suprema Corte, a dosimetria da pena não se subordina à observância de rígidos esquemas ou regras aritméticas, assegurando-se ao competente órgão julgador certa discricionariedade no dimensionamento da resposta penal. Também inexiste correspondência necessária entre a expressividade numérica de circunstâncias judiciais desfavoráveis e o consequente incremento da pena-base. 6. Não configura ilegalidade o ato jurisdicional que condiciona a configuração de arrependimento posterior, previsto no art. 16 do Código Penal, à concomitante demonstração da voluntariedade e pessoalidade da reparação do dano. 7. O título condenatório que acolhe interpretação possível e razoável em prejuízo do acusado não consubstancia vulneração a texto expresso de lei, sendo que a solução de controvérsias ponderadas acerca da interpretação de normas jurídicas não se insere no escopo taxativo de abertura da via revisional. 8. Hipótese concreta em que a dosimetria da pena, embora contrarie os interesses do postulante, não desvela mácula sob a perspectiva da legalidade, cingindo-se a irresignação defensiva ao campo do acerto ou desacerto na fixação da censura penal, espacialidade que conta com discricionariedade judicial insuscetível de reexame em sede de revisão criminal. 9. Revisão criminal não conhecida. (STF</w:t>
      </w:r>
      <w:r>
        <w:rPr>
          <w:sz w:val="20"/>
        </w:rPr>
        <w:t xml:space="preserve">. Tribunal Pleno. Relator: Ministro Edson </w:t>
      </w:r>
      <w:proofErr w:type="spellStart"/>
      <w:r>
        <w:rPr>
          <w:sz w:val="20"/>
        </w:rPr>
        <w:t>Fachin</w:t>
      </w:r>
      <w:proofErr w:type="spellEnd"/>
      <w:r>
        <w:rPr>
          <w:sz w:val="20"/>
        </w:rPr>
        <w:t xml:space="preserve">. </w:t>
      </w:r>
      <w:proofErr w:type="spellStart"/>
      <w:r w:rsidRPr="00D32C94">
        <w:rPr>
          <w:sz w:val="20"/>
        </w:rPr>
        <w:t>RvC</w:t>
      </w:r>
      <w:proofErr w:type="spellEnd"/>
      <w:r w:rsidRPr="00D32C94">
        <w:rPr>
          <w:sz w:val="20"/>
        </w:rPr>
        <w:t xml:space="preserve"> 5475 AM</w:t>
      </w:r>
      <w:r>
        <w:rPr>
          <w:sz w:val="20"/>
        </w:rPr>
        <w:t>.</w:t>
      </w:r>
      <w:r w:rsidRPr="00D32C94">
        <w:rPr>
          <w:sz w:val="20"/>
        </w:rPr>
        <w:t xml:space="preserve"> 0081195-88.2018.1.00.0000</w:t>
      </w:r>
      <w:r>
        <w:rPr>
          <w:sz w:val="20"/>
        </w:rPr>
        <w:t>. Data de Julgamento: 06-11-2019. Data de Publicação: 15-04-2020).</w:t>
      </w:r>
    </w:p>
    <w:p w:rsidR="004D55DE" w:rsidRDefault="004D55DE" w:rsidP="004D55DE">
      <w:pPr>
        <w:pStyle w:val="PargrafodaLista"/>
        <w:ind w:left="0"/>
        <w:contextualSpacing w:val="0"/>
      </w:pPr>
      <w:r>
        <w:t xml:space="preserve">No caso concreto, a alegação de contrariedade da decisão condenatória em relação a prova dos autos carece de plausibilidade lógica. O exame do acórdão objetado revela referência a elementos que demonstram, acima da dúvida razoável, </w:t>
      </w:r>
      <w:r w:rsidR="00DB39FC">
        <w:t>a inequívoca</w:t>
      </w:r>
      <w:r>
        <w:t xml:space="preserve"> ocorrência do injust</w:t>
      </w:r>
      <w:r w:rsidR="00DB39FC">
        <w:t>o penal atribuído ao requerente, mediante inferência do conjunto probatório amealhado na respectiva ação penal.</w:t>
      </w:r>
    </w:p>
    <w:p w:rsidR="004D55DE" w:rsidRDefault="00DB39FC" w:rsidP="004D55DE">
      <w:pPr>
        <w:pStyle w:val="PargrafodaLista"/>
        <w:ind w:left="0"/>
        <w:contextualSpacing w:val="0"/>
      </w:pPr>
      <w:r>
        <w:t>Nessas condições</w:t>
      </w:r>
      <w:r w:rsidR="004D55DE">
        <w:t xml:space="preserve">, </w:t>
      </w:r>
      <w:r>
        <w:t xml:space="preserve">a pretensão revisional deduzida </w:t>
      </w:r>
      <w:r w:rsidR="004D55DE">
        <w:t>caracteriza inde</w:t>
      </w:r>
      <w:r>
        <w:t xml:space="preserve">vido propósito de utilização do instrumento </w:t>
      </w:r>
      <w:r w:rsidR="004D55DE">
        <w:t>como sucedâneo recursal, técnica processual contrária ao preceptivo do artigo</w:t>
      </w:r>
      <w:r>
        <w:t xml:space="preserve"> </w:t>
      </w:r>
      <w:r w:rsidR="004D55DE">
        <w:t>622, inciso I, do Código de Processo Penal.</w:t>
      </w:r>
    </w:p>
    <w:p w:rsidR="004D55DE" w:rsidRDefault="004D55DE" w:rsidP="004D55DE">
      <w:pPr>
        <w:pStyle w:val="PargrafodaLista"/>
        <w:ind w:left="0"/>
        <w:contextualSpacing w:val="0"/>
      </w:pPr>
      <w:r>
        <w:t>Sobre o tema:</w:t>
      </w:r>
    </w:p>
    <w:p w:rsidR="004D55DE" w:rsidRDefault="004D55DE" w:rsidP="004D55DE">
      <w:pPr>
        <w:pStyle w:val="PargrafodaLista"/>
        <w:spacing w:before="600" w:after="600"/>
        <w:ind w:left="2268" w:firstLine="0"/>
        <w:contextualSpacing w:val="0"/>
        <w:rPr>
          <w:sz w:val="20"/>
        </w:rPr>
      </w:pPr>
      <w:r w:rsidRPr="00ED6401">
        <w:rPr>
          <w:sz w:val="20"/>
        </w:rPr>
        <w:t>PROCESSUAL PENAL. AGRAVO REGIMENTAL EM REVISÃO CRIMINAL. ART. 621, I, DO CPP. APLICAÇÃO DO ART. 33, §4º, DA LEI 11.343/06. UTILIZAÇÃO DA VIA COMO RECURSO. NÃO CABIMENTO. REVISÃO CRIMINAL JULGADA IMPROCEDENTE. AGRAVO DESPROVIDO.</w:t>
      </w:r>
      <w:r>
        <w:rPr>
          <w:sz w:val="20"/>
        </w:rPr>
        <w:t xml:space="preserve"> </w:t>
      </w:r>
      <w:r w:rsidRPr="00ED6401">
        <w:rPr>
          <w:sz w:val="20"/>
        </w:rPr>
        <w:t>1</w:t>
      </w:r>
      <w:r w:rsidRPr="00DB39FC">
        <w:rPr>
          <w:b/>
          <w:sz w:val="20"/>
        </w:rPr>
        <w:t xml:space="preserve">. "Superior Tribunal de Justiça pacificou o entendimento no sentido do não cabimento da revisão criminal quando utilizada como nova apelação, com vista ao mero reexame de fatos e provas, não se verificando hipótese de contrariedade ao texto expresso da lei penal ou à evidência dos autos, consoante previsão do art. 621, I, do CPP" </w:t>
      </w:r>
      <w:r w:rsidRPr="00ED6401">
        <w:rPr>
          <w:sz w:val="20"/>
        </w:rPr>
        <w:t>(</w:t>
      </w:r>
      <w:proofErr w:type="spellStart"/>
      <w:r w:rsidRPr="00ED6401">
        <w:rPr>
          <w:sz w:val="20"/>
        </w:rPr>
        <w:t>AgRg</w:t>
      </w:r>
      <w:proofErr w:type="spellEnd"/>
      <w:r w:rsidRPr="00ED6401">
        <w:rPr>
          <w:sz w:val="20"/>
        </w:rPr>
        <w:t xml:space="preserve"> no </w:t>
      </w:r>
      <w:proofErr w:type="spellStart"/>
      <w:r w:rsidRPr="00ED6401">
        <w:rPr>
          <w:sz w:val="20"/>
        </w:rPr>
        <w:t>REsp</w:t>
      </w:r>
      <w:proofErr w:type="spellEnd"/>
      <w:r w:rsidRPr="00ED6401">
        <w:rPr>
          <w:sz w:val="20"/>
        </w:rPr>
        <w:t xml:space="preserve"> n. 1.781.148/RJ, Ministro Joel Ilan </w:t>
      </w:r>
      <w:proofErr w:type="spellStart"/>
      <w:r w:rsidRPr="00ED6401">
        <w:rPr>
          <w:sz w:val="20"/>
        </w:rPr>
        <w:t>Paciornik</w:t>
      </w:r>
      <w:proofErr w:type="spellEnd"/>
      <w:r w:rsidRPr="00ED6401">
        <w:rPr>
          <w:sz w:val="20"/>
        </w:rPr>
        <w:t xml:space="preserve">, Quinta Turma, </w:t>
      </w:r>
      <w:proofErr w:type="spellStart"/>
      <w:r w:rsidRPr="00ED6401">
        <w:rPr>
          <w:sz w:val="20"/>
        </w:rPr>
        <w:t>DJe</w:t>
      </w:r>
      <w:proofErr w:type="spellEnd"/>
      <w:r w:rsidRPr="00ED6401">
        <w:rPr>
          <w:sz w:val="20"/>
        </w:rPr>
        <w:t xml:space="preserve"> 18/10/2019).</w:t>
      </w:r>
      <w:r>
        <w:rPr>
          <w:sz w:val="20"/>
        </w:rPr>
        <w:t xml:space="preserve"> </w:t>
      </w:r>
      <w:r w:rsidRPr="00ED6401">
        <w:rPr>
          <w:sz w:val="20"/>
        </w:rPr>
        <w:t>2. O fato de corréus terem sido beneficiados pelo "tráfico privilegiado" (art. 33, §4º, da Lei de Drogas) não implica necessária extensão a todos os envolvidos no fato delitivo.</w:t>
      </w:r>
      <w:r>
        <w:rPr>
          <w:sz w:val="20"/>
        </w:rPr>
        <w:t xml:space="preserve"> </w:t>
      </w:r>
      <w:r w:rsidRPr="00ED6401">
        <w:rPr>
          <w:sz w:val="20"/>
        </w:rPr>
        <w:t>3</w:t>
      </w:r>
      <w:r>
        <w:rPr>
          <w:sz w:val="20"/>
        </w:rPr>
        <w:t xml:space="preserve">. Agravo regimental desprovido. </w:t>
      </w:r>
      <w:r w:rsidRPr="00ED6401">
        <w:rPr>
          <w:sz w:val="20"/>
        </w:rPr>
        <w:t>(</w:t>
      </w:r>
      <w:r>
        <w:rPr>
          <w:sz w:val="20"/>
        </w:rPr>
        <w:t xml:space="preserve">STJ. Terceira Seção. Relator: Ministro Ribeiro Dantas. </w:t>
      </w:r>
      <w:proofErr w:type="spellStart"/>
      <w:r w:rsidRPr="00ED6401">
        <w:rPr>
          <w:sz w:val="20"/>
        </w:rPr>
        <w:t>AgRg</w:t>
      </w:r>
      <w:proofErr w:type="spellEnd"/>
      <w:r w:rsidRPr="00ED6401">
        <w:rPr>
          <w:sz w:val="20"/>
        </w:rPr>
        <w:t xml:space="preserve"> na </w:t>
      </w:r>
      <w:proofErr w:type="spellStart"/>
      <w:r w:rsidRPr="00ED6401">
        <w:rPr>
          <w:sz w:val="20"/>
        </w:rPr>
        <w:t>RvCr</w:t>
      </w:r>
      <w:proofErr w:type="spellEnd"/>
      <w:r w:rsidRPr="00ED6401">
        <w:rPr>
          <w:sz w:val="20"/>
        </w:rPr>
        <w:t xml:space="preserve"> n. 5.735/DF</w:t>
      </w:r>
      <w:r>
        <w:rPr>
          <w:sz w:val="20"/>
        </w:rPr>
        <w:t>. Data de Julgamento: 11-05-2022. Data de Publicação: 16-05-2022).</w:t>
      </w:r>
    </w:p>
    <w:p w:rsidR="004D55DE" w:rsidRDefault="004D55DE" w:rsidP="004D55DE">
      <w:pPr>
        <w:pStyle w:val="PargrafodaLista"/>
        <w:ind w:left="0"/>
        <w:contextualSpacing w:val="0"/>
      </w:pPr>
      <w:r>
        <w:t xml:space="preserve">Nessas condições, a rejeição da </w:t>
      </w:r>
      <w:proofErr w:type="spellStart"/>
      <w:r>
        <w:rPr>
          <w:i/>
        </w:rPr>
        <w:t>actio</w:t>
      </w:r>
      <w:proofErr w:type="spellEnd"/>
      <w:r>
        <w:t xml:space="preserve"> releva-se impositiva.</w:t>
      </w:r>
    </w:p>
    <w:p w:rsidR="004D55DE" w:rsidRDefault="004D55DE" w:rsidP="004D55DE">
      <w:pPr>
        <w:pStyle w:val="PargrafodaLista"/>
        <w:ind w:left="0"/>
        <w:contextualSpacing w:val="0"/>
      </w:pPr>
    </w:p>
    <w:p w:rsidR="004D55DE" w:rsidRDefault="004D55DE" w:rsidP="004D55DE">
      <w:pPr>
        <w:pStyle w:val="PargrafodaLista"/>
        <w:ind w:left="0"/>
        <w:contextualSpacing w:val="0"/>
      </w:pPr>
      <w:proofErr w:type="spellStart"/>
      <w:r>
        <w:t>II.II</w:t>
      </w:r>
      <w:proofErr w:type="spellEnd"/>
      <w:r>
        <w:t xml:space="preserve"> – DA CONCLUSÃO</w:t>
      </w:r>
    </w:p>
    <w:p w:rsidR="004D55DE" w:rsidRDefault="004D55DE" w:rsidP="004D55DE">
      <w:pPr>
        <w:pStyle w:val="PargrafodaLista"/>
        <w:ind w:left="0"/>
        <w:contextualSpacing w:val="0"/>
      </w:pPr>
      <w:r>
        <w:t>Pela conjugação das premissas deduzidas, a conclusão a ser adota consiste em inadmitir a revisão criminal.</w:t>
      </w:r>
    </w:p>
    <w:p w:rsidR="004D55DE" w:rsidRDefault="004D55DE" w:rsidP="004D55DE">
      <w:pPr>
        <w:pStyle w:val="PargrafodaLista"/>
        <w:ind w:left="0"/>
        <w:contextualSpacing w:val="0"/>
      </w:pPr>
      <w:r>
        <w:t>É como voto.</w:t>
      </w:r>
    </w:p>
    <w:p w:rsidR="004D55DE" w:rsidRDefault="004D55DE" w:rsidP="004D55DE">
      <w:pPr>
        <w:pStyle w:val="PargrafodaLista"/>
        <w:ind w:left="0"/>
        <w:contextualSpacing w:val="0"/>
      </w:pPr>
    </w:p>
    <w:p w:rsidR="004D55DE" w:rsidRDefault="004D55DE" w:rsidP="004D55DE">
      <w:pPr>
        <w:pStyle w:val="PargrafodaLista"/>
        <w:ind w:left="0"/>
        <w:contextualSpacing w:val="0"/>
        <w:rPr>
          <w:b/>
        </w:rPr>
      </w:pPr>
      <w:proofErr w:type="spellStart"/>
      <w:r>
        <w:rPr>
          <w:b/>
        </w:rPr>
        <w:t>III</w:t>
      </w:r>
      <w:proofErr w:type="spellEnd"/>
      <w:r>
        <w:rPr>
          <w:b/>
        </w:rPr>
        <w:t xml:space="preserve"> – DECISÃO</w:t>
      </w:r>
    </w:p>
    <w:bookmarkEnd w:id="0"/>
    <w:p w:rsidR="00AA28DF" w:rsidRPr="00AA28DF" w:rsidRDefault="00AA28DF" w:rsidP="004D55DE">
      <w:pPr>
        <w:pStyle w:val="PargrafodaLista"/>
        <w:ind w:left="0"/>
        <w:contextualSpacing w:val="0"/>
        <w:rPr>
          <w:b/>
        </w:rPr>
      </w:pP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165C47"/>
    <w:rsid w:val="004D55DE"/>
    <w:rsid w:val="00672942"/>
    <w:rsid w:val="00877419"/>
    <w:rsid w:val="00AA28DF"/>
    <w:rsid w:val="00AE47D1"/>
    <w:rsid w:val="00DB39FC"/>
    <w:rsid w:val="00DC37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71E97"/>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0" ma:contentTypeDescription="Crie um novo documento." ma:contentTypeScope="" ma:versionID="3cc68c9615475231b1d84f77667dd39e">
  <xsd:schema xmlns:xsd="http://www.w3.org/2001/XMLSchema" xmlns:xs="http://www.w3.org/2001/XMLSchema" xmlns:p="http://schemas.microsoft.com/office/2006/metadata/properties" targetNamespace="http://schemas.microsoft.com/office/2006/metadata/properties" ma:root="true" ma:fieldsID="e257547f92819c86ae4143fe76bb6c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1CAF5F-7FA8-46CC-8E16-516B3BEE0911}"/>
</file>

<file path=customXml/itemProps2.xml><?xml version="1.0" encoding="utf-8"?>
<ds:datastoreItem xmlns:ds="http://schemas.openxmlformats.org/officeDocument/2006/customXml" ds:itemID="{E7490557-C7F9-417C-A783-3426AD98446C}"/>
</file>

<file path=customXml/itemProps3.xml><?xml version="1.0" encoding="utf-8"?>
<ds:datastoreItem xmlns:ds="http://schemas.openxmlformats.org/officeDocument/2006/customXml" ds:itemID="{71F64591-23D1-4E3C-B894-550EFD65705C}"/>
</file>

<file path=docProps/app.xml><?xml version="1.0" encoding="utf-8"?>
<Properties xmlns="http://schemas.openxmlformats.org/officeDocument/2006/extended-properties" xmlns:vt="http://schemas.openxmlformats.org/officeDocument/2006/docPropsVTypes">
  <Template>Normal</Template>
  <TotalTime>22</TotalTime>
  <Pages>1</Pages>
  <Words>1175</Words>
  <Characters>6350</Characters>
  <Application>Microsoft Office Word</Application>
  <DocSecurity>0</DocSecurity>
  <Lines>52</Lines>
  <Paragraphs>15</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5</cp:revision>
  <dcterms:created xsi:type="dcterms:W3CDTF">2024-02-08T17:42:00Z</dcterms:created>
  <dcterms:modified xsi:type="dcterms:W3CDTF">2024-07-03T19:30:00Z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341200</vt:r8>
  </property>
</Properties>
</file>