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F28" w:rsidRDefault="00247F28" w:rsidP="00247F28">
      <w:pPr>
        <w:pStyle w:val="PargrafodaLista"/>
        <w:ind w:left="0" w:firstLine="0"/>
        <w:contextualSpacing w:val="0"/>
        <w:rPr>
          <w:b/>
          <w:szCs w:val="24"/>
        </w:rPr>
      </w:pPr>
      <w:r w:rsidRPr="00113294">
        <w:rPr>
          <w:b/>
          <w:szCs w:val="24"/>
        </w:rPr>
        <w:t>PENAL. PROC</w:t>
      </w:r>
      <w:r>
        <w:rPr>
          <w:b/>
          <w:szCs w:val="24"/>
        </w:rPr>
        <w:t>ESSUAL PENAL. REVISÃO CRIMINAL. CRIME DE</w:t>
      </w:r>
      <w:r>
        <w:rPr>
          <w:b/>
          <w:szCs w:val="24"/>
        </w:rPr>
        <w:t xml:space="preserve"> TRÁFICO DE SUBSTÂNCIAS ENTORPECENTES. PRETENSÃO DE REFAZIMENTO DA DOSIMETRIA. APLICAÇÃO DA CAUSA DE DIMINUIÇÃO PREVISTA NO ARTIGO 41 DA LEI 11.343 DE 2006. AUSÊNCIA DE CONTRARIEDADE A TEXTO EXPRESSO DE LEI OU À PROVA DOS AUTOS. PRECEDENTES. REVISÃO CRIMINAL NÃO ADMITIDA.</w:t>
      </w:r>
    </w:p>
    <w:p w:rsidR="00247F28" w:rsidRDefault="00247F28" w:rsidP="00247F28">
      <w:pPr>
        <w:ind w:firstLine="0"/>
        <w:rPr>
          <w:b/>
          <w:szCs w:val="24"/>
        </w:rPr>
      </w:pPr>
      <w:r w:rsidRPr="00113294">
        <w:rPr>
          <w:b/>
          <w:szCs w:val="24"/>
        </w:rPr>
        <w:t xml:space="preserve">1. </w:t>
      </w:r>
      <w:r>
        <w:rPr>
          <w:b/>
          <w:szCs w:val="24"/>
        </w:rPr>
        <w:t>A pretensão de reexame do conjunto fático-probatório</w:t>
      </w:r>
      <w:r>
        <w:rPr>
          <w:b/>
          <w:szCs w:val="24"/>
        </w:rPr>
        <w:t xml:space="preserve"> para refazimento de dosimetria, travestida de contrariedade da sentença </w:t>
      </w:r>
      <w:r>
        <w:rPr>
          <w:b/>
          <w:szCs w:val="24"/>
        </w:rPr>
        <w:t>a texto expresso de lei ou à prova dos autos, não configura hipótese de admissão da ação de revisão criminal. Inteligência do artigo 621, inciso I, do Código de Processo Penal.</w:t>
      </w:r>
    </w:p>
    <w:p w:rsidR="00247F28" w:rsidRPr="00166B00" w:rsidRDefault="00247F28" w:rsidP="00247F28">
      <w:pPr>
        <w:ind w:firstLine="0"/>
        <w:rPr>
          <w:b/>
          <w:szCs w:val="24"/>
        </w:rPr>
      </w:pPr>
      <w:r w:rsidRPr="00113294">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037471" w:rsidRDefault="00AA28DF" w:rsidP="00AA28DF">
      <w:pPr>
        <w:pStyle w:val="PargrafodaLista"/>
        <w:ind w:left="0"/>
        <w:contextualSpacing w:val="0"/>
      </w:pPr>
      <w:r>
        <w:t>Cuida-se de</w:t>
      </w:r>
      <w:r w:rsidR="00122582">
        <w:t xml:space="preserve"> revisão criminal ajuizada por Guilherme Lincoln de Lima, tendo como objeto sentença proferida pelo juízo da 1ª Vara Criminal de Almirante Tamandaré, confirmada pela 3ª Câmara Criminal do Tribunal de Justiça do Estado </w:t>
      </w:r>
      <w:r w:rsidR="00037471">
        <w:t>do Paraná, que o condenou, pelos crimes de tráfico ilícito de entorpecentes</w:t>
      </w:r>
      <w:r w:rsidR="00CD438A">
        <w:t>, posse ou porte de arma de fogo de uso restrito</w:t>
      </w:r>
      <w:r w:rsidR="00037471">
        <w:t xml:space="preserve"> e resistência, às penas de 10 (dez) anos e 6 (seis) meses de reclusão e ao pagamento de 760 (setecentos e sessenta) dias-multa (evento 107.1 – autos de origem).</w:t>
      </w:r>
    </w:p>
    <w:p w:rsidR="00037471" w:rsidRDefault="00037471" w:rsidP="00AA28DF">
      <w:pPr>
        <w:pStyle w:val="PargrafodaLista"/>
        <w:ind w:left="0"/>
        <w:contextualSpacing w:val="0"/>
      </w:pPr>
      <w:r>
        <w:t>Postula o requerente, em apertada síntese, a desconstituição do julgado para aplicação da causa de diminuição de pena prevista no artigo 41 da Lei nº 11.343 de 2006 (evento 1.1).</w:t>
      </w:r>
    </w:p>
    <w:p w:rsidR="00122582" w:rsidRDefault="00037471" w:rsidP="00AA28DF">
      <w:pPr>
        <w:pStyle w:val="PargrafodaLista"/>
        <w:ind w:left="0"/>
        <w:contextualSpacing w:val="0"/>
      </w:pPr>
      <w:r>
        <w:t>Opinou a Procuradoria-Geral de Justiça pelo conhecimento parcial e improcedência da revisão, porquanto ausente interesse processual em relação ao pedido de concessão da gratuidade da justiça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lastRenderedPageBreak/>
        <w:t>II.I</w:t>
      </w:r>
      <w:proofErr w:type="spellEnd"/>
      <w:r>
        <w:t xml:space="preserve"> – DO JUÍZO DE ADMISSIBILIDADE</w:t>
      </w:r>
    </w:p>
    <w:p w:rsidR="00037471" w:rsidRDefault="00037471" w:rsidP="00037471">
      <w:pPr>
        <w:pStyle w:val="PargrafodaLista"/>
        <w:ind w:left="0"/>
        <w:contextualSpacing w:val="0"/>
      </w:pPr>
      <w:r>
        <w:t>Cinge-se o objeto da demanda à</w:t>
      </w:r>
      <w:r>
        <w:t xml:space="preserve"> pretensão de reexame do julgado sob argumento de contrariedade da sentença à texto expresso de lei, por incorreção da dosimetria da pena, matizada em não aplicação da causa de diminuição prevista no artigo 41 da Lei nº 11.343 de 2006.</w:t>
      </w:r>
    </w:p>
    <w:p w:rsidR="00037471" w:rsidRDefault="00037471" w:rsidP="00037471">
      <w:pPr>
        <w:pStyle w:val="PargrafodaLista"/>
        <w:ind w:left="0"/>
        <w:contextualSpacing w:val="0"/>
      </w:pPr>
      <w:r>
        <w:t>O pleito</w:t>
      </w:r>
      <w:r>
        <w:t xml:space="preserve"> revisional</w:t>
      </w:r>
      <w:r>
        <w:t>, conduto, contém inequívoca pretensão de reexame da condenação, motivado por inconformismo com</w:t>
      </w:r>
      <w:r w:rsidR="00CD438A">
        <w:t xml:space="preserve"> as soluções jurídicas adotadas</w:t>
      </w:r>
      <w:r>
        <w:t xml:space="preserve"> na sentença e no recurso de apelação.</w:t>
      </w:r>
    </w:p>
    <w:p w:rsidR="00037471" w:rsidRDefault="00037471" w:rsidP="00037471">
      <w:pPr>
        <w:pStyle w:val="PargrafodaLista"/>
        <w:ind w:left="0"/>
        <w:contextualSpacing w:val="0"/>
      </w:pPr>
      <w:r>
        <w:t>Tal hipótese não se coaduna com aquelas previstas no artigo 621 do Código de Processo Penal, cuja interpretação deve ser restritiva em homenagem à imutabilidade da coisa julgada, corolário do princípio da segurança jurídica.</w:t>
      </w:r>
    </w:p>
    <w:p w:rsidR="00037471" w:rsidRDefault="00037471" w:rsidP="00037471">
      <w:pPr>
        <w:pStyle w:val="PargrafodaLista"/>
        <w:ind w:left="0"/>
        <w:contextualSpacing w:val="0"/>
      </w:pPr>
      <w:r>
        <w:t>A esse respeito:</w:t>
      </w:r>
    </w:p>
    <w:p w:rsidR="00037471" w:rsidRDefault="00037471" w:rsidP="00037471">
      <w:pPr>
        <w:pStyle w:val="PargrafodaLista"/>
        <w:spacing w:before="600" w:after="600"/>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w:t>
      </w:r>
      <w:r w:rsidRPr="00D32C94">
        <w:rPr>
          <w:sz w:val="20"/>
        </w:rPr>
        <w:lastRenderedPageBreak/>
        <w:t>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w:t>
      </w:r>
      <w:proofErr w:type="spellStart"/>
      <w:r>
        <w:rPr>
          <w:sz w:val="20"/>
        </w:rPr>
        <w:t>Fachin</w:t>
      </w:r>
      <w:proofErr w:type="spellEnd"/>
      <w:r>
        <w:rPr>
          <w:sz w:val="20"/>
        </w:rPr>
        <w:t xml:space="preserve">.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rsidR="0005342F" w:rsidRDefault="00037471" w:rsidP="00037471">
      <w:pPr>
        <w:pStyle w:val="PargrafodaLista"/>
        <w:ind w:left="0"/>
        <w:contextualSpacing w:val="0"/>
      </w:pPr>
      <w:r>
        <w:t xml:space="preserve">No caso concreto, a alegação de contrariedade da decisão condenatória a texto expresso de lei carece de plausibilidade </w:t>
      </w:r>
      <w:r w:rsidR="00CD438A">
        <w:t>jurídica</w:t>
      </w:r>
      <w:r>
        <w:t>.</w:t>
      </w:r>
      <w:r w:rsidR="00CD438A">
        <w:t xml:space="preserve"> Inexiste demonstração empiricamente verificável</w:t>
      </w:r>
      <w:r w:rsidR="0005342F">
        <w:t xml:space="preserve"> e inexorável da prestação de colaboração voluntária para identificação de outros agentes ou recuperação do produto do crime.</w:t>
      </w:r>
    </w:p>
    <w:p w:rsidR="0005342F" w:rsidRDefault="0005342F" w:rsidP="00037471">
      <w:pPr>
        <w:pStyle w:val="PargrafodaLista"/>
        <w:ind w:left="0"/>
        <w:contextualSpacing w:val="0"/>
      </w:pPr>
      <w:r>
        <w:t xml:space="preserve">Com efeito, a descoberta do entorpecente </w:t>
      </w:r>
      <w:r w:rsidR="00593A0E">
        <w:t>decorreu de ação da policial</w:t>
      </w:r>
      <w:r>
        <w:t xml:space="preserve">, após êxito na prisão em flagrante, que determinou a descoberta de outras </w:t>
      </w:r>
      <w:r w:rsidR="00593A0E">
        <w:t>substâncias na residência do imputado. Não há falar, portanto, em colaboração voluntária.</w:t>
      </w:r>
    </w:p>
    <w:p w:rsidR="00593A0E" w:rsidRDefault="00593A0E" w:rsidP="00037471">
      <w:pPr>
        <w:pStyle w:val="PargrafodaLista"/>
        <w:ind w:left="0"/>
        <w:contextualSpacing w:val="0"/>
      </w:pPr>
      <w:r>
        <w:t>É o que deflui dos depoimentos dos agentes de segurança responsáveis pela prisão em flagrante, ouvidos na fase de inquérito e durante a instrução judicial (eventos 30.1, 30.2, 90.1, 90.2 e 90.3 – autos de origem).</w:t>
      </w:r>
    </w:p>
    <w:p w:rsidR="00593A0E" w:rsidRDefault="00593A0E" w:rsidP="00037471">
      <w:pPr>
        <w:pStyle w:val="PargrafodaLista"/>
        <w:ind w:left="0"/>
        <w:contextualSpacing w:val="0"/>
      </w:pPr>
      <w:r>
        <w:lastRenderedPageBreak/>
        <w:t>A propósito, sequer foi reconhecida confissão espontânea como fator atenuante. Ademais, houve conclusão positiva, a ensejar condenação, da prática do crime de resistência, demonstrativo de conduta contrária à alegada predisposição de auxiliar com a investigação.</w:t>
      </w:r>
    </w:p>
    <w:p w:rsidR="00037471" w:rsidRDefault="00247F28" w:rsidP="00037471">
      <w:pPr>
        <w:pStyle w:val="PargrafodaLista"/>
        <w:ind w:left="0"/>
        <w:contextualSpacing w:val="0"/>
      </w:pPr>
      <w:r>
        <w:t xml:space="preserve">Infere-se, pois, que </w:t>
      </w:r>
      <w:r w:rsidR="00037471">
        <w:t xml:space="preserve">a pretensão revisional deduzida caracteriza evidente propósito de utilização do instrumento </w:t>
      </w:r>
      <w:r>
        <w:t xml:space="preserve">processual em questão </w:t>
      </w:r>
      <w:r w:rsidR="00037471">
        <w:t>como sucedâneo recursal, técnica contrária ao preceptivo do artigo 622, inciso I, do Código de Processo Penal.</w:t>
      </w:r>
    </w:p>
    <w:p w:rsidR="00037471" w:rsidRDefault="00037471" w:rsidP="00037471">
      <w:pPr>
        <w:pStyle w:val="PargrafodaLista"/>
        <w:ind w:left="0"/>
        <w:contextualSpacing w:val="0"/>
      </w:pPr>
      <w:r>
        <w:t>Sobre o tema:</w:t>
      </w:r>
    </w:p>
    <w:p w:rsidR="00037471" w:rsidRDefault="00037471" w:rsidP="00037471">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247F28">
        <w:rPr>
          <w:b/>
          <w:sz w:val="20"/>
        </w:rPr>
        <w:t>1. "Superior</w:t>
      </w:r>
      <w:r w:rsidRPr="00DB39FC">
        <w:rPr>
          <w:b/>
          <w:sz w:val="20"/>
        </w:rPr>
        <w:t xml:space="preserve">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037471" w:rsidRDefault="00037471" w:rsidP="00037471">
      <w:pPr>
        <w:pStyle w:val="PargrafodaLista"/>
        <w:ind w:left="0"/>
        <w:contextualSpacing w:val="0"/>
      </w:pPr>
      <w:r>
        <w:t xml:space="preserve">Nessas condições, a rejeição da </w:t>
      </w:r>
      <w:proofErr w:type="spellStart"/>
      <w:r>
        <w:rPr>
          <w:i/>
        </w:rPr>
        <w:t>actio</w:t>
      </w:r>
      <w:proofErr w:type="spellEnd"/>
      <w:r>
        <w:t xml:space="preserve"> releva-se impositiva.</w:t>
      </w:r>
    </w:p>
    <w:p w:rsidR="00037471" w:rsidRDefault="00037471" w:rsidP="00037471">
      <w:pPr>
        <w:pStyle w:val="PargrafodaLista"/>
        <w:ind w:left="0"/>
        <w:contextualSpacing w:val="0"/>
      </w:pPr>
    </w:p>
    <w:p w:rsidR="00037471" w:rsidRDefault="00037471" w:rsidP="00037471">
      <w:pPr>
        <w:pStyle w:val="PargrafodaLista"/>
        <w:ind w:left="0"/>
        <w:contextualSpacing w:val="0"/>
      </w:pPr>
      <w:proofErr w:type="spellStart"/>
      <w:r>
        <w:t>II.II</w:t>
      </w:r>
      <w:proofErr w:type="spellEnd"/>
      <w:r>
        <w:t xml:space="preserve"> – DA CONCLUSÃO</w:t>
      </w:r>
    </w:p>
    <w:p w:rsidR="00037471" w:rsidRDefault="00037471" w:rsidP="00037471">
      <w:pPr>
        <w:pStyle w:val="PargrafodaLista"/>
        <w:ind w:left="0"/>
        <w:contextualSpacing w:val="0"/>
      </w:pPr>
      <w:r>
        <w:t>Pela conjugação das premissas deduzidas, a conclusão a ser adota consiste em inadmitir a revisão criminal.</w:t>
      </w:r>
    </w:p>
    <w:p w:rsidR="00037471" w:rsidRDefault="00037471" w:rsidP="00037471">
      <w:pPr>
        <w:pStyle w:val="PargrafodaLista"/>
        <w:ind w:left="0"/>
        <w:contextualSpacing w:val="0"/>
      </w:pPr>
      <w:r>
        <w:t>É como voto.</w:t>
      </w:r>
    </w:p>
    <w:p w:rsidR="00037471" w:rsidRDefault="00037471" w:rsidP="00037471">
      <w:pPr>
        <w:pStyle w:val="PargrafodaLista"/>
        <w:ind w:left="0"/>
        <w:contextualSpacing w:val="0"/>
      </w:pPr>
    </w:p>
    <w:p w:rsidR="00037471" w:rsidRPr="00037471" w:rsidRDefault="00037471" w:rsidP="00037471">
      <w:pPr>
        <w:pStyle w:val="PargrafodaLista"/>
        <w:ind w:left="0"/>
        <w:contextualSpacing w:val="0"/>
        <w:rPr>
          <w:b/>
        </w:rPr>
      </w:pPr>
      <w:proofErr w:type="spellStart"/>
      <w:r>
        <w:rPr>
          <w:b/>
        </w:rPr>
        <w:t>III</w:t>
      </w:r>
      <w:proofErr w:type="spellEnd"/>
      <w:r>
        <w:rPr>
          <w:b/>
        </w:rPr>
        <w:t xml:space="preserve"> – DECISÃO</w:t>
      </w:r>
      <w:bookmarkEnd w:id="0"/>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7471"/>
    <w:rsid w:val="0005342F"/>
    <w:rsid w:val="00122582"/>
    <w:rsid w:val="00165C47"/>
    <w:rsid w:val="00247F28"/>
    <w:rsid w:val="00593A0E"/>
    <w:rsid w:val="00672942"/>
    <w:rsid w:val="00877419"/>
    <w:rsid w:val="00AA28DF"/>
    <w:rsid w:val="00AE47D1"/>
    <w:rsid w:val="00CD438A"/>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F0B3"/>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49E632-9D2D-4AFE-9CB9-99151B0C30FE}"/>
</file>

<file path=customXml/itemProps2.xml><?xml version="1.0" encoding="utf-8"?>
<ds:datastoreItem xmlns:ds="http://schemas.openxmlformats.org/officeDocument/2006/customXml" ds:itemID="{14C580CA-B7E0-4E91-A564-10E3E4752E71}"/>
</file>

<file path=customXml/itemProps3.xml><?xml version="1.0" encoding="utf-8"?>
<ds:datastoreItem xmlns:ds="http://schemas.openxmlformats.org/officeDocument/2006/customXml" ds:itemID="{F31901A9-8C7F-422E-BCBC-0841D4E6D255}"/>
</file>

<file path=docProps/app.xml><?xml version="1.0" encoding="utf-8"?>
<Properties xmlns="http://schemas.openxmlformats.org/officeDocument/2006/extended-properties" xmlns:vt="http://schemas.openxmlformats.org/officeDocument/2006/docPropsVTypes">
  <Template>Normal</Template>
  <TotalTime>89</TotalTime>
  <Pages>5</Pages>
  <Words>1262</Words>
  <Characters>6816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2024-07-10T18:53:00Z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347000</vt:r8>
  </property>
  <property fmtid="{D5CDD505-2E9C-101B-9397-08002B2CF9AE}" pid="5" name="docLang">
    <vt:lpwstr>pt</vt:lpwstr>
  </property>
</Properties>
</file>