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07F" w:rsidRPr="00BA5974" w:rsidRDefault="001B707F" w:rsidP="001B707F">
      <w:pPr>
        <w:pStyle w:val="PargrafodaLista"/>
        <w:ind w:left="0" w:firstLine="0"/>
        <w:contextualSpacing w:val="0"/>
        <w:rPr>
          <w:b/>
          <w:szCs w:val="24"/>
        </w:rPr>
      </w:pPr>
      <w:r w:rsidRPr="00414ECA">
        <w:rPr>
          <w:b/>
          <w:szCs w:val="24"/>
        </w:rPr>
        <w:t>PENAL. PROCESSUAL PENAL. REVISÃO CRIMINAL. TESE DE INCONSTITUCIONALIDADE DA REINCIDÊNCIA COMO AGRAVANTE PENAL. TEMA 114 DO STF. AGRAVANTE COMPATÍVEL COM O PRINCÍPIO DA INDIVIDUALIZAÇÃO DA PENA. AUSÊNCIA DE CONTRARIEDADE A TEXTO EXPRESSO DE LEI. AÇÃO REVISIONAL NÃO ADMITIDA.</w:t>
      </w:r>
    </w:p>
    <w:p w:rsidR="001B707F" w:rsidRPr="00BA5974" w:rsidRDefault="001B707F" w:rsidP="001B707F">
      <w:pPr>
        <w:pStyle w:val="PargrafodaLista"/>
        <w:ind w:left="0" w:firstLine="0"/>
        <w:contextualSpacing w:val="0"/>
        <w:rPr>
          <w:b/>
          <w:szCs w:val="24"/>
        </w:rPr>
      </w:pPr>
      <w:r>
        <w:rPr>
          <w:b/>
          <w:szCs w:val="24"/>
        </w:rPr>
        <w:t xml:space="preserve">1. A pretensão de refazimento da dosimetria, sob alegação </w:t>
      </w:r>
      <w:r w:rsidRPr="00BA5974">
        <w:rPr>
          <w:b/>
          <w:szCs w:val="24"/>
        </w:rPr>
        <w:t>de inconstitucionalidade da agravante da reincidência</w:t>
      </w:r>
      <w:r>
        <w:rPr>
          <w:b/>
          <w:szCs w:val="24"/>
        </w:rPr>
        <w:t xml:space="preserve">, não comporta processamento por revisão criminal. </w:t>
      </w:r>
      <w:r w:rsidRPr="00BA5974">
        <w:rPr>
          <w:b/>
          <w:szCs w:val="24"/>
        </w:rPr>
        <w:t>Inteligência do artigo 621, do Código de Processo Penal.</w:t>
      </w:r>
    </w:p>
    <w:p w:rsidR="001B707F" w:rsidRPr="00BA5974" w:rsidRDefault="001B707F" w:rsidP="001B707F">
      <w:pPr>
        <w:pStyle w:val="PargrafodaLista"/>
        <w:ind w:left="0" w:firstLine="0"/>
        <w:contextualSpacing w:val="0"/>
        <w:rPr>
          <w:b/>
          <w:szCs w:val="24"/>
        </w:rPr>
      </w:pPr>
      <w:r w:rsidRPr="00BA5974">
        <w:rPr>
          <w:b/>
          <w:szCs w:val="24"/>
        </w:rPr>
        <w:t>2. Revisão criminal não admitida.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4E22FB" w:rsidRDefault="00AA28DF" w:rsidP="00AA28DF">
      <w:pPr>
        <w:pStyle w:val="PargrafodaLista"/>
        <w:ind w:left="0"/>
        <w:contextualSpacing w:val="0"/>
      </w:pPr>
      <w:r>
        <w:t>Cuida-se de</w:t>
      </w:r>
      <w:r w:rsidR="00122582">
        <w:t xml:space="preserve"> revisão criminal </w:t>
      </w:r>
      <w:r w:rsidR="00C67A92">
        <w:t xml:space="preserve">ajuizada por Rafael Nascimento Queiroz, tendo como objeto sentença proferida pelo juízo da 2ª Vara Criminal de Foz do Iguaçu e mantida pela 3ª Câmara Criminal do Tribunal de Justiça do Estado do Paraná, </w:t>
      </w:r>
      <w:r w:rsidR="004E22FB">
        <w:t xml:space="preserve">que o condenou pelo crime do artigo </w:t>
      </w:r>
      <w:r w:rsidR="00C67A92">
        <w:t>157, §2º, inciso II e §</w:t>
      </w:r>
      <w:r w:rsidR="004E22FB">
        <w:t>2º-A, inciso I, do Código Penal, às penas de 10 (dez) anos, 4 (quatro) meses e 13 (treze) dias de reclusão em regime inicial fechado e pagamento de 155 (cento e cinquenta e cinco) dias-multa (evento 698.1 – autos de origem).</w:t>
      </w:r>
    </w:p>
    <w:p w:rsidR="004E22FB" w:rsidRDefault="004E22FB" w:rsidP="00AA28DF">
      <w:pPr>
        <w:pStyle w:val="PargrafodaLista"/>
        <w:ind w:left="0"/>
        <w:contextualSpacing w:val="0"/>
      </w:pPr>
      <w:r>
        <w:t>Postula o requerente, em apertada síntese, seja declarada a inconstitucionalidade do instituto da reincidência e afastados os efeitos dela decorrentes (evento 59.1).</w:t>
      </w:r>
    </w:p>
    <w:p w:rsidR="004E22FB" w:rsidRDefault="004E22FB" w:rsidP="00877419">
      <w:pPr>
        <w:pStyle w:val="PargrafodaLista"/>
        <w:ind w:left="0"/>
        <w:contextualSpacing w:val="0"/>
      </w:pPr>
      <w:r>
        <w:t>Opinou a Procuradoria-Geral de Justiça pela improcedência da pretensão revisional (evento 64.1).</w:t>
      </w:r>
    </w:p>
    <w:p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4E22FB" w:rsidRDefault="004E22FB" w:rsidP="004E22FB">
      <w:pPr>
        <w:pStyle w:val="PargrafodaLista"/>
        <w:ind w:left="0"/>
        <w:contextualSpacing w:val="0"/>
      </w:pPr>
      <w:r>
        <w:t>Cinge-se o objeto da demanda à pretensão de declaração de inconstitucionalidade da reincidência como componente da dosimetria da pena, com pedido de consequente exclusão da agravação operada na segunda fase.</w:t>
      </w:r>
    </w:p>
    <w:p w:rsidR="004E22FB" w:rsidRDefault="004E22FB" w:rsidP="004E22FB">
      <w:pPr>
        <w:pStyle w:val="PargrafodaLista"/>
        <w:ind w:left="0"/>
        <w:contextualSpacing w:val="0"/>
      </w:pPr>
      <w:r>
        <w:t>O pleito, contudo, não se enquadra em nenhuma das hipóteses de admissão da revisão criminal, previstas no ar</w:t>
      </w:r>
      <w:r w:rsidR="001B707F">
        <w:t>tigo 621</w:t>
      </w:r>
      <w:r>
        <w:t xml:space="preserve"> do Código de Processo Penal.</w:t>
      </w:r>
    </w:p>
    <w:p w:rsidR="004E22FB" w:rsidRDefault="004E22FB" w:rsidP="004E22FB">
      <w:pPr>
        <w:pStyle w:val="PargrafodaLista"/>
        <w:ind w:left="0"/>
        <w:contextualSpacing w:val="0"/>
      </w:pPr>
      <w:r>
        <w:t>Sobre o tema, o egrégio Tribunal de Justiça do Estado do Paraná decidiu, em caso idêntico, pela inadmissibilidade de revisão criminal com pedido de revisão de dosimetria penal a partir de declaração de inconstitucionalidade da reincidência.</w:t>
      </w:r>
    </w:p>
    <w:p w:rsidR="004E22FB" w:rsidRDefault="004E22FB" w:rsidP="004E22FB">
      <w:pPr>
        <w:pStyle w:val="PargrafodaLista"/>
        <w:ind w:left="0"/>
        <w:contextualSpacing w:val="0"/>
      </w:pPr>
      <w:r>
        <w:t>Eis a ementa do referido precedente:</w:t>
      </w:r>
    </w:p>
    <w:p w:rsidR="004E22FB" w:rsidRDefault="004E22FB" w:rsidP="004E22FB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FD7646">
        <w:rPr>
          <w:sz w:val="20"/>
        </w:rPr>
        <w:t>REVISÃO CRIMINAL. ROUBO E ESTUPRO. TESE DE INCONSTITUCIONALIDADE DO INSTITUTO DA REINCIDÊNCIA. DUPLA VALORAÇÃO. ALEGAÇÃO DE VIOLAÇÃO AO PRINCÍPIO. PRETENSÃO DE REDISCUSSÃO DA MATÉRIA. NON BIS IN IDEM AUSÊNCIA DE FATOS NOVOS E REITERAÇÃO DE PEDIDOS. REQUISITOS EXIGIDOS PELOS ARTIGOS 621 E 622 DO CPP. NÃO PREENCHIMENTO. AÇÃO REVISIONAL IMPROCEDENTE. (</w:t>
      </w:r>
      <w:proofErr w:type="spellStart"/>
      <w:r w:rsidRPr="00FD7646">
        <w:rPr>
          <w:sz w:val="20"/>
        </w:rPr>
        <w:t>TJPR</w:t>
      </w:r>
      <w:proofErr w:type="spellEnd"/>
      <w:r>
        <w:rPr>
          <w:sz w:val="20"/>
        </w:rPr>
        <w:t xml:space="preserve">. 5ª Câmara Criminal. Relatora: Desembargadora Maria José de Toledo Marcondes Teixeira. </w:t>
      </w:r>
      <w:r w:rsidRPr="00FD7646">
        <w:rPr>
          <w:sz w:val="20"/>
        </w:rPr>
        <w:t>0001819-87.2019.8.16.0000</w:t>
      </w:r>
      <w:r>
        <w:rPr>
          <w:sz w:val="20"/>
        </w:rPr>
        <w:t>. Data de Julgamento: 09-05-2019).</w:t>
      </w:r>
    </w:p>
    <w:p w:rsidR="004E22FB" w:rsidRDefault="004E22FB" w:rsidP="004E22FB">
      <w:pPr>
        <w:pStyle w:val="PargrafodaLista"/>
        <w:ind w:left="0"/>
        <w:contextualSpacing w:val="0"/>
      </w:pPr>
      <w:r>
        <w:t xml:space="preserve">Ainda que se cogite a hipótese de contrariedade da condenação a texto expresso de lei, a tese de inconstitucionalidade aventada encontra amparo em </w:t>
      </w:r>
      <w:r w:rsidR="001B707F">
        <w:t>minoritária posição doutrinária, amparada em</w:t>
      </w:r>
      <w:r>
        <w:t xml:space="preserve"> criminologia crítica.</w:t>
      </w:r>
    </w:p>
    <w:p w:rsidR="004E22FB" w:rsidRDefault="004E22FB" w:rsidP="004E22FB">
      <w:pPr>
        <w:pStyle w:val="PargrafodaLista"/>
        <w:ind w:left="0"/>
        <w:contextualSpacing w:val="0"/>
      </w:pPr>
      <w:r>
        <w:t>A questão, outrossim, foi objeto de análise pelo Supremo Tribunal Federal, que, no Tema 114, reconheceu a compatibilidade do instituto da reincidência com a ordem constitucional vigente.</w:t>
      </w:r>
    </w:p>
    <w:p w:rsidR="004E22FB" w:rsidRDefault="004E22FB" w:rsidP="004E22FB">
      <w:pPr>
        <w:pStyle w:val="PargrafodaLista"/>
        <w:ind w:left="0"/>
        <w:contextualSpacing w:val="0"/>
      </w:pPr>
      <w:r>
        <w:t>A respeito:</w:t>
      </w:r>
    </w:p>
    <w:p w:rsidR="004E22FB" w:rsidRDefault="004E22FB" w:rsidP="004E22FB">
      <w:pPr>
        <w:pStyle w:val="PargrafodaLista"/>
        <w:spacing w:before="600" w:after="600"/>
        <w:ind w:left="2268" w:firstLine="0"/>
        <w:contextualSpacing w:val="0"/>
      </w:pPr>
      <w:r w:rsidRPr="00686175">
        <w:rPr>
          <w:sz w:val="20"/>
        </w:rPr>
        <w:t>AGRAVANTE – REINCIDÊNCIA – CONSTITUCIONALIDADE – Surge harmônico com a Constituição Federal o inciso I do artigo 61 do Código Penal, no que prevê, como agravante, a reincidência.</w:t>
      </w:r>
      <w:r>
        <w:rPr>
          <w:sz w:val="20"/>
        </w:rPr>
        <w:t xml:space="preserve"> (STF. Tribunal Pleno. Relator: Ministro Marco Aurélio. Repercussão Geral. Tema 144. RE 453.000. Dada de Julgamento: 04-04-2013. Data de Publicação: 03-10-2013).</w:t>
      </w:r>
    </w:p>
    <w:p w:rsidR="004E22FB" w:rsidRDefault="004E22FB" w:rsidP="004E22FB">
      <w:pPr>
        <w:pStyle w:val="PargrafodaLista"/>
        <w:ind w:left="0"/>
        <w:contextualSpacing w:val="0"/>
      </w:pPr>
      <w:r>
        <w:t xml:space="preserve">Nessas condições, o não conhecimento da </w:t>
      </w:r>
      <w:proofErr w:type="spellStart"/>
      <w:r>
        <w:rPr>
          <w:i/>
        </w:rPr>
        <w:t>actio</w:t>
      </w:r>
      <w:proofErr w:type="spellEnd"/>
      <w:r>
        <w:t xml:space="preserve"> releva-se impositivo.</w:t>
      </w:r>
    </w:p>
    <w:p w:rsidR="004E22FB" w:rsidRDefault="004E22FB" w:rsidP="004E22FB">
      <w:pPr>
        <w:pStyle w:val="PargrafodaLista"/>
        <w:ind w:left="0"/>
        <w:contextualSpacing w:val="0"/>
      </w:pPr>
    </w:p>
    <w:p w:rsidR="004E22FB" w:rsidRDefault="004E22FB" w:rsidP="004E22FB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CONCLUSÃO</w:t>
      </w:r>
    </w:p>
    <w:p w:rsidR="004E22FB" w:rsidRDefault="004E22FB" w:rsidP="004E22FB">
      <w:pPr>
        <w:pStyle w:val="PargrafodaLista"/>
        <w:ind w:left="0"/>
        <w:contextualSpacing w:val="0"/>
      </w:pPr>
      <w:r>
        <w:t>Pela conjugação das premissas deduzidas, a conclusão a ser adota consiste em inadmitir a revisão criminal.</w:t>
      </w:r>
    </w:p>
    <w:p w:rsidR="004E22FB" w:rsidRDefault="004E22FB" w:rsidP="004E22FB">
      <w:pPr>
        <w:pStyle w:val="PargrafodaLista"/>
        <w:ind w:left="0"/>
        <w:contextualSpacing w:val="0"/>
      </w:pPr>
      <w:r>
        <w:t>É como voto.</w:t>
      </w:r>
    </w:p>
    <w:p w:rsidR="004E22FB" w:rsidRDefault="004E22FB" w:rsidP="004E22FB">
      <w:pPr>
        <w:pStyle w:val="PargrafodaLista"/>
        <w:ind w:left="0"/>
        <w:contextualSpacing w:val="0"/>
      </w:pPr>
    </w:p>
    <w:p w:rsidR="004E22FB" w:rsidRPr="00AA28DF" w:rsidRDefault="004E22FB" w:rsidP="004E22FB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– DECISÃO</w:t>
      </w:r>
      <w:bookmarkEnd w:id="0"/>
    </w:p>
    <w:sectPr w:rsidR="004E22FB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37471"/>
    <w:rsid w:val="0005342F"/>
    <w:rsid w:val="00122582"/>
    <w:rsid w:val="00165C47"/>
    <w:rsid w:val="001B707F"/>
    <w:rsid w:val="00247F28"/>
    <w:rsid w:val="00393D75"/>
    <w:rsid w:val="004E22FB"/>
    <w:rsid w:val="005157B6"/>
    <w:rsid w:val="00593A0E"/>
    <w:rsid w:val="00672942"/>
    <w:rsid w:val="00694E44"/>
    <w:rsid w:val="00877419"/>
    <w:rsid w:val="00AA28DF"/>
    <w:rsid w:val="00AE47D1"/>
    <w:rsid w:val="00C67A92"/>
    <w:rsid w:val="00CD438A"/>
    <w:rsid w:val="00DB7695"/>
    <w:rsid w:val="00DC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04D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BE36A9-E749-4840-BD30-23FBFBBD6DA8}"/>
</file>

<file path=customXml/itemProps2.xml><?xml version="1.0" encoding="utf-8"?>
<ds:datastoreItem xmlns:ds="http://schemas.openxmlformats.org/officeDocument/2006/customXml" ds:itemID="{B383857D-FC60-42AC-8EC2-1A8FDCB093A7}"/>
</file>

<file path=customXml/itemProps3.xml><?xml version="1.0" encoding="utf-8"?>
<ds:datastoreItem xmlns:ds="http://schemas.openxmlformats.org/officeDocument/2006/customXml" ds:itemID="{F00C8B46-CE02-44C6-BA98-D9080D6F13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550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</cp:revision>
  <dcterms:created xsi:type="dcterms:W3CDTF">2024-02-08T17:42:00Z</dcterms:created>
  <dcterms:modified xsi:type="dcterms:W3CDTF">2024-07-11T21:50:00Z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354800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