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DF9" w:rsidRDefault="00974DF9" w:rsidP="00974DF9">
      <w:pPr>
        <w:ind w:firstLine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PENAL. PROCESSUAL PENAL. </w:t>
      </w:r>
      <w:r w:rsidRPr="0021702B">
        <w:rPr>
          <w:rFonts w:cs="Times New Roman"/>
          <w:b/>
          <w:szCs w:val="24"/>
        </w:rPr>
        <w:t>AGRAVO EM EXECUÇÃO PENAL.</w:t>
      </w:r>
      <w:r>
        <w:rPr>
          <w:rFonts w:cs="Times New Roman"/>
          <w:b/>
          <w:szCs w:val="24"/>
        </w:rPr>
        <w:t xml:space="preserve"> HOMOLOGAÇÃO DE FALTA GRAVE. VIOLAÇÃO DE ÁREA DE MONITORAÇÃO. AUSÊNCIA DE </w:t>
      </w:r>
      <w:r>
        <w:rPr>
          <w:rFonts w:cs="Times New Roman"/>
          <w:b/>
          <w:szCs w:val="24"/>
        </w:rPr>
        <w:t>RE</w:t>
      </w:r>
      <w:r>
        <w:rPr>
          <w:rFonts w:cs="Times New Roman"/>
          <w:b/>
          <w:szCs w:val="24"/>
        </w:rPr>
        <w:t>CARGA. REITERAÇÃO DE INFRAÇÕES.</w:t>
      </w:r>
      <w:r>
        <w:rPr>
          <w:rFonts w:cs="Times New Roman"/>
          <w:b/>
          <w:szCs w:val="24"/>
        </w:rPr>
        <w:t xml:space="preserve"> INFRAÇÕES PRATICADAS A DESPEITO DA FLEXIBILIZAÇÃO DA ÁREA DE INCLUSÃO PARA FINS DE TRATAMENTO E TRABALHO. JUSTIFICATIVAS NÃO COMPROVAS DE MANEIRA IDÔNEA. REGRESSÃO DE REGIME. PROPORCIONALIDADE PRESERVADA. </w:t>
      </w:r>
      <w:r>
        <w:rPr>
          <w:rFonts w:cs="Times New Roman"/>
          <w:b/>
          <w:szCs w:val="24"/>
        </w:rPr>
        <w:t>RECURSO CONHECIDO E DESPROVIDO.</w:t>
      </w:r>
    </w:p>
    <w:p w:rsidR="00974DF9" w:rsidRDefault="00974DF9" w:rsidP="00974DF9">
      <w:pPr>
        <w:ind w:firstLine="0"/>
        <w:rPr>
          <w:rFonts w:cs="Times New Roman"/>
          <w:b/>
          <w:szCs w:val="24"/>
        </w:rPr>
      </w:pPr>
      <w:r w:rsidRPr="00292DC5">
        <w:rPr>
          <w:rFonts w:cs="Times New Roman"/>
          <w:b/>
          <w:szCs w:val="24"/>
        </w:rPr>
        <w:t xml:space="preserve">1. O apenado deve observar as condições </w:t>
      </w:r>
      <w:r>
        <w:rPr>
          <w:rFonts w:cs="Times New Roman"/>
          <w:b/>
          <w:szCs w:val="24"/>
        </w:rPr>
        <w:t>de manter o aparelho de monitoração eletrônica em funcionamento e permanecer no espaço autorizado, obrigações cuja violação constitui falta grave no curso da execução penal.</w:t>
      </w:r>
    </w:p>
    <w:p w:rsidR="00974DF9" w:rsidRDefault="00974DF9" w:rsidP="00974DF9">
      <w:pPr>
        <w:ind w:firstLine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2</w:t>
      </w:r>
      <w:r w:rsidRPr="00292DC5">
        <w:rPr>
          <w:rFonts w:cs="Times New Roman"/>
          <w:b/>
          <w:szCs w:val="24"/>
        </w:rPr>
        <w:t xml:space="preserve">. Reconhecida a prática reiterada de condutas constitutivas de falta grave, impõe-se, nos termos do artigo 118, inciso I, da </w:t>
      </w:r>
      <w:proofErr w:type="spellStart"/>
      <w:r w:rsidRPr="00292DC5">
        <w:rPr>
          <w:rFonts w:cs="Times New Roman"/>
          <w:b/>
          <w:szCs w:val="24"/>
        </w:rPr>
        <w:t>LEP</w:t>
      </w:r>
      <w:proofErr w:type="spellEnd"/>
      <w:r w:rsidRPr="00292DC5">
        <w:rPr>
          <w:rFonts w:cs="Times New Roman"/>
          <w:b/>
          <w:szCs w:val="24"/>
        </w:rPr>
        <w:t>, a regressão do regime prisional.</w:t>
      </w:r>
    </w:p>
    <w:p w:rsidR="00974DF9" w:rsidRPr="00473EBE" w:rsidRDefault="00974DF9" w:rsidP="00974DF9">
      <w:pPr>
        <w:ind w:firstLine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3</w:t>
      </w:r>
      <w:r w:rsidRPr="00292DC5">
        <w:rPr>
          <w:rFonts w:cs="Times New Roman"/>
          <w:b/>
          <w:szCs w:val="24"/>
        </w:rPr>
        <w:t>. Recurso conhecido e não provido.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470237" w:rsidRDefault="00AA28DF" w:rsidP="00AA28DF">
      <w:pPr>
        <w:pStyle w:val="PargrafodaLista"/>
        <w:ind w:left="0"/>
        <w:contextualSpacing w:val="0"/>
      </w:pPr>
      <w:r>
        <w:t>Cuida-se de</w:t>
      </w:r>
      <w:r w:rsidR="00470237">
        <w:t xml:space="preserve"> agravo em execução interposto por Vinicius de Arruda Domingues em face do Ministério Público do Estado do Paraná, tendo como objeto decisão proferida pelo juízo da Vara de Execuções Penais e Corregedoria dos Presídios de Maringá, que homologou falta grave e regrediu o regime semiaberto para o fechado (evento 260.1 – </w:t>
      </w:r>
      <w:proofErr w:type="spellStart"/>
      <w:r w:rsidR="00470237">
        <w:t>SEEU</w:t>
      </w:r>
      <w:proofErr w:type="spellEnd"/>
      <w:r w:rsidR="00470237">
        <w:t>).</w:t>
      </w:r>
    </w:p>
    <w:p w:rsidR="00470237" w:rsidRDefault="00470237" w:rsidP="00AA28DF">
      <w:pPr>
        <w:pStyle w:val="PargrafodaLista"/>
        <w:ind w:left="0"/>
        <w:contextualSpacing w:val="0"/>
      </w:pPr>
      <w:r>
        <w:t>Eis, em síntese, as razões de inconformismo: a) a homologação de falta grave viola a proporcionalidade; b) apesar das violações, o apenado adotou diligências para comunicar a central de monitoramento e realizou a troca, para evitar novas infrações por falha técnica; c) a compulsão pelo consumo de entorpecentes, que motivou diversas infrações, constitui doença</w:t>
      </w:r>
      <w:r w:rsidR="00322CE5">
        <w:t xml:space="preserve"> (evento 289.1 – </w:t>
      </w:r>
      <w:proofErr w:type="spellStart"/>
      <w:r w:rsidR="00322CE5">
        <w:t>SEEU</w:t>
      </w:r>
      <w:proofErr w:type="spellEnd"/>
      <w:r w:rsidR="00322CE5">
        <w:t>).</w:t>
      </w:r>
    </w:p>
    <w:p w:rsidR="00470237" w:rsidRDefault="00322CE5" w:rsidP="00AA28DF">
      <w:pPr>
        <w:pStyle w:val="PargrafodaLista"/>
        <w:ind w:left="0"/>
        <w:contextualSpacing w:val="0"/>
      </w:pPr>
      <w:r>
        <w:t xml:space="preserve">Nas contrarrazões, o Ministério Público do Estado do Paraná se manifestou pela manutenção da decisão vergastada (evento </w:t>
      </w:r>
      <w:r>
        <w:t>292</w:t>
      </w:r>
      <w:r>
        <w:t xml:space="preserve">.1 – </w:t>
      </w:r>
      <w:proofErr w:type="spellStart"/>
      <w:r>
        <w:t>SEEU</w:t>
      </w:r>
      <w:proofErr w:type="spellEnd"/>
      <w:r>
        <w:t>).</w:t>
      </w:r>
    </w:p>
    <w:p w:rsidR="00AA28DF" w:rsidRDefault="00470237" w:rsidP="00AA28DF">
      <w:pPr>
        <w:pStyle w:val="PargrafodaLista"/>
        <w:ind w:left="0"/>
        <w:contextualSpacing w:val="0"/>
      </w:pPr>
      <w:r>
        <w:t>Opinou a Procuradoria-Geral de Justiça pelo conhecimento e desprovimento do recurso (evento 16.1).</w:t>
      </w:r>
    </w:p>
    <w:p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322CE5" w:rsidRDefault="00322CE5" w:rsidP="00322CE5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322CE5" w:rsidRDefault="00322CE5" w:rsidP="00322CE5">
      <w:pPr>
        <w:pStyle w:val="PargrafodaLista"/>
        <w:ind w:left="0"/>
        <w:contextualSpacing w:val="0"/>
      </w:pPr>
      <w:r>
        <w:t>Satisfeitos os pressupostos de admissibilidade recursal, conhece-se do agravo interposto.</w:t>
      </w:r>
    </w:p>
    <w:p w:rsidR="00322CE5" w:rsidRDefault="00322CE5" w:rsidP="00322CE5">
      <w:pPr>
        <w:pStyle w:val="PargrafodaLista"/>
        <w:ind w:left="0"/>
        <w:contextualSpacing w:val="0"/>
      </w:pPr>
    </w:p>
    <w:p w:rsidR="00322CE5" w:rsidRDefault="00322CE5" w:rsidP="00322CE5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HOMOLOGAÇÃO DA FALTA GRAVE</w:t>
      </w:r>
    </w:p>
    <w:p w:rsidR="00322CE5" w:rsidRDefault="00322CE5" w:rsidP="00322CE5">
      <w:pPr>
        <w:pStyle w:val="PargrafodaLista"/>
        <w:ind w:left="0"/>
        <w:contextualSpacing w:val="0"/>
      </w:pPr>
      <w:r>
        <w:t>Cinge-se o objeto recursal à pretensão de reexame de decisão que homologou falta grave de fuga e determinou a consequente inserção do reeducando em regime prisional mais gravoso.</w:t>
      </w:r>
    </w:p>
    <w:p w:rsidR="00322CE5" w:rsidRDefault="00322CE5" w:rsidP="00322CE5">
      <w:pPr>
        <w:pStyle w:val="PargrafodaLista"/>
        <w:ind w:left="0"/>
        <w:contextualSpacing w:val="0"/>
      </w:pPr>
      <w:r>
        <w:t xml:space="preserve">Não há controvérsia sobre a prática de </w:t>
      </w:r>
      <w:r>
        <w:t xml:space="preserve">violações de área de inclusão e esgotamento de bateria, que totalizam 81 (oitenta e uma) ocorrências (evento 196.1 – </w:t>
      </w:r>
      <w:proofErr w:type="spellStart"/>
      <w:r>
        <w:t>SEEU</w:t>
      </w:r>
      <w:proofErr w:type="spellEnd"/>
      <w:r>
        <w:t>).</w:t>
      </w:r>
    </w:p>
    <w:p w:rsidR="00095A46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Instrução Normativa Conjunta nº 44/2021 – </w:t>
      </w:r>
      <w:proofErr w:type="spellStart"/>
      <w:r>
        <w:rPr>
          <w:rFonts w:cs="Times New Roman"/>
          <w:szCs w:val="24"/>
        </w:rPr>
        <w:t>TJPR</w:t>
      </w:r>
      <w:proofErr w:type="spellEnd"/>
      <w:r>
        <w:rPr>
          <w:rFonts w:cs="Times New Roman"/>
          <w:szCs w:val="24"/>
        </w:rPr>
        <w:t>/</w:t>
      </w:r>
      <w:proofErr w:type="spellStart"/>
      <w:r>
        <w:rPr>
          <w:rFonts w:cs="Times New Roman"/>
          <w:szCs w:val="24"/>
        </w:rPr>
        <w:t>MPPR</w:t>
      </w:r>
      <w:proofErr w:type="spellEnd"/>
      <w:r>
        <w:rPr>
          <w:rFonts w:cs="Times New Roman"/>
          <w:szCs w:val="24"/>
        </w:rPr>
        <w:t>/</w:t>
      </w:r>
      <w:proofErr w:type="spellStart"/>
      <w:r>
        <w:rPr>
          <w:rFonts w:cs="Times New Roman"/>
          <w:szCs w:val="24"/>
        </w:rPr>
        <w:t>DPR</w:t>
      </w:r>
      <w:proofErr w:type="spellEnd"/>
      <w:r>
        <w:rPr>
          <w:rFonts w:cs="Times New Roman"/>
          <w:szCs w:val="24"/>
        </w:rPr>
        <w:t>-PR/</w:t>
      </w:r>
      <w:proofErr w:type="spellStart"/>
      <w:r>
        <w:rPr>
          <w:rFonts w:cs="Times New Roman"/>
          <w:szCs w:val="24"/>
        </w:rPr>
        <w:t>Sesp</w:t>
      </w:r>
      <w:proofErr w:type="spellEnd"/>
      <w:r>
        <w:rPr>
          <w:rFonts w:cs="Times New Roman"/>
          <w:szCs w:val="24"/>
        </w:rPr>
        <w:t>/</w:t>
      </w:r>
      <w:proofErr w:type="spellStart"/>
      <w:r>
        <w:rPr>
          <w:rFonts w:cs="Times New Roman"/>
          <w:szCs w:val="24"/>
        </w:rPr>
        <w:t>Depen</w:t>
      </w:r>
      <w:proofErr w:type="spellEnd"/>
      <w:r>
        <w:rPr>
          <w:rFonts w:cs="Times New Roman"/>
          <w:szCs w:val="24"/>
        </w:rPr>
        <w:t xml:space="preserve"> estabelece, em seu artigo 3º, que são deveres da pessoa monitorada, entre outros, recarregar o equipamento diariamente e de informar, de imediato, qualquer evasão do perímetro estipulado, em virtude de doença ou situação imprevisível e inevitável.</w:t>
      </w:r>
    </w:p>
    <w:p w:rsidR="00095A46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No mesmo sentido, a Lei de Execução Penal atribui ao condenado o dever de cumprir as ordens recebidas, tanto assim consideradas as condições impostas por ocasião da implantação da monitoraç</w:t>
      </w:r>
      <w:r>
        <w:rPr>
          <w:rFonts w:cs="Times New Roman"/>
          <w:szCs w:val="24"/>
        </w:rPr>
        <w:t xml:space="preserve">ão eletrônica, cuja violação constitui falta grave punível com regressão do regime prisional </w:t>
      </w:r>
      <w:r>
        <w:rPr>
          <w:rFonts w:cs="Times New Roman"/>
          <w:szCs w:val="24"/>
        </w:rPr>
        <w:t>(</w:t>
      </w:r>
      <w:proofErr w:type="spellStart"/>
      <w:r>
        <w:rPr>
          <w:rFonts w:cs="Times New Roman"/>
          <w:szCs w:val="24"/>
        </w:rPr>
        <w:t>LEP</w:t>
      </w:r>
      <w:proofErr w:type="spellEnd"/>
      <w:r>
        <w:rPr>
          <w:rFonts w:cs="Times New Roman"/>
          <w:szCs w:val="24"/>
        </w:rPr>
        <w:t>, art. 39, V</w:t>
      </w:r>
      <w:r>
        <w:rPr>
          <w:rFonts w:cs="Times New Roman"/>
          <w:szCs w:val="24"/>
        </w:rPr>
        <w:t>; art. 50, V; art. 146-C e art. 146-D</w:t>
      </w:r>
      <w:r>
        <w:rPr>
          <w:rFonts w:cs="Times New Roman"/>
          <w:szCs w:val="24"/>
        </w:rPr>
        <w:t>)</w:t>
      </w:r>
    </w:p>
    <w:p w:rsidR="00095A46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Segundo posicionamento do Superior Tribunal de Justiça e do Tribunal de Justiça do Paraná, a violação do perímetro de monitoração eletrônica constitui falta grave, cuja homologação acarreta regressão de regime prisional.</w:t>
      </w:r>
    </w:p>
    <w:p w:rsidR="00095A46" w:rsidRPr="00CC023E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Nessa toada:</w:t>
      </w:r>
    </w:p>
    <w:p w:rsidR="00095A46" w:rsidRDefault="00095A46" w:rsidP="00095A46">
      <w:pPr>
        <w:spacing w:before="600" w:after="600"/>
        <w:ind w:left="2268" w:firstLine="0"/>
        <w:rPr>
          <w:rFonts w:cs="Times New Roman"/>
          <w:sz w:val="20"/>
          <w:szCs w:val="24"/>
        </w:rPr>
      </w:pPr>
      <w:r w:rsidRPr="00DC6DBA">
        <w:rPr>
          <w:rFonts w:cs="Times New Roman"/>
          <w:sz w:val="20"/>
          <w:szCs w:val="24"/>
        </w:rPr>
        <w:t xml:space="preserve">AGRAVO REGIMENTAL NO HABEAS CORPUS. EXECUÇÃO PENAL. MONITORAMENTO ELETRÔNICO. VIOLAÇÃO DA ZONA DE VIGILÂNCIA. FALTA GRAVE. AGRAVO REGIMENTAL DESPROVIDO. </w:t>
      </w:r>
      <w:r w:rsidRPr="000C3D20">
        <w:rPr>
          <w:rFonts w:cs="Times New Roman"/>
          <w:b/>
          <w:sz w:val="20"/>
          <w:szCs w:val="24"/>
        </w:rPr>
        <w:t xml:space="preserve">1. Na espécie, o Juízo da Execução Penal, em razão de o Apenado ter deixado de cumprir as orientações quanto ao uso do dispositivo de monitoramento eletrônico (violações ao perímetro datadas de 01/01/2020 a 02/01/2020), homologou a falta grave com fundamento no art. 118, inciso I, da </w:t>
      </w:r>
      <w:proofErr w:type="spellStart"/>
      <w:r w:rsidRPr="000C3D20">
        <w:rPr>
          <w:rFonts w:cs="Times New Roman"/>
          <w:b/>
          <w:sz w:val="20"/>
          <w:szCs w:val="24"/>
        </w:rPr>
        <w:t>LEP</w:t>
      </w:r>
      <w:proofErr w:type="spellEnd"/>
      <w:r w:rsidRPr="000C3D20">
        <w:rPr>
          <w:rFonts w:cs="Times New Roman"/>
          <w:b/>
          <w:sz w:val="20"/>
          <w:szCs w:val="24"/>
        </w:rPr>
        <w:t>, regrediu o regime imposto para o fechado e declarou a perda de 1/3 (um terço) dos dias remidos.</w:t>
      </w:r>
      <w:r w:rsidRPr="00DC6DBA">
        <w:rPr>
          <w:rFonts w:cs="Times New Roman"/>
          <w:sz w:val="20"/>
          <w:szCs w:val="24"/>
        </w:rPr>
        <w:t xml:space="preserve"> </w:t>
      </w:r>
      <w:r w:rsidRPr="000C3D20">
        <w:rPr>
          <w:rFonts w:cs="Times New Roman"/>
          <w:b/>
          <w:sz w:val="20"/>
          <w:szCs w:val="24"/>
        </w:rPr>
        <w:t>2. Os fundamentos consignados pelas instâncias ordinárias para caracterizar a conduta como falta grave não se mostram desarrazoados ou ilegais, uma vez que o Reeducando em monitoramento eletrônico deve observar as condições e limites estabelecidos para deslocamento.</w:t>
      </w:r>
      <w:r w:rsidRPr="00DC6DBA">
        <w:rPr>
          <w:rFonts w:cs="Times New Roman"/>
          <w:sz w:val="20"/>
          <w:szCs w:val="24"/>
        </w:rPr>
        <w:t xml:space="preserve"> Precedentes. 3. Agravo regimental desprovido. </w:t>
      </w:r>
      <w:r>
        <w:rPr>
          <w:rFonts w:cs="Times New Roman"/>
          <w:sz w:val="20"/>
          <w:szCs w:val="24"/>
        </w:rPr>
        <w:t xml:space="preserve">(STJ. Sexta Turma. Relatora: Ministra Laurita Vaz. </w:t>
      </w:r>
      <w:proofErr w:type="spellStart"/>
      <w:r w:rsidRPr="00DC6DBA">
        <w:rPr>
          <w:rFonts w:cs="Times New Roman"/>
          <w:sz w:val="20"/>
          <w:szCs w:val="24"/>
        </w:rPr>
        <w:t>AgRg</w:t>
      </w:r>
      <w:proofErr w:type="spellEnd"/>
      <w:r w:rsidRPr="00DC6DBA">
        <w:rPr>
          <w:rFonts w:cs="Times New Roman"/>
          <w:sz w:val="20"/>
          <w:szCs w:val="24"/>
        </w:rPr>
        <w:t xml:space="preserve"> no HC n. 698.075/CE</w:t>
      </w:r>
      <w:r>
        <w:rPr>
          <w:rFonts w:cs="Times New Roman"/>
          <w:sz w:val="20"/>
          <w:szCs w:val="24"/>
        </w:rPr>
        <w:t xml:space="preserve">. Data de julgamento: </w:t>
      </w:r>
      <w:r w:rsidRPr="00DC6DBA">
        <w:rPr>
          <w:rFonts w:cs="Times New Roman"/>
          <w:sz w:val="20"/>
          <w:szCs w:val="24"/>
        </w:rPr>
        <w:t>29/3/2022</w:t>
      </w:r>
      <w:r>
        <w:rPr>
          <w:rFonts w:cs="Times New Roman"/>
          <w:sz w:val="20"/>
          <w:szCs w:val="24"/>
        </w:rPr>
        <w:t xml:space="preserve">. Data de publicação: </w:t>
      </w:r>
      <w:r w:rsidRPr="00DC6DBA">
        <w:rPr>
          <w:rFonts w:cs="Times New Roman"/>
          <w:sz w:val="20"/>
          <w:szCs w:val="24"/>
        </w:rPr>
        <w:t>4/4/2022)</w:t>
      </w:r>
      <w:r>
        <w:rPr>
          <w:rFonts w:cs="Times New Roman"/>
          <w:sz w:val="20"/>
          <w:szCs w:val="24"/>
        </w:rPr>
        <w:t>.</w:t>
      </w:r>
    </w:p>
    <w:p w:rsidR="00095A46" w:rsidRPr="00DC6DBA" w:rsidRDefault="00095A46" w:rsidP="00095A46">
      <w:pPr>
        <w:spacing w:before="600" w:after="600"/>
        <w:ind w:left="2268" w:firstLine="0"/>
        <w:rPr>
          <w:rFonts w:cs="Times New Roman"/>
          <w:sz w:val="20"/>
          <w:szCs w:val="24"/>
        </w:rPr>
      </w:pPr>
      <w:r w:rsidRPr="00DC6DBA">
        <w:rPr>
          <w:rFonts w:cs="Times New Roman"/>
          <w:sz w:val="20"/>
          <w:szCs w:val="24"/>
        </w:rPr>
        <w:t xml:space="preserve">AGRAVO EM EXECUÇÃO PENAL. DECISÃO QUE DETERMINOU A REGRESSÃO DEFINITIVA DE REGIME. INSURGÊNCIA DO APENADO. PEDIDO DE ACOLHIMENTO DA JUSTIFICATIVA APRESENTADA. APENADO QUE, EM TESE, INFRINGIU A ÁREA DE INCLUSÃO EM RAZÃO DE TRABALHO. TESE NÃO ACOLHIDA. </w:t>
      </w:r>
      <w:r w:rsidRPr="000C3D20">
        <w:rPr>
          <w:rFonts w:cs="Times New Roman"/>
          <w:b/>
          <w:sz w:val="20"/>
          <w:szCs w:val="24"/>
        </w:rPr>
        <w:t>APENADO QUE TINHA CONHECIMENTO DAS CONDIÇÕES DO REGIME SEMIABERTO HARMONIZADO E NÃO PEDIU AUTORIZAÇÃO PRÉVIA AO MAGISTRADO</w:t>
      </w:r>
      <w:r w:rsidRPr="00DC6DBA">
        <w:rPr>
          <w:rFonts w:cs="Times New Roman"/>
          <w:sz w:val="20"/>
          <w:szCs w:val="24"/>
        </w:rPr>
        <w:t xml:space="preserve">. JUSTIFICATIVA, ADEMAIS, QUE </w:t>
      </w:r>
      <w:proofErr w:type="gramStart"/>
      <w:r w:rsidRPr="00DC6DBA">
        <w:rPr>
          <w:rFonts w:cs="Times New Roman"/>
          <w:sz w:val="20"/>
          <w:szCs w:val="24"/>
        </w:rPr>
        <w:t>CARECE</w:t>
      </w:r>
      <w:proofErr w:type="gramEnd"/>
      <w:r w:rsidRPr="00DC6DBA">
        <w:rPr>
          <w:rFonts w:cs="Times New Roman"/>
          <w:sz w:val="20"/>
          <w:szCs w:val="24"/>
        </w:rPr>
        <w:t xml:space="preserve"> DE VEROSSIMILHANÇA. VIOLAÇÕES QUE NÃO SE COMPATIBILIZAM COM O EXERCÍCIO DA FUNÇÃO LABORATIVA. VIOLAÇÃO DO PERÍMETRO DA ÁREA DE INCLUSÃO QUE CARACTERIZA FALTA GRAVE. PRECEDENTES. DECISÃO MANTIDA. RECURSO DESPROVIDO. (</w:t>
      </w:r>
      <w:proofErr w:type="spellStart"/>
      <w:r w:rsidRPr="00DC6DBA">
        <w:rPr>
          <w:rFonts w:cs="Times New Roman"/>
          <w:sz w:val="20"/>
          <w:szCs w:val="24"/>
        </w:rPr>
        <w:t>TJPR</w:t>
      </w:r>
      <w:proofErr w:type="spellEnd"/>
      <w:r>
        <w:rPr>
          <w:rFonts w:cs="Times New Roman"/>
          <w:sz w:val="20"/>
          <w:szCs w:val="24"/>
        </w:rPr>
        <w:t xml:space="preserve">. 3ª Câmara Criminal. Relator: Des. Mario Nini </w:t>
      </w:r>
      <w:proofErr w:type="spellStart"/>
      <w:r>
        <w:rPr>
          <w:rFonts w:cs="Times New Roman"/>
          <w:sz w:val="20"/>
          <w:szCs w:val="24"/>
        </w:rPr>
        <w:t>Azzolini</w:t>
      </w:r>
      <w:proofErr w:type="spellEnd"/>
      <w:r>
        <w:rPr>
          <w:rFonts w:cs="Times New Roman"/>
          <w:sz w:val="20"/>
          <w:szCs w:val="24"/>
        </w:rPr>
        <w:t>. Data de julgamento: 03/11/2022).</w:t>
      </w:r>
    </w:p>
    <w:p w:rsidR="00095A46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No ponto, apesar d</w:t>
      </w:r>
      <w:r>
        <w:rPr>
          <w:rFonts w:cs="Times New Roman"/>
          <w:szCs w:val="24"/>
        </w:rPr>
        <w:t xml:space="preserve">as justificativas apresentadas (evento 81.1 – </w:t>
      </w:r>
      <w:proofErr w:type="spellStart"/>
      <w:r>
        <w:rPr>
          <w:rFonts w:cs="Times New Roman"/>
          <w:szCs w:val="24"/>
        </w:rPr>
        <w:t>SEEU</w:t>
      </w:r>
      <w:proofErr w:type="spellEnd"/>
      <w:r>
        <w:rPr>
          <w:rFonts w:cs="Times New Roman"/>
          <w:szCs w:val="24"/>
        </w:rPr>
        <w:t xml:space="preserve">) e da flexibilização da área de inclusão para fins de tratamento e trabalho (eventos 117.1 e 134.1 – </w:t>
      </w:r>
      <w:proofErr w:type="spellStart"/>
      <w:r>
        <w:rPr>
          <w:rFonts w:cs="Times New Roman"/>
          <w:szCs w:val="24"/>
        </w:rPr>
        <w:t>SEEU</w:t>
      </w:r>
      <w:proofErr w:type="spellEnd"/>
      <w:r>
        <w:rPr>
          <w:rFonts w:cs="Times New Roman"/>
          <w:szCs w:val="24"/>
        </w:rPr>
        <w:t xml:space="preserve">), o elevado número de violações demonstra comportamento regularmente contrário ao senso de responsabilidade </w:t>
      </w:r>
      <w:r w:rsidR="00974DF9">
        <w:rPr>
          <w:rFonts w:cs="Times New Roman"/>
          <w:szCs w:val="24"/>
        </w:rPr>
        <w:t>exigido para implementação no regime semiaberto harmonizado, em situação de liberdade monitorada.</w:t>
      </w:r>
    </w:p>
    <w:p w:rsidR="00095A46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A esse respeito:</w:t>
      </w:r>
    </w:p>
    <w:p w:rsidR="00095A46" w:rsidRPr="009477E0" w:rsidRDefault="00095A46" w:rsidP="00095A46">
      <w:pPr>
        <w:spacing w:before="600" w:after="600"/>
        <w:ind w:left="2268" w:firstLine="0"/>
        <w:rPr>
          <w:rFonts w:cs="Times New Roman"/>
          <w:sz w:val="20"/>
          <w:szCs w:val="24"/>
        </w:rPr>
      </w:pPr>
      <w:r w:rsidRPr="00DE147D">
        <w:rPr>
          <w:rFonts w:cs="Times New Roman"/>
          <w:sz w:val="20"/>
          <w:szCs w:val="24"/>
        </w:rPr>
        <w:t>AGRAVO REGIMENTAL NO HABEAS CORPUS. FALTA GRAVE. MANTER EQUIPAMENTO DE MONITORAMENTO ELET</w:t>
      </w:r>
      <w:r>
        <w:rPr>
          <w:rFonts w:cs="Times New Roman"/>
          <w:sz w:val="20"/>
          <w:szCs w:val="24"/>
        </w:rPr>
        <w:t>R</w:t>
      </w:r>
      <w:r w:rsidRPr="00DE147D">
        <w:rPr>
          <w:rFonts w:cs="Times New Roman"/>
          <w:sz w:val="20"/>
          <w:szCs w:val="24"/>
        </w:rPr>
        <w:t xml:space="preserve">ÔNICO DESCARREGADO. CARACTERIZAÇÃO. ART. 50, VI, C/C ART. 39, V, DA </w:t>
      </w:r>
      <w:proofErr w:type="spellStart"/>
      <w:r w:rsidRPr="00DE147D">
        <w:rPr>
          <w:rFonts w:cs="Times New Roman"/>
          <w:sz w:val="20"/>
          <w:szCs w:val="24"/>
        </w:rPr>
        <w:t>LEP</w:t>
      </w:r>
      <w:proofErr w:type="spellEnd"/>
      <w:r w:rsidRPr="00DE147D">
        <w:rPr>
          <w:rFonts w:cs="Times New Roman"/>
          <w:sz w:val="20"/>
          <w:szCs w:val="24"/>
        </w:rPr>
        <w:t xml:space="preserve">. REGRESSÃO DE REGIME. LEGALIDADE. RECURSO NÃO PROVIDO. </w:t>
      </w:r>
      <w:r w:rsidRPr="009477E0">
        <w:rPr>
          <w:rFonts w:cs="Times New Roman"/>
          <w:b/>
          <w:sz w:val="20"/>
          <w:szCs w:val="24"/>
        </w:rPr>
        <w:t xml:space="preserve">1. </w:t>
      </w:r>
      <w:r w:rsidRPr="009477E0">
        <w:rPr>
          <w:rFonts w:cs="Times New Roman"/>
          <w:b/>
          <w:i/>
          <w:sz w:val="20"/>
          <w:szCs w:val="24"/>
        </w:rPr>
        <w:t xml:space="preserve">In </w:t>
      </w:r>
      <w:proofErr w:type="spellStart"/>
      <w:r w:rsidRPr="009477E0">
        <w:rPr>
          <w:rFonts w:cs="Times New Roman"/>
          <w:b/>
          <w:i/>
          <w:sz w:val="20"/>
          <w:szCs w:val="24"/>
        </w:rPr>
        <w:t>casu</w:t>
      </w:r>
      <w:proofErr w:type="spellEnd"/>
      <w:r w:rsidRPr="009477E0">
        <w:rPr>
          <w:rFonts w:cs="Times New Roman"/>
          <w:b/>
          <w:sz w:val="20"/>
          <w:szCs w:val="24"/>
        </w:rPr>
        <w:t xml:space="preserve">, ao deixar de carregar a bateria da tornozeleira eletrônica e circular pela cidade livremente, longe da esfera de vigilância das autoridades competentes, como consta dos autos, o paciente desobedeceu à ordem de manter o aparelho em funcionamento, incidindo na hipótese do art. 50, inciso VI, </w:t>
      </w:r>
      <w:proofErr w:type="spellStart"/>
      <w:r w:rsidRPr="009477E0">
        <w:rPr>
          <w:rFonts w:cs="Times New Roman"/>
          <w:b/>
          <w:sz w:val="20"/>
          <w:szCs w:val="24"/>
        </w:rPr>
        <w:t>c.c</w:t>
      </w:r>
      <w:proofErr w:type="spellEnd"/>
      <w:r w:rsidRPr="009477E0">
        <w:rPr>
          <w:rFonts w:cs="Times New Roman"/>
          <w:b/>
          <w:sz w:val="20"/>
          <w:szCs w:val="24"/>
        </w:rPr>
        <w:t xml:space="preserve">. o art. 39, inciso V, ambos da Lei de Execução Penal - </w:t>
      </w:r>
      <w:proofErr w:type="spellStart"/>
      <w:r w:rsidRPr="009477E0">
        <w:rPr>
          <w:rFonts w:cs="Times New Roman"/>
          <w:b/>
          <w:sz w:val="20"/>
          <w:szCs w:val="24"/>
        </w:rPr>
        <w:t>LEP</w:t>
      </w:r>
      <w:proofErr w:type="spellEnd"/>
      <w:r w:rsidRPr="009477E0">
        <w:rPr>
          <w:rFonts w:cs="Times New Roman"/>
          <w:b/>
          <w:sz w:val="20"/>
          <w:szCs w:val="24"/>
        </w:rPr>
        <w:t>.</w:t>
      </w:r>
      <w:r w:rsidRPr="00DE147D">
        <w:rPr>
          <w:rFonts w:cs="Times New Roman"/>
          <w:sz w:val="20"/>
          <w:szCs w:val="24"/>
        </w:rPr>
        <w:t xml:space="preserve"> 2. A prática de infração disciplinar de natureza grave ocasiona a regressão de regime prisional. Precedentes desta Corte. 3. Agravo regimental não provido. </w:t>
      </w:r>
      <w:r>
        <w:rPr>
          <w:rFonts w:cs="Times New Roman"/>
          <w:sz w:val="20"/>
          <w:szCs w:val="24"/>
        </w:rPr>
        <w:t xml:space="preserve">(STJ. Quinta Turma. Relator: Ministro Reynaldo Soares da Fonseca. </w:t>
      </w:r>
      <w:proofErr w:type="spellStart"/>
      <w:r w:rsidRPr="00DE147D">
        <w:rPr>
          <w:rFonts w:cs="Times New Roman"/>
          <w:sz w:val="20"/>
          <w:szCs w:val="24"/>
        </w:rPr>
        <w:t>AgRg</w:t>
      </w:r>
      <w:proofErr w:type="spellEnd"/>
      <w:r w:rsidRPr="00DE147D">
        <w:rPr>
          <w:rFonts w:cs="Times New Roman"/>
          <w:sz w:val="20"/>
          <w:szCs w:val="24"/>
        </w:rPr>
        <w:t xml:space="preserve"> no HC n. 595.942/SP</w:t>
      </w:r>
      <w:r>
        <w:rPr>
          <w:rFonts w:cs="Times New Roman"/>
          <w:sz w:val="20"/>
          <w:szCs w:val="24"/>
        </w:rPr>
        <w:t>. Data de julgamento: 9/2/2021. Data de publicação: 11/2/2021</w:t>
      </w:r>
      <w:r w:rsidRPr="00DE147D">
        <w:rPr>
          <w:rFonts w:cs="Times New Roman"/>
          <w:sz w:val="20"/>
          <w:szCs w:val="24"/>
        </w:rPr>
        <w:t>)</w:t>
      </w:r>
      <w:r>
        <w:rPr>
          <w:rFonts w:cs="Times New Roman"/>
          <w:sz w:val="20"/>
          <w:szCs w:val="24"/>
        </w:rPr>
        <w:t>.</w:t>
      </w:r>
    </w:p>
    <w:p w:rsidR="00095A46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Nesse contexto, a regressão do regime, nos termos do artigo 188, inciso I, da Lei de Execução Penal, representa razoável e proporcional resposta jurisdicional à pluralidade de transgressões praticadas pelo reeducando.</w:t>
      </w:r>
    </w:p>
    <w:p w:rsidR="00095A46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Ao arremate, quanto à sua condição clínica, o agravante não demonstrou, de maneira empiricamente verificável, impossibilidade de monitoração do quadro de saúde ou manejo do tratamento no interior do estabelecimento prisional.</w:t>
      </w:r>
    </w:p>
    <w:p w:rsidR="00095A46" w:rsidRDefault="00095A46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Sobre tema:</w:t>
      </w:r>
    </w:p>
    <w:p w:rsidR="00095A46" w:rsidRPr="006234EF" w:rsidRDefault="00095A46" w:rsidP="00095A46">
      <w:pPr>
        <w:spacing w:before="600" w:after="600"/>
        <w:ind w:left="2268" w:firstLine="0"/>
        <w:rPr>
          <w:rFonts w:cs="Times New Roman"/>
          <w:sz w:val="20"/>
          <w:szCs w:val="24"/>
        </w:rPr>
      </w:pPr>
      <w:r w:rsidRPr="006234EF">
        <w:rPr>
          <w:rFonts w:cs="Times New Roman"/>
          <w:sz w:val="20"/>
          <w:szCs w:val="24"/>
        </w:rPr>
        <w:t>HABEAS CORPUS. IMPETRAÇÃO SUBSTITUTIVA DE RECURSO PRÓPRIO.</w:t>
      </w:r>
      <w:r>
        <w:rPr>
          <w:rFonts w:cs="Times New Roman"/>
          <w:sz w:val="20"/>
          <w:szCs w:val="24"/>
        </w:rPr>
        <w:t xml:space="preserve"> </w:t>
      </w:r>
      <w:r w:rsidRPr="006234EF">
        <w:rPr>
          <w:rFonts w:cs="Times New Roman"/>
          <w:sz w:val="20"/>
          <w:szCs w:val="24"/>
        </w:rPr>
        <w:t>IMPROPRIEDADE DA VIA ELEITA. REGIME INICIAL SEMIABERTO. EXPEDIÇÃO DE MANDADO DE PRISÃO. NECESSIDADE DE RECOLHIMENTO PRÉVIO DO PACIENTE À PRISÃO. DOENÇA GRAVE. PRISÃO DOMICILIAR. AUSÊNCIA DE VAGAS.</w:t>
      </w:r>
      <w:r>
        <w:rPr>
          <w:rFonts w:cs="Times New Roman"/>
          <w:sz w:val="20"/>
          <w:szCs w:val="24"/>
        </w:rPr>
        <w:t xml:space="preserve"> </w:t>
      </w:r>
      <w:r w:rsidRPr="006234EF">
        <w:rPr>
          <w:rFonts w:cs="Times New Roman"/>
          <w:sz w:val="20"/>
          <w:szCs w:val="24"/>
        </w:rPr>
        <w:t>ILEGALIDADE. INEXISTÊNCIA. WRIT NÃO CONHECIDO.</w:t>
      </w:r>
      <w:r>
        <w:rPr>
          <w:rFonts w:cs="Times New Roman"/>
          <w:sz w:val="20"/>
          <w:szCs w:val="24"/>
        </w:rPr>
        <w:t xml:space="preserve"> </w:t>
      </w:r>
      <w:r w:rsidRPr="006234EF">
        <w:rPr>
          <w:rFonts w:cs="Times New Roman"/>
          <w:sz w:val="20"/>
          <w:szCs w:val="24"/>
        </w:rPr>
        <w:t>1. Tratando-se de habeas corpus substitutivo do recurso próprio, inviável o seu conhecimento.</w:t>
      </w:r>
      <w:r>
        <w:rPr>
          <w:rFonts w:cs="Times New Roman"/>
          <w:sz w:val="20"/>
          <w:szCs w:val="24"/>
        </w:rPr>
        <w:t xml:space="preserve"> </w:t>
      </w:r>
      <w:r w:rsidRPr="006234EF">
        <w:rPr>
          <w:rFonts w:cs="Times New Roman"/>
          <w:sz w:val="20"/>
          <w:szCs w:val="24"/>
        </w:rPr>
        <w:t xml:space="preserve">2. Não há como se pleitear benefícios que podem ser obtidos durante o cumprimento da pena se essa sequer se iniciou. </w:t>
      </w:r>
      <w:r w:rsidRPr="00D20A27">
        <w:rPr>
          <w:rFonts w:cs="Times New Roman"/>
          <w:i/>
          <w:sz w:val="20"/>
          <w:szCs w:val="24"/>
        </w:rPr>
        <w:t xml:space="preserve">In </w:t>
      </w:r>
      <w:proofErr w:type="spellStart"/>
      <w:r w:rsidRPr="00D20A27">
        <w:rPr>
          <w:rFonts w:cs="Times New Roman"/>
          <w:i/>
          <w:sz w:val="20"/>
          <w:szCs w:val="24"/>
        </w:rPr>
        <w:t>casu</w:t>
      </w:r>
      <w:proofErr w:type="spellEnd"/>
      <w:r w:rsidRPr="006234EF">
        <w:rPr>
          <w:rFonts w:cs="Times New Roman"/>
          <w:sz w:val="20"/>
          <w:szCs w:val="24"/>
        </w:rPr>
        <w:t>, não há, nos autos, nenhum documento comprobatório de que o paciente foi ou será recolhido em regime mais gravoso por falta de vagas no regime estabelecido na condenação.</w:t>
      </w:r>
      <w:r>
        <w:rPr>
          <w:rFonts w:cs="Times New Roman"/>
          <w:sz w:val="20"/>
          <w:szCs w:val="24"/>
        </w:rPr>
        <w:t xml:space="preserve"> </w:t>
      </w:r>
      <w:r w:rsidRPr="00D20A27">
        <w:rPr>
          <w:rFonts w:cs="Times New Roman"/>
          <w:b/>
          <w:sz w:val="20"/>
          <w:szCs w:val="24"/>
        </w:rPr>
        <w:t>3. A jurisprudência tem admitido a concessão da prisão domiciliar aos condenados que se encontram em regime semiaberto e fechado, em situações excepcionalíssimas, como no caso de portadores de doença grave, desde que comprovada a impossibilidade da assistência médica no estabelecimento prisional em que cumprem sua pena.</w:t>
      </w:r>
      <w:r>
        <w:rPr>
          <w:rFonts w:cs="Times New Roman"/>
          <w:sz w:val="20"/>
          <w:szCs w:val="24"/>
        </w:rPr>
        <w:t xml:space="preserve"> </w:t>
      </w:r>
      <w:r w:rsidRPr="006234EF">
        <w:rPr>
          <w:rFonts w:cs="Times New Roman"/>
          <w:sz w:val="20"/>
          <w:szCs w:val="24"/>
        </w:rPr>
        <w:t>4. Ordem não conhecida.</w:t>
      </w:r>
      <w:r>
        <w:rPr>
          <w:rFonts w:cs="Times New Roman"/>
          <w:sz w:val="20"/>
          <w:szCs w:val="24"/>
        </w:rPr>
        <w:t xml:space="preserve"> (STJ. Sexta Turma. Relatora: Ministra Maria Thereza de Assis Moura. </w:t>
      </w:r>
      <w:r w:rsidRPr="006234EF">
        <w:rPr>
          <w:rFonts w:cs="Times New Roman"/>
          <w:sz w:val="20"/>
          <w:szCs w:val="24"/>
        </w:rPr>
        <w:t>HC 358.682/PR</w:t>
      </w:r>
      <w:r>
        <w:rPr>
          <w:rFonts w:cs="Times New Roman"/>
          <w:sz w:val="20"/>
          <w:szCs w:val="24"/>
        </w:rPr>
        <w:t>. Data de julgamento:</w:t>
      </w:r>
      <w:r w:rsidRPr="006234EF">
        <w:rPr>
          <w:rFonts w:cs="Times New Roman"/>
          <w:sz w:val="20"/>
          <w:szCs w:val="24"/>
        </w:rPr>
        <w:t xml:space="preserve"> 01/09/2016</w:t>
      </w:r>
      <w:r>
        <w:rPr>
          <w:rFonts w:cs="Times New Roman"/>
          <w:sz w:val="20"/>
          <w:szCs w:val="24"/>
        </w:rPr>
        <w:t xml:space="preserve">. Data de publicação: </w:t>
      </w:r>
      <w:r w:rsidRPr="006234EF">
        <w:rPr>
          <w:rFonts w:cs="Times New Roman"/>
          <w:sz w:val="20"/>
          <w:szCs w:val="24"/>
        </w:rPr>
        <w:t>12/09/2016).</w:t>
      </w:r>
    </w:p>
    <w:p w:rsidR="00095A46" w:rsidRDefault="00974DF9" w:rsidP="00095A46">
      <w:pPr>
        <w:rPr>
          <w:rFonts w:cs="Times New Roman"/>
          <w:szCs w:val="24"/>
        </w:rPr>
      </w:pPr>
      <w:r>
        <w:rPr>
          <w:rFonts w:cs="Times New Roman"/>
          <w:szCs w:val="24"/>
        </w:rPr>
        <w:t>Impositiva, portanto, a manutenção da decisão homologatória da falta grave, bem como a penalidade de regressão de regime prisional.</w:t>
      </w:r>
    </w:p>
    <w:p w:rsidR="00322CE5" w:rsidRDefault="00322CE5" w:rsidP="00322CE5">
      <w:pPr>
        <w:pStyle w:val="PargrafodaLista"/>
        <w:ind w:left="0"/>
        <w:contextualSpacing w:val="0"/>
      </w:pPr>
    </w:p>
    <w:p w:rsidR="00322CE5" w:rsidRDefault="00322CE5" w:rsidP="00322CE5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DA CONCLUSÃO</w:t>
      </w:r>
    </w:p>
    <w:p w:rsidR="00322CE5" w:rsidRDefault="00322CE5" w:rsidP="00322CE5">
      <w:pPr>
        <w:pStyle w:val="PargrafodaLista"/>
        <w:ind w:left="0"/>
        <w:contextualSpacing w:val="0"/>
      </w:pPr>
      <w:r>
        <w:t>Pela conjugação das premissas deduzidas, a conclusão a ser adota consiste em conhecer e negar provimento ao recurso.</w:t>
      </w:r>
    </w:p>
    <w:p w:rsidR="00322CE5" w:rsidRDefault="00322CE5" w:rsidP="00322CE5">
      <w:pPr>
        <w:pStyle w:val="PargrafodaLista"/>
        <w:ind w:left="0"/>
        <w:contextualSpacing w:val="0"/>
      </w:pPr>
      <w:r>
        <w:t>É como voto.</w:t>
      </w:r>
    </w:p>
    <w:p w:rsidR="00322CE5" w:rsidRDefault="00322CE5" w:rsidP="00322CE5">
      <w:pPr>
        <w:pStyle w:val="PargrafodaLista"/>
        <w:ind w:left="0"/>
        <w:contextualSpacing w:val="0"/>
      </w:pPr>
    </w:p>
    <w:p w:rsidR="00322CE5" w:rsidRPr="00AA28DF" w:rsidRDefault="00322CE5" w:rsidP="00322CE5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– DECISÃO</w:t>
      </w:r>
    </w:p>
    <w:bookmarkEnd w:id="0"/>
    <w:p w:rsidR="00AA28DF" w:rsidRPr="00AA28DF" w:rsidRDefault="00AA28DF" w:rsidP="00322CE5">
      <w:pPr>
        <w:pStyle w:val="PargrafodaLista"/>
        <w:ind w:left="0"/>
        <w:contextualSpacing w:val="0"/>
        <w:rPr>
          <w:b/>
        </w:rPr>
      </w:pP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95A46"/>
    <w:rsid w:val="00165C47"/>
    <w:rsid w:val="00322CE5"/>
    <w:rsid w:val="00470237"/>
    <w:rsid w:val="00672942"/>
    <w:rsid w:val="00877419"/>
    <w:rsid w:val="00974DF9"/>
    <w:rsid w:val="00AA28DF"/>
    <w:rsid w:val="00AE47D1"/>
    <w:rsid w:val="00DC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D347D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2CE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ba643bcfad3762c75000adec9901343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62f199efd4aef6a2de5d68052953bf8c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30612C-CF26-4C6F-A8FE-8971D57F9C64}"/>
</file>

<file path=customXml/itemProps2.xml><?xml version="1.0" encoding="utf-8"?>
<ds:datastoreItem xmlns:ds="http://schemas.openxmlformats.org/officeDocument/2006/customXml" ds:itemID="{4E89F5C3-D778-4C96-8DD9-0F2CC251C942}"/>
</file>

<file path=customXml/itemProps3.xml><?xml version="1.0" encoding="utf-8"?>
<ds:datastoreItem xmlns:ds="http://schemas.openxmlformats.org/officeDocument/2006/customXml" ds:itemID="{06A1A14E-D85F-483A-8A05-610808BDA8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1277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2024-06-07T18:31:00Z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359400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